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9EC43">
      <w:pPr>
        <w:spacing w:line="480" w:lineRule="auto" w:before="0" w:after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Table S6. Robustness checks for the HFRS vaccination-programme association.</w:t>
      </w:r>
    </w:p>
    <w:tbl>
      <w:tblPr>
        <w:tblStyle w:val="32"/>
        <w:tblW w:w="0" w:type="auto"/>
        <w:jc w:val="center"/>
        <w:tblBorders>
          <w:top w:val="none" w:color="000000" w:sz="4" w:space="0"/>
          <w:left w:val="none" w:color="auto" w:sz="0" w:space="0"/>
          <w:bottom w:val="non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6"/>
        <w:gridCol w:w="1728"/>
        <w:gridCol w:w="1728"/>
        <w:gridCol w:w="1728"/>
        <w:gridCol w:w="1728"/>
      </w:tblGrid>
      <w:tr w14:paraId="67F1F857">
        <w:tblPrEx>
          <w:tblBorders>
            <w:top w:val="none" w:color="000000" w:sz="4" w:space="0"/>
            <w:left w:val="none" w:color="auto" w:sz="0" w:space="0"/>
            <w:bottom w:val="non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52057A1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Robustness check</w:t>
            </w:r>
          </w:p>
        </w:tc>
        <w:tc>
          <w:tcPr>
            <w:tcW w:w="1728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A24C4BB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Estimand</w:t>
            </w:r>
          </w:p>
        </w:tc>
        <w:tc>
          <w:tcPr>
            <w:tcW w:w="1728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B336571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Estimate (95% CI)</w:t>
            </w:r>
          </w:p>
        </w:tc>
        <w:tc>
          <w:tcPr>
            <w:tcW w:w="1728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B930E3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Inference P</w:t>
            </w:r>
          </w:p>
        </w:tc>
        <w:tc>
          <w:tcPr>
            <w:tcW w:w="1728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AE0325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Note</w:t>
            </w:r>
          </w:p>
        </w:tc>
      </w:tr>
      <w:tr w14:paraId="63193005">
        <w:tblPrEx>
          <w:tblBorders>
            <w:top w:val="none" w:color="000000" w:sz="4" w:space="0"/>
            <w:left w:val="none" w:color="auto" w:sz="0" w:space="0"/>
            <w:bottom w:val="non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0F66230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Preferred linear FE (cluster-robust SE)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719060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Vac × Time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A6BA1B2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−0.72 (−1.08, −0.35)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08435E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&lt;0.01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62AD06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Model 1; Table 6</w:t>
            </w:r>
          </w:p>
        </w:tc>
      </w:tr>
      <w:tr w14:paraId="250CCB6C">
        <w:tblPrEx>
          <w:tblBorders>
            <w:top w:val="none" w:color="000000" w:sz="4" w:space="0"/>
            <w:left w:val="none" w:color="auto" w:sz="0" w:space="0"/>
            <w:bottom w:val="non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380FB1A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Preferred — wild cluster bootstrap-t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2E304C1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Vac × Time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FC9A41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—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A24E3CF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0.040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E469A0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G = 8 clusters</w:t>
            </w:r>
          </w:p>
        </w:tc>
      </w:tr>
      <w:tr w14:paraId="25EF45CC">
        <w:tblPrEx>
          <w:tblBorders>
            <w:top w:val="none" w:color="000000" w:sz="4" w:space="0"/>
            <w:left w:val="none" w:color="auto" w:sz="0" w:space="0"/>
            <w:bottom w:val="non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D3786EA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No rodent covariate (cluster-robust SE)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B5AE08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Vac × Time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95026B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−0.82 (−1.29, −0.34)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2176B2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&lt;0.05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A32FA2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Model 2</w:t>
            </w:r>
          </w:p>
        </w:tc>
      </w:tr>
      <w:tr w14:paraId="4B7AA9D5">
        <w:tblPrEx>
          <w:tblBorders>
            <w:top w:val="none" w:color="000000" w:sz="4" w:space="0"/>
            <w:left w:val="none" w:color="auto" w:sz="0" w:space="0"/>
            <w:bottom w:val="non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EE72173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No rodent covariate — wild bootstrap-t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68BCD8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Vac × Time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1B5CA4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—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DD8103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0.032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18A5B02">
            <w:pPr>
              <w:spacing w:line="240" w:lineRule="auto" w:before="0" w:after="0"/>
            </w:pPr>
          </w:p>
        </w:tc>
      </w:tr>
      <w:tr w14:paraId="08236FF4">
        <w:tblPrEx>
          <w:tblBorders>
            <w:top w:val="none" w:color="000000" w:sz="4" w:space="0"/>
            <w:left w:val="none" w:color="auto" w:sz="0" w:space="0"/>
            <w:bottom w:val="non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EFC121F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sz w:val="21"/>
              </w:rPr>
              <w:t>Pooled age-stratum model (age FE; cluster-robust SE)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5079BD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Vac × Time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FB3E438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sz w:val="21"/>
              </w:rPr>
              <w:t>−0.81 (−1.23, −0.38)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D4B70CF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sz w:val="21"/>
              </w:rPr>
              <w:t>&lt;0.01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E3C80C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sz w:val="21"/>
              </w:rPr>
              <w:t>Model 3; n=480; county + age-stratum FE</w:t>
            </w:r>
          </w:p>
        </w:tc>
      </w:tr>
      <w:tr w14:paraId="1E0C8470">
        <w:tblPrEx>
          <w:tblBorders>
            <w:top w:val="none" w:color="000000" w:sz="4" w:space="0"/>
            <w:left w:val="none" w:color="auto" w:sz="0" w:space="0"/>
            <w:bottom w:val="non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A2EB627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+ Year fixed effects (cluster-robust SE)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3945152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Vac × Time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79E8E7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−0.45 (−0.85, −0.04)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696F31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&lt;0.10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699A8E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Model 4</w:t>
            </w:r>
          </w:p>
        </w:tc>
      </w:tr>
      <w:tr w14:paraId="300A19DF">
        <w:tblPrEx>
          <w:tblBorders>
            <w:top w:val="none" w:color="000000" w:sz="4" w:space="0"/>
            <w:left w:val="none" w:color="auto" w:sz="0" w:space="0"/>
            <w:bottom w:val="non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409FB4B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Poisson rate model (population offset)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6DFF66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IRR per year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865FF3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0.92 (0.86, 0.98)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04E4BA1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0.015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963FAF8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non-negative fitted incidence</w:t>
            </w:r>
          </w:p>
        </w:tc>
      </w:tr>
      <w:tr w14:paraId="6E6DBC4F">
        <w:tblPrEx>
          <w:tblBorders>
            <w:top w:val="none" w:color="000000" w:sz="4" w:space="0"/>
            <w:left w:val="none" w:color="auto" w:sz="0" w:space="0"/>
            <w:bottom w:val="non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B8233A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Callaway–Sant’Anna (CSA) ATT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C73078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ATT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51FCDE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−4.00 (−6.62, −1.37)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39F233D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&lt;0.01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F6EE7D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Figure S5</w:t>
            </w:r>
          </w:p>
        </w:tc>
      </w:tr>
      <w:tr w14:paraId="26EAEC0C">
        <w:tblPrEx>
          <w:tblBorders>
            <w:top w:val="none" w:color="000000" w:sz="4" w:space="0"/>
            <w:left w:val="none" w:color="auto" w:sz="0" w:space="0"/>
            <w:bottom w:val="non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56ABF2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Bacon decomposition (standard TWFE)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D335273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TWFE estimand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AB58941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+0.49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DDC9CCF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0.71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23ADA83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44.8% negative-weight; affected by heterogeneous-treatment-effect weights; not primary estimator</w:t>
            </w:r>
          </w:p>
        </w:tc>
      </w:tr>
      <w:tr w14:paraId="6E79A119">
        <w:tblPrEx>
          <w:tblBorders>
            <w:top w:val="none" w:color="000000" w:sz="4" w:space="0"/>
            <w:left w:val="none" w:color="auto" w:sz="0" w:space="0"/>
            <w:bottom w:val="non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1E26189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Leave-one-out (8 county exclusions)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5DF1793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Vac × Time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A624062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−0.60 to −0.87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DECE46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all &lt;0.05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BA69B07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Table S5, Figure S6</w:t>
            </w:r>
          </w:p>
        </w:tc>
      </w:tr>
      <w:tr w14:paraId="6A16CAF2">
        <w:tblPrEx>
          <w:tblBorders>
            <w:top w:val="none" w:color="000000" w:sz="4" w:space="0"/>
            <w:left w:val="none" w:color="auto" w:sz="0" w:space="0"/>
            <w:bottom w:val="non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BD4BB37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Placebo 60+ (non-targeted)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98E6C76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Post × Time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B84B71C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−1.05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CC2386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0.087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6E88FB6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negative-control</w:t>
            </w:r>
          </w:p>
        </w:tc>
      </w:tr>
      <w:tr w14:paraId="5EB3A740">
        <w:tblPrEx>
          <w:tblBorders>
            <w:top w:val="none" w:color="000000" w:sz="4" w:space="0"/>
            <w:left w:val="none" w:color="auto" w:sz="0" w:space="0"/>
            <w:bottom w:val="non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B1E9769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Placebo 0–14 (non-targeted)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9AA67F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Post × Time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C4B492E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−0.33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F5E5A3E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0.12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08ECA04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negative-control</w:t>
            </w:r>
          </w:p>
        </w:tc>
      </w:tr>
    </w:tbl>
    <w:p w14:paraId="434F3BE0">
      <w:pPr>
        <w:spacing w:line="240" w:lineRule="auto" w:before="0" w:after="0"/>
        <w:jc w:val="left"/>
      </w:pPr>
      <w:r>
        <w:rPr>
          <w:rFonts w:ascii="Times New Roman" w:hAnsi="Times New Roman" w:eastAsia="Times New Roman" w:cs="Times New Roman"/>
          <w:b w:val="0"/>
          <w:sz w:val="18"/>
          <w:szCs w:val="16"/>
        </w:rPr>
        <w:t>Note: Preferred and robustness linear fixed-effects models use county-clustered standard errors; the wild cluster bootstrap-t (Webb six-point weights, 9,999 repli</w:t>
      </w:r>
      <w:bookmarkStart w:id="0" w:name="_GoBack"/>
      <w:bookmarkEnd w:id="0"/>
      <w:r>
        <w:rPr>
          <w:rFonts w:ascii="Times New Roman" w:hAnsi="Times New Roman" w:eastAsia="Times New Roman" w:cs="Times New Roman"/>
          <w:b w:val="0"/>
          <w:sz w:val="18"/>
          <w:szCs w:val="16"/>
        </w:rPr>
        <w:t>cations) is the preferred inference because the estimate rests on only eight clusters (G = 8 &lt; 10). Model 3 is a pooled county–age-stratum–year model for the 0–14, 15–59, and ≥60-year strata and includes age-stratum fixed effects. IRR, incidence-rate ratio; ATT, average treatment effect on the treated. Models 1–4: Table 6; Bacon decomposition: Table S4; event study: Table S2 and Figure 6; Callaway–Sant’Anna and leave-one-out: Figure S5–S6 and Table S5.</w:t>
      </w:r>
    </w:p>
    <w:p w14:paraId="7C773005">
      <w:pPr>
        <w:spacing w:line="240" w:lineRule="auto" w:before="0" w:after="0"/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7B1376E"/>
    <w:rsid w:val="32AA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1572</Characters>
  <Lines>0</Lines>
  <Paragraphs>0</Paragraphs>
  <TotalTime>10</TotalTime>
  <ScaleCrop>false</ScaleCrop>
  <LinksUpToDate>false</LinksUpToDate>
  <CharactersWithSpaces>1780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李紫芬</cp:lastModifiedBy>
  <dcterms:modified xsi:type="dcterms:W3CDTF">2026-08-11T02:19:15Z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eyJoZGlkIjoiMzdkNTczZmQ3ZTkyZWJkMzBkNTA0YzFjM2FjZjg1NDkiLCJ1c2VySWQiOiI0NzgxNTc0MzgifQ==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2B4CF98B16DF49ABBD1B4D90F863C220_12</vt:lpwstr>
  </property>
</Properties>
</file>