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A578E">
      <w:pPr>
        <w:spacing w:line="480" w:lineRule="auto" w:before="0" w:after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S3. RHCR ecological time series and association with human HFRS incidence.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14:paraId="54C83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D2423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Model</w:t>
            </w:r>
          </w:p>
        </w:tc>
        <w:tc>
          <w:tcPr>
            <w:tcW w:w="204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1E8F3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Term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64E567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Estimate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8608397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Std. error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8882F6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P-value</w:t>
            </w:r>
          </w:p>
        </w:tc>
        <w:tc>
          <w:tcPr>
            <w:tcW w:w="680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F427C9E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N</w:t>
            </w:r>
          </w:p>
        </w:tc>
        <w:tc>
          <w:tcPr>
            <w:tcW w:w="1247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C85B62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1"/>
              </w:rPr>
              <w:t>Notes</w:t>
            </w:r>
          </w:p>
        </w:tc>
      </w:tr>
      <w:tr w14:paraId="08275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650EE9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Regional, ages 15–59 y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CD09BA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Intercept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93F253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6.801***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132AFD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0.800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4F517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&lt;0.001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BD6DD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20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F3FEB8">
            <w:pPr>
              <w:spacing w:line="240" w:lineRule="auto" w:before="0" w:after="0"/>
              <w:jc w:val="left"/>
            </w:pPr>
          </w:p>
        </w:tc>
      </w:tr>
      <w:tr w14:paraId="6AA2B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A694AF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Regional, ages 15–59 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0AA657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RHCR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193B22B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0.083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E477954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0.251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B1FB0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0.745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23E09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EFC81A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not significant</w:t>
            </w:r>
          </w:p>
        </w:tc>
      </w:tr>
      <w:tr w14:paraId="61AC5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F96FFB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Regional, all ages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5CEE297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Intercept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E20CCC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6.524***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03AFC8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0.733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3442C1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&lt;0.001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FC9023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C8F7D0">
            <w:pPr>
              <w:spacing w:line="240" w:lineRule="auto" w:before="0" w:after="0"/>
              <w:jc w:val="left"/>
            </w:pPr>
          </w:p>
        </w:tc>
      </w:tr>
      <w:tr w14:paraId="0576E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EF6C10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Regional, all ages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34D62A">
            <w:pPr>
              <w:spacing w:line="240" w:lineRule="auto" w:before="0" w:after="0"/>
            </w:pPr>
            <w:r>
              <w:rPr>
                <w:rFonts w:ascii="Times New Roman" w:hAnsi="Times New Roman" w:eastAsia="Times New Roman" w:cs="Times New Roman"/>
                <w:sz w:val="21"/>
              </w:rPr>
              <w:t>RHCR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D25095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0.197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04B95BA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0.230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0F2D312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0.40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93EE29"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776E34">
            <w:pPr>
              <w:spacing w:line="240" w:lineRule="auto" w:before="0" w:after="0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sz w:val="21"/>
              </w:rPr>
              <w:t>not significant</w:t>
            </w:r>
          </w:p>
        </w:tc>
      </w:tr>
    </w:tbl>
    <w:p w14:paraId="463E1B2C">
      <w:pPr>
        <w:spacing w:line="240" w:lineRule="auto" w:before="0" w:after="0"/>
        <w:jc w:val="left"/>
      </w:pPr>
      <w:r>
        <w:rPr>
          <w:rFonts w:ascii="Times New Roman" w:hAnsi="Times New Roman" w:eastAsia="Times New Roman" w:cs="Times New Roman"/>
          <w:b w:val="0"/>
          <w:sz w:val="18"/>
        </w:rPr>
        <w:t>Note: Ecological (aggregate) linear regression of annual overall HFRS incidence (per 100,000) on the regional rodent hantavirus carriage rate (RHCR, % positive rodents), primary cluster, 2005–2024 (n = 20 annual observations obtained by aggregating the 8 counties × 20 years to the year level). RHCR was derived from annual antigen surveillance of rodents captured in Gao’an County, Jiangxi. For each year, RHCR (%) = antigen-positive rodents / rodents tested for antigen × 100; a value of 0 denotes completed testing with no antigen-positive specimen, not missing data. The single annual RHCR value was applied as a Cluster I-wide covariate to all eight counties in the DID models. The aggregate RHCR associations were not statistically significant (P = 0.745 for ages 15–59 years; P = 0.403 for regional all ages). The positive RHCR coefficient in Table 6 Model 1 is a finite-sample nominal signal and should not be interpreted as evidence of a causal interaction or complementarity between vaccination and rodent control. † P &lt; 0.10, * P &lt; 0.05, ** P &lt; 0.01, *** P &lt; 0.001.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97C452B"/>
    <w:rsid w:val="75CA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1214</Characters>
  <Lines>0</Lines>
  <Paragraphs>0</Paragraphs>
  <TotalTime>2</TotalTime>
  <ScaleCrop>false</ScaleCrop>
  <LinksUpToDate>false</LinksUpToDate>
  <CharactersWithSpaces>1416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李紫芬</cp:lastModifiedBy>
  <dcterms:modified xsi:type="dcterms:W3CDTF">2026-08-11T02:15:58Z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eyJoZGlkIjoiMzdkNTczZmQ3ZTkyZWJkMzBkNTA0YzFjM2FjZjg1NDkiLCJ1c2VySWQiOiI0NzgxNTc0MzgifQ==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3B500632096543E4A8CAD2230CB027C1_12</vt:lpwstr>
  </property>
</Properties>
</file>