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8" w:name="supplementary-information"/>
    <w:p>
      <w:pPr>
        <w:pStyle w:val="Heading1"/>
        <w:spacing w:before="160" w:after="80" w:line="480" w:lineRule="auto"/>
      </w:pPr>
      <w:r>
        <w:t xml:space="preserve">Supplementary Information</w:t>
      </w:r>
    </w:p>
    <w:bookmarkStart w:id="9" w:name="Xfdfc0aca15faf45d49f4e04b1028efd659300e0"/>
    <w:p>
      <w:pPr>
        <w:pStyle w:val="Heading2"/>
        <w:spacing w:before="160" w:after="80" w:line="480" w:lineRule="auto"/>
      </w:pPr>
      <w:r>
        <w:t xml:space="preserve">Recovering atmospheric dynamics from atmospheric composition snapshots using machine learning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sz w:val="22"/>
        </w:rPr>
        <w:t xml:space="preserve">Sudhanshu Pandey</w:t>
      </w:r>
      <w:r>
        <w:rPr>
          <w:sz w:val="22"/>
          <w:vertAlign w:val="superscript"/>
        </w:rPr>
        <w:t xml:space="preserve">1*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  <w:vertAlign w:val="superscript"/>
        </w:rPr>
        <w:t xml:space="preserve">1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Jet Propulsion Laboratory, California Institute of Technology, Pasadena, CA, USA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</w:rPr>
        <w:t xml:space="preserve">*Correspondence to: sudhanshu.pandey@jpl.nasa.gov</w:t>
      </w:r>
    </w:p>
    <w:p>
      <w:pPr>
        <w:spacing w:before="40" w:after="200" w:line="480" w:lineRule="auto"/>
        <w:rPr>
          <w:sz w:val="22"/>
        </w:rPr>
      </w:pPr>
      <w:r>
        <w:rPr>
          <w:sz w:val="22"/>
        </w:rPr>
        <w:pict>
          <v:rect style="width:0;height:1.5pt" o:hralign="center" o:hrstd="t" o:hr="t"/>
        </w:pict>
      </w:r>
    </w:p>
    <w:bookmarkEnd w:id="9"/>
    <w:bookmarkStart w:id="10" w:name="supplementary-overview"/>
    <w:p>
      <w:pPr>
        <w:pStyle w:val="Heading2"/>
        <w:spacing w:before="160" w:after="80" w:line="480" w:lineRule="auto"/>
      </w:pPr>
      <w:r>
        <w:t xml:space="preserve">Supplementary overview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sz w:val="22"/>
        </w:rPr>
        <w:t xml:space="preserve">The supplementary analyses support the main results along four lines. First, they test whether</w:t>
      </w:r>
      <w:r>
        <w:rPr>
          <w:sz w:val="22"/>
        </w:rPr>
        <w:t xml:space="preserve"> </w:t>
      </w:r>
      <w:r>
        <w:rPr>
          <w:sz w:val="22"/>
        </w:rPr>
        <w:t xml:space="preserve">the recovered dynamical information is available from satellite-like column observations alone,</w:t>
      </w:r>
      <w:r>
        <w:rPr>
          <w:sz w:val="22"/>
        </w:rPr>
        <w:t xml:space="preserve"> </w:t>
      </w:r>
      <w:r>
        <w:rPr>
          <w:sz w:val="22"/>
        </w:rPr>
        <w:t xml:space="preserve">and whether even a single long-lived tracer column carries information about surface and</w:t>
      </w:r>
      <w:r>
        <w:rPr>
          <w:sz w:val="22"/>
        </w:rPr>
        <w:t xml:space="preserve"> </w:t>
      </w:r>
      <w:r>
        <w:rPr>
          <w:sz w:val="22"/>
        </w:rPr>
        <w:t xml:space="preserve">free-tropospheric winds and PBLH</w:t>
      </w:r>
      <w:r>
        <w:rPr>
          <w:sz w:val="22"/>
        </w:rPr>
        <w:t xml:space="preserve"> </w:t>
      </w:r>
      <w:r>
        <w:rPr>
          <w:sz w:val="22"/>
        </w:rPr>
        <w:t xml:space="preserve">(Supplementary Figs. S3 and S4). Second, they test whether the target- and altitude-dependent</w:t>
      </w:r>
      <w:r>
        <w:rPr>
          <w:sz w:val="22"/>
        </w:rPr>
        <w:t xml:space="preserve"> </w:t>
      </w:r>
      <w:r>
        <w:rPr>
          <w:sz w:val="22"/>
        </w:rPr>
        <w:t xml:space="preserve">tracer partition identified in GEOS-CF replicates in an independently produced composition</w:t>
      </w:r>
      <w:r>
        <w:rPr>
          <w:sz w:val="22"/>
        </w:rPr>
        <w:t xml:space="preserve"> </w:t>
      </w:r>
      <w:r>
        <w:rPr>
          <w:sz w:val="22"/>
        </w:rPr>
        <w:t xml:space="preserve">system (Supplementary Fig. S5). Third, they test alternative explanations for the recovered</w:t>
      </w:r>
      <w:r>
        <w:rPr>
          <w:sz w:val="22"/>
        </w:rPr>
        <w:t xml:space="preserve"> </w:t>
      </w:r>
      <w:r>
        <w:rPr>
          <w:sz w:val="22"/>
        </w:rPr>
        <w:t xml:space="preserve">skill (Supplementary Figs. S6–S8). The TEMPO configurations probe sensitivity to trace-gas</w:t>
      </w:r>
      <w:r>
        <w:rPr>
          <w:sz w:val="22"/>
        </w:rPr>
        <w:t xml:space="preserve"> </w:t>
      </w:r>
      <w:r>
        <w:rPr>
          <w:sz w:val="22"/>
        </w:rPr>
        <w:t xml:space="preserve">products, cloud information and weather-correlated sampling. The humidity comparison</w:t>
      </w:r>
      <w:r>
        <w:rPr>
          <w:sz w:val="22"/>
        </w:rPr>
        <w:t xml:space="preserve"> </w:t>
      </w:r>
      <w:r>
        <w:rPr>
          <w:sz w:val="22"/>
        </w:rPr>
        <w:t xml:space="preserve">tests whether composition acts as a generic meteorological proxy, while the WRF-Chem experiment</w:t>
      </w:r>
      <w:r>
        <w:rPr>
          <w:sz w:val="22"/>
        </w:rPr>
        <w:t xml:space="preserve"> </w:t>
      </w:r>
      <w:r>
        <w:rPr>
          <w:sz w:val="22"/>
        </w:rPr>
        <w:t xml:space="preserve">tests whether skill depends on source identity or absolute emission magnitude rather than</w:t>
      </w:r>
      <w:r>
        <w:rPr>
          <w:sz w:val="22"/>
        </w:rPr>
        <w:t xml:space="preserve"> </w:t>
      </w:r>
      <w:r>
        <w:rPr>
          <w:sz w:val="22"/>
        </w:rPr>
        <w:t xml:space="preserve">flow-dependent plume geometry. Fourth, they examine how the</w:t>
      </w:r>
      <w:r>
        <w:rPr>
          <w:sz w:val="22"/>
        </w:rPr>
        <w:t xml:space="preserve"> </w:t>
      </w:r>
      <w:r>
        <w:rPr>
          <w:sz w:val="22"/>
        </w:rPr>
        <w:t xml:space="preserve">recoverable information changes between spatially resolved imaging and sparse in-situ sampling</w:t>
      </w:r>
      <w:r>
        <w:rPr>
          <w:sz w:val="22"/>
        </w:rPr>
        <w:t xml:space="preserve"> </w:t>
      </w:r>
      <w:r>
        <w:rPr>
          <w:sz w:val="22"/>
        </w:rPr>
        <w:t xml:space="preserve">(Supplementary Fig. S9). Supplementary Methods 4.1–4.8 specify the protocols, and Supplementary</w:t>
      </w:r>
      <w:r>
        <w:rPr>
          <w:sz w:val="22"/>
        </w:rPr>
        <w:t xml:space="preserve"> </w:t>
      </w:r>
      <w:r>
        <w:rPr>
          <w:sz w:val="22"/>
        </w:rPr>
        <w:t xml:space="preserve">Tables S1 and S2 collect the experiment designs and selected summary statistics. Acronyms and dataset abbreviations follow their definitions in the main text.</w:t>
      </w:r>
    </w:p>
    <w:bookmarkEnd w:id="10"/>
    <w:bookmarkStart w:id="19" w:name="X701e8154fd5cf4318245de5c2662650f4f4f032"/>
    <w:p>
      <w:pPr>
        <w:pStyle w:val="Heading2"/>
        <w:spacing w:before="160" w:after="80" w:line="480" w:lineRule="auto"/>
      </w:pPr>
      <w:r>
        <w:t xml:space="preserve">1. Supplementary context and analytical framework</w:t>
      </w:r>
    </w:p>
    <w:bookmarkStart w:id="14" w:name="X8eb267cdfb5cb238984152559aa94e537f002f8"/>
    <w:p>
      <w:pPr>
        <w:pStyle w:val="Heading3"/>
        <w:spacing w:before="160" w:after="80" w:line="480" w:lineRule="auto"/>
      </w:pPr>
      <w:r>
        <w:t xml:space="preserve">1.1 Composition imaging complements direct dynamical observations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sz w:val="22"/>
        </w:rPr>
        <w:t xml:space="preserve">Supplementary Fig. S1 places the study in its observational context by comparing the sampling</w:t>
      </w:r>
      <w:r>
        <w:rPr>
          <w:sz w:val="22"/>
        </w:rPr>
        <w:t xml:space="preserve"> </w:t>
      </w:r>
      <w:r>
        <w:rPr>
          <w:sz w:val="22"/>
        </w:rPr>
        <w:t xml:space="preserve">geometry of direct wind observations with that of satellite composition imaging. Radiosondes</w:t>
      </w:r>
      <w:r>
        <w:rPr>
          <w:sz w:val="22"/>
        </w:rPr>
        <w:t xml:space="preserve"> </w:t>
      </w:r>
      <w:r>
        <w:rPr>
          <w:sz w:val="22"/>
        </w:rPr>
        <w:t xml:space="preserve">provide accurate full-profile winds at fixed stations, scatterometers measure ocean-surface</w:t>
      </w:r>
      <w:r>
        <w:rPr>
          <w:sz w:val="22"/>
        </w:rPr>
        <w:t xml:space="preserve"> </w:t>
      </w:r>
      <w:r>
        <w:rPr>
          <w:sz w:val="22"/>
        </w:rPr>
        <w:t xml:space="preserve">winds along swaths, and atmospheric motion vectors provide wind estimates wherever trackable</w:t>
      </w:r>
      <w:r>
        <w:rPr>
          <w:sz w:val="22"/>
        </w:rPr>
        <w:t xml:space="preserve"> </w:t>
      </w:r>
      <w:r>
        <w:rPr>
          <w:sz w:val="22"/>
        </w:rPr>
        <w:t xml:space="preserve">cloud or humidity features exist. Geostationary composition imagers such as TEMPO, GEMS and</w:t>
      </w:r>
      <w:r>
        <w:rPr>
          <w:sz w:val="22"/>
        </w:rPr>
        <w:t xml:space="preserve"> </w:t>
      </w:r>
      <w:r>
        <w:rPr>
          <w:sz w:val="22"/>
        </w:rPr>
        <w:t xml:space="preserve">Sentinel-4 scan continental domains at hourly cadence in daylight, and polar-orbiting</w:t>
      </w:r>
      <w:r>
        <w:rPr>
          <w:sz w:val="22"/>
        </w:rPr>
        <w:t xml:space="preserve"> </w:t>
      </w:r>
      <w:r>
        <w:rPr>
          <w:sz w:val="22"/>
        </w:rPr>
        <w:t xml:space="preserve">composition sensors — ultraviolet–visible spectrometers and thermal-infrared sounders —</w:t>
      </w:r>
      <w:r>
        <w:rPr>
          <w:sz w:val="22"/>
        </w:rPr>
        <w:t xml:space="preserve"> </w:t>
      </w:r>
      <w:r>
        <w:rPr>
          <w:sz w:val="22"/>
        </w:rPr>
        <w:t xml:space="preserve">provide near-global coverage at daily to multi-day revisit. The comparison concerns observing</w:t>
      </w:r>
      <w:r>
        <w:rPr>
          <w:sz w:val="22"/>
        </w:rPr>
        <w:t xml:space="preserve"> </w:t>
      </w:r>
      <w:r>
        <w:rPr>
          <w:sz w:val="22"/>
        </w:rPr>
        <w:t xml:space="preserve">geometry and nominal sampling only, not retrieval accuracy or information content, and usable</w:t>
      </w:r>
      <w:r>
        <w:rPr>
          <w:sz w:val="22"/>
        </w:rPr>
        <w:t xml:space="preserve"> </w:t>
      </w:r>
      <w:r>
        <w:rPr>
          <w:sz w:val="22"/>
        </w:rPr>
        <w:t xml:space="preserve">composition coverage is further limited by clouds and retrieval-quality filtering.</w:t>
      </w:r>
    </w:p>
    <w:p>
      <w:pPr>
        <w:pStyle w:val="BodyText"/>
        <w:spacing w:before="40" w:after="120" w:line="480" w:lineRule="auto"/>
        <w:jc w:val="center"/>
        <w:rPr>
          <w:sz w:val="22"/>
        </w:rPr>
        <w:pBdr>
          <w:bottom w:val="single" w:sz="4" w:space="6" w:color="AAAAAA"/>
        </w:pBdr>
      </w:pPr>
      <w:r>
        <w:drawing>
          <wp:inline>
            <wp:extent cx="6332220" cy="5688527"/>
            <wp:effectExtent b="0" l="0" r="0" t="0"/>
            <wp:docPr descr="" title="" id="12" name="Picture"/>
            <a:graphic>
              <a:graphicData uri="http://schemas.openxmlformats.org/drawingml/2006/picture">
                <pic:pic>
                  <pic:nvPicPr>
                    <pic:cNvPr descr="figS_obs_map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5688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b/>
          <w:bCs/>
          <w:sz w:val="22"/>
        </w:rPr>
        <w:t xml:space="preserve">Supplementary Fig. S1 | Observing geometry and nominal sampling of direct wind observations and composition imaging.</w:t>
      </w:r>
      <w:r>
        <w:rPr>
          <w:sz w:val="22"/>
        </w:rPr>
        <w:t xml:space="preserve"> </w:t>
      </w:r>
      <w:r>
        <w:rPr>
          <w:sz w:val="22"/>
        </w:rPr>
        <w:t xml:space="preserve">(</w:t>
      </w:r>
      <w:r>
        <w:rPr>
          <w:b/>
          <w:bCs/>
          <w:sz w:val="22"/>
        </w:rPr>
        <w:t xml:space="preserve">a</w:t>
      </w:r>
      <w:r>
        <w:rPr>
          <w:sz w:val="22"/>
        </w:rPr>
        <w:t xml:space="preserve">) Direct wind observations on one representative day (15 July 2019). Dots mark IGRA</w:t>
      </w:r>
      <w:r>
        <w:rPr>
          <w:sz w:val="22"/>
        </w:rPr>
        <w:t xml:space="preserve"> </w:t>
      </w:r>
      <w:r>
        <w:rPr>
          <w:sz w:val="22"/>
        </w:rPr>
        <w:t xml:space="preserve">radiosonde stations that reported an 850-hPa wind in 2019, coloured by annual reporting</w:t>
      </w:r>
      <w:r>
        <w:rPr>
          <w:sz w:val="22"/>
        </w:rPr>
        <w:t xml:space="preserve"> </w:t>
      </w:r>
      <w:r>
        <w:rPr>
          <w:sz w:val="22"/>
        </w:rPr>
        <w:t xml:space="preserve">frequency; blue shading marks that day’s ASCAT ocean-surface wind swaths; dark-blue points are</w:t>
      </w:r>
      <w:r>
        <w:rPr>
          <w:sz w:val="22"/>
        </w:rPr>
        <w:t xml:space="preserve"> </w:t>
      </w:r>
      <w:r>
        <w:rPr>
          <w:sz w:val="22"/>
        </w:rPr>
        <w:t xml:space="preserve">ICOADS ship and buoy reports and grey points are HadISD surface stations (locations from the</w:t>
      </w:r>
      <w:r>
        <w:rPr>
          <w:sz w:val="22"/>
        </w:rPr>
        <w:t xml:space="preserve"> </w:t>
      </w:r>
      <w:r>
        <w:rPr>
          <w:sz w:val="22"/>
        </w:rPr>
        <w:t xml:space="preserve">Aardvark Weather compilation). (</w:t>
      </w:r>
      <w:r>
        <w:rPr>
          <w:b/>
          <w:bCs/>
          <w:sz w:val="22"/>
        </w:rPr>
        <w:t xml:space="preserve">b</w:t>
      </w:r>
      <w:r>
        <w:rPr>
          <w:sz w:val="22"/>
        </w:rPr>
        <w:t xml:space="preserve">) Approximate geostationary fields of regard of TEMPO,</w:t>
      </w:r>
      <w:r>
        <w:rPr>
          <w:sz w:val="22"/>
        </w:rPr>
        <w:t xml:space="preserve"> </w:t>
      </w:r>
      <w:r>
        <w:rPr>
          <w:sz w:val="22"/>
        </w:rPr>
        <w:t xml:space="preserve">GEMS and Sentinel-4 (dashed) and the TEMPO Level-3 domain used in this study (solid; Fig. 5);</w:t>
      </w:r>
      <w:r>
        <w:rPr>
          <w:sz w:val="22"/>
        </w:rPr>
        <w:t xml:space="preserve"> </w:t>
      </w:r>
      <w:r>
        <w:rPr>
          <w:sz w:val="22"/>
        </w:rPr>
        <w:t xml:space="preserve">the background tint denotes near-global daily coverage from polar-orbiting composition sensors,</w:t>
      </w:r>
      <w:r>
        <w:rPr>
          <w:sz w:val="22"/>
        </w:rPr>
        <w:t xml:space="preserve"> </w:t>
      </w:r>
      <w:r>
        <w:rPr>
          <w:sz w:val="22"/>
        </w:rPr>
        <w:t xml:space="preserve">shown for TROPOMI. (</w:t>
      </w:r>
      <w:r>
        <w:rPr>
          <w:b/>
          <w:bCs/>
          <w:sz w:val="22"/>
        </w:rPr>
        <w:t xml:space="preserve">c</w:t>
      </w:r>
      <w:r>
        <w:rPr>
          <w:sz w:val="22"/>
        </w:rPr>
        <w:t xml:space="preserve">) Nominal revisit interval of each system, annotated by the quantity</w:t>
      </w:r>
      <w:r>
        <w:rPr>
          <w:sz w:val="22"/>
        </w:rPr>
        <w:t xml:space="preserve"> </w:t>
      </w:r>
      <w:r>
        <w:rPr>
          <w:sz w:val="22"/>
        </w:rPr>
        <w:t xml:space="preserve">measured.</w:t>
      </w:r>
    </w:p>
    <w:bookmarkEnd w:id="14"/>
    <w:bookmarkStart w:id="18" w:name="shared-neural-network-architecture"/>
    <w:p>
      <w:pPr>
        <w:pStyle w:val="Heading3"/>
        <w:spacing w:before="160" w:after="80" w:line="480" w:lineRule="auto"/>
      </w:pPr>
      <w:r>
        <w:t xml:space="preserve">1.2 Shared neural-network architecture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sz w:val="22"/>
        </w:rPr>
        <w:t xml:space="preserve">Every gridded image-to-field experiment uses the same four-level convolutional encoder–decoder</w:t>
      </w:r>
      <w:r>
        <w:rPr>
          <w:sz w:val="22"/>
        </w:rPr>
        <w:t xml:space="preserve"> </w:t>
      </w:r>
      <w:r>
        <w:rPr>
          <w:sz w:val="22"/>
        </w:rPr>
        <w:t xml:space="preserve">(U-Net; Supplementary Fig. S2), so that differences in recovered skill reflect the composition</w:t>
      </w:r>
      <w:r>
        <w:rPr>
          <w:sz w:val="22"/>
        </w:rPr>
        <w:t xml:space="preserve"> </w:t>
      </w:r>
      <w:r>
        <w:rPr>
          <w:sz w:val="22"/>
        </w:rPr>
        <w:t xml:space="preserve">inputs rather than architectural choices. Only the input and output channels change between</w:t>
      </w:r>
      <w:r>
        <w:rPr>
          <w:sz w:val="22"/>
        </w:rPr>
        <w:t xml:space="preserve"> </w:t>
      </w:r>
      <w:r>
        <w:rPr>
          <w:sz w:val="22"/>
        </w:rPr>
        <w:t xml:space="preserve">experiments, as specified per experiment in the main Methods; no configuration receives wind,</w:t>
      </w:r>
      <w:r>
        <w:rPr>
          <w:sz w:val="22"/>
        </w:rPr>
        <w:t xml:space="preserve"> </w:t>
      </w:r>
      <w:r>
        <w:rPr>
          <w:sz w:val="22"/>
        </w:rPr>
        <w:t xml:space="preserve">PBLH, temperature, humidity or meteorological-imagery input unless explicitly stated</w:t>
      </w:r>
      <w:r>
        <w:rPr>
          <w:sz w:val="22"/>
        </w:rPr>
        <w:t xml:space="preserve"> </w:t>
      </w:r>
      <w:r>
        <w:rPr>
          <w:sz w:val="22"/>
        </w:rPr>
        <w:t xml:space="preserve">for a comparison experiment.</w:t>
      </w:r>
    </w:p>
    <w:p>
      <w:pPr>
        <w:pStyle w:val="BodyText"/>
        <w:spacing w:before="40" w:after="120" w:line="480" w:lineRule="auto"/>
        <w:jc w:val="center"/>
        <w:rPr>
          <w:sz w:val="22"/>
        </w:rPr>
        <w:pBdr>
          <w:bottom w:val="single" w:sz="4" w:space="6" w:color="AAAAAA"/>
        </w:pBdr>
      </w:pPr>
      <w:r>
        <w:drawing>
          <wp:inline>
            <wp:extent cx="6332220" cy="3119362"/>
            <wp:effectExtent b="0" l="0" r="0" t="0"/>
            <wp:docPr descr="" title="" id="16" name="Picture"/>
            <a:graphic>
              <a:graphicData uri="http://schemas.openxmlformats.org/drawingml/2006/picture">
                <pic:pic>
                  <pic:nvPicPr>
                    <pic:cNvPr descr="figS_unet_architecture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31193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b/>
          <w:bCs/>
          <w:sz w:val="22"/>
        </w:rPr>
        <w:t xml:space="preserve">Supplementary Fig. S2 | Network architecture.</w:t>
      </w:r>
      <w:r>
        <w:rPr>
          <w:sz w:val="22"/>
        </w:rPr>
        <w:t xml:space="preserve"> </w:t>
      </w:r>
      <w:r>
        <w:rPr>
          <w:sz w:val="22"/>
        </w:rPr>
        <w:t xml:space="preserve">Four-level convolutional encoder–decoder U-Net (base width 64), shown for a representative</w:t>
      </w:r>
      <w:r>
        <w:rPr>
          <w:sz w:val="22"/>
        </w:rPr>
        <w:t xml:space="preserve"> </w:t>
      </w:r>
      <w:r>
        <w:rPr>
          <w:sz w:val="22"/>
        </w:rPr>
        <w:t xml:space="preserve">columns-only configuration on an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H</w:t>
      </w:r>
      <w:r>
        <w:rPr>
          <w:sz w:val="22"/>
        </w:rPr>
        <w:t xml:space="preserve"> </w:t>
      </w:r>
      <w:r>
        <w:rPr>
          <w:sz w:val="22"/>
        </w:rPr>
        <w:t xml:space="preserve">×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W</w:t>
      </w:r>
      <w:r>
        <w:rPr>
          <w:sz w:val="22"/>
        </w:rPr>
        <w:t xml:space="preserve"> </w:t>
      </w:r>
      <w:r>
        <w:rPr>
          <w:sz w:val="22"/>
        </w:rPr>
        <w:t xml:space="preserve">input grid. The numbers 64, 128, 256 and 512 denote</w:t>
      </w:r>
      <w:r>
        <w:rPr>
          <w:sz w:val="22"/>
        </w:rPr>
        <w:t xml:space="preserve"> </w:t>
      </w:r>
      <w:r>
        <w:rPr>
          <w:sz w:val="22"/>
        </w:rPr>
        <w:t xml:space="preserve">feature-channel counts. Three 2× max-pooling operations reduce the horizontal dimensions from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H</w:t>
      </w:r>
      <w:r>
        <w:rPr>
          <w:sz w:val="22"/>
        </w:rPr>
        <w:t xml:space="preserve"> </w:t>
      </w:r>
      <w:r>
        <w:rPr>
          <w:sz w:val="22"/>
        </w:rPr>
        <w:t xml:space="preserve">×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W</w:t>
      </w:r>
      <w:r>
        <w:rPr>
          <w:sz w:val="22"/>
        </w:rPr>
        <w:t xml:space="preserve"> </w:t>
      </w:r>
      <w:r>
        <w:rPr>
          <w:sz w:val="22"/>
        </w:rPr>
        <w:t xml:space="preserve">to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H</w:t>
      </w:r>
      <w:r>
        <w:rPr>
          <w:sz w:val="22"/>
        </w:rPr>
        <w:t xml:space="preserve">/8 ×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W</w:t>
      </w:r>
      <w:r>
        <w:rPr>
          <w:sz w:val="22"/>
        </w:rPr>
        <w:t xml:space="preserve">/8 at the bottleneck; the decoder mirrors this sequence with transposed</w:t>
      </w:r>
      <w:r>
        <w:rPr>
          <w:sz w:val="22"/>
        </w:rPr>
        <w:t xml:space="preserve"> </w:t>
      </w:r>
      <w:r>
        <w:rPr>
          <w:sz w:val="22"/>
        </w:rPr>
        <w:t xml:space="preserve">convolutions and skip connections. A final 1×1 convolution maps the decoded features to the</w:t>
      </w:r>
      <w:r>
        <w:rPr>
          <w:sz w:val="22"/>
        </w:rPr>
        <w:t xml:space="preserve"> </w:t>
      </w:r>
      <w:r>
        <w:rPr>
          <w:sz w:val="22"/>
        </w:rPr>
        <w:t xml:space="preserve">experiment-specific wind and PBLH targets. The separate humidity comparison supplies specific</w:t>
      </w:r>
      <w:r>
        <w:rPr>
          <w:sz w:val="22"/>
        </w:rPr>
        <w:t xml:space="preserve"> </w:t>
      </w:r>
      <w:r>
        <w:rPr>
          <w:sz w:val="22"/>
        </w:rPr>
        <w:t xml:space="preserve">humidity at nine pressure levels as input; neither humidity nor temperature is an output in that</w:t>
      </w:r>
      <w:r>
        <w:rPr>
          <w:sz w:val="22"/>
        </w:rPr>
        <w:t xml:space="preserve"> </w:t>
      </w:r>
      <w:r>
        <w:rPr>
          <w:sz w:val="22"/>
        </w:rPr>
        <w:t xml:space="preserve">experiment.</w:t>
      </w:r>
    </w:p>
    <w:bookmarkEnd w:id="18"/>
    <w:bookmarkEnd w:id="19"/>
    <w:bookmarkStart w:id="48" w:name="supplementary-results"/>
    <w:p>
      <w:pPr>
        <w:pStyle w:val="Heading2"/>
        <w:spacing w:before="160" w:after="80" w:line="480" w:lineRule="auto"/>
      </w:pPr>
      <w:r>
        <w:t xml:space="preserve">2. Supplementary Results</w:t>
      </w:r>
    </w:p>
    <w:bookmarkStart w:id="23" w:name="X4b351dc56ec89f1c933c444da42431425795826"/>
    <w:p>
      <w:pPr>
        <w:pStyle w:val="Heading3"/>
        <w:spacing w:before="160" w:after="80" w:line="480" w:lineRule="auto"/>
      </w:pPr>
      <w:r>
        <w:t xml:space="preserve">2.1 Column-only inputs retain free-tropospheric wind information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sz w:val="22"/>
        </w:rPr>
        <w:t xml:space="preserve">The primary GEOS-CF configuration receives trace-gas columns and near-surface concentrations of</w:t>
      </w:r>
      <w:r>
        <w:rPr>
          <w:sz w:val="22"/>
        </w:rPr>
        <w:t xml:space="preserve"> </w:t>
      </w:r>
      <w:r>
        <w:rPr>
          <w:sz w:val="22"/>
        </w:rPr>
        <w:t xml:space="preserve">the same gases, whereas a satellite spectrometer observes columns alone. To separate the</w:t>
      </w:r>
      <w:r>
        <w:rPr>
          <w:sz w:val="22"/>
        </w:rPr>
        <w:t xml:space="preserve"> </w:t>
      </w:r>
      <w:r>
        <w:rPr>
          <w:sz w:val="22"/>
        </w:rPr>
        <w:t xml:space="preserve">information available to satellite-like column observations from that supplied by near-surface</w:t>
      </w:r>
      <w:r>
        <w:rPr>
          <w:sz w:val="22"/>
        </w:rPr>
        <w:t xml:space="preserve"> </w:t>
      </w:r>
      <w:r>
        <w:rPr>
          <w:sz w:val="22"/>
        </w:rPr>
        <w:t xml:space="preserve">concentrations, an otherwise identical model is retrained on trace-gas columns only and scored</w:t>
      </w:r>
      <w:r>
        <w:rPr>
          <w:sz w:val="22"/>
        </w:rPr>
        <w:t xml:space="preserve"> </w:t>
      </w:r>
      <w:r>
        <w:rPr>
          <w:sz w:val="22"/>
        </w:rPr>
        <w:t xml:space="preserve">on the same temporally blocked August, October and December 2020 evaluation archive</w:t>
      </w:r>
      <w:r>
        <w:rPr>
          <w:sz w:val="22"/>
        </w:rPr>
        <w:t xml:space="preserve"> </w:t>
      </w:r>
      <w:r>
        <w:rPr>
          <w:sz w:val="22"/>
        </w:rPr>
        <w:t xml:space="preserve">(Supplementary Methods 4.7).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</w:rPr>
        <w:t xml:space="preserve">The 500-hPa wind-component scores are unchanged between the two input classes, whereas removing</w:t>
      </w:r>
      <w:r>
        <w:rPr>
          <w:sz w:val="22"/>
        </w:rPr>
        <w:t xml:space="preserve"> </w:t>
      </w:r>
      <w:r>
        <w:rPr>
          <w:sz w:val="22"/>
        </w:rPr>
        <w:t xml:space="preserve">the near-surface inputs lowers PBLH skill from a pooled ACC of 0.72 to 0.57,</w:t>
      </w:r>
      <w:r>
        <w:rPr>
          <w:sz w:val="22"/>
        </w:rPr>
        <w:t xml:space="preserve"> </w:t>
      </w:r>
      <w:r>
        <w:rPr>
          <w:sz w:val="22"/>
        </w:rPr>
        <w:t xml:space="preserve">with a smaller decrease of about 0.10 for the surface-wind components (Supplementary Fig. S3;</w:t>
      </w:r>
      <w:r>
        <w:rPr>
          <w:sz w:val="22"/>
        </w:rPr>
        <w:t xml:space="preserve"> </w:t>
      </w:r>
      <w:r>
        <w:rPr>
          <w:sz w:val="22"/>
        </w:rPr>
        <w:t xml:space="preserve">complete component scores in Supplementary Table S2).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</w:rPr>
        <w:t xml:space="preserve">This separation indicates that satellite-observable column structure carries the</w:t>
      </w:r>
      <w:r>
        <w:rPr>
          <w:sz w:val="22"/>
        </w:rPr>
        <w:t xml:space="preserve"> </w:t>
      </w:r>
      <w:r>
        <w:rPr>
          <w:sz w:val="22"/>
        </w:rPr>
        <w:t xml:space="preserve">free-tropospheric wind signal, while near-surface concentrations strengthen the boundary-layer</w:t>
      </w:r>
      <w:r>
        <w:rPr>
          <w:sz w:val="22"/>
        </w:rPr>
        <w:t xml:space="preserve"> </w:t>
      </w:r>
      <w:r>
        <w:rPr>
          <w:sz w:val="22"/>
        </w:rPr>
        <w:t xml:space="preserve">signal. It bounds what a column-observing instrument alone can be expected to provide and</w:t>
      </w:r>
      <w:r>
        <w:rPr>
          <w:sz w:val="22"/>
        </w:rPr>
        <w:t xml:space="preserve"> </w:t>
      </w:r>
      <w:r>
        <w:rPr>
          <w:sz w:val="22"/>
        </w:rPr>
        <w:t xml:space="preserve">motivates the near-surface and in-situ analyses below.</w:t>
      </w:r>
    </w:p>
    <w:p>
      <w:pPr>
        <w:pStyle w:val="BodyText"/>
        <w:spacing w:before="40" w:after="120" w:line="480" w:lineRule="auto"/>
        <w:jc w:val="center"/>
        <w:rPr>
          <w:sz w:val="22"/>
        </w:rPr>
        <w:pBdr>
          <w:bottom w:val="single" w:sz="4" w:space="6" w:color="AAAAAA"/>
        </w:pBdr>
      </w:pPr>
      <w:r>
        <w:drawing>
          <wp:inline>
            <wp:extent cx="6332220" cy="361946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figS_blocked_colonly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3619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b/>
          <w:bCs/>
          <w:sz w:val="22"/>
        </w:rPr>
        <w:t xml:space="preserve">Supplementary Fig. S3 | Trace-gas columns alone retain free-tropospheric wind skill under temporal generalisation.</w:t>
      </w:r>
      <w:r>
        <w:rPr>
          <w:sz w:val="22"/>
        </w:rPr>
        <w:t xml:space="preserve"> </w:t>
      </w:r>
      <w:r>
        <w:rPr>
          <w:sz w:val="22"/>
        </w:rPr>
        <w:t xml:space="preserve">Pooled spatiotemporal ACC on the month-held-out August, October and December 2020 GEOS-CF</w:t>
      </w:r>
      <w:r>
        <w:rPr>
          <w:sz w:val="22"/>
        </w:rPr>
        <w:t xml:space="preserve"> </w:t>
      </w:r>
      <w:r>
        <w:rPr>
          <w:sz w:val="22"/>
        </w:rPr>
        <w:t xml:space="preserve">evaluation archive (738 snapshots) for the primary configuration, supplied with trace-gas</w:t>
      </w:r>
      <w:r>
        <w:rPr>
          <w:sz w:val="22"/>
        </w:rPr>
        <w:t xml:space="preserve"> </w:t>
      </w:r>
      <w:r>
        <w:rPr>
          <w:sz w:val="22"/>
        </w:rPr>
        <w:t xml:space="preserve">columns and near-surface concentrations (dark), and an otherwise identical model retrained on</w:t>
      </w:r>
      <w:r>
        <w:rPr>
          <w:sz w:val="22"/>
        </w:rPr>
        <w:t xml:space="preserve"> </w:t>
      </w:r>
      <w:r>
        <w:rPr>
          <w:sz w:val="22"/>
        </w:rPr>
        <w:t xml:space="preserve">trace-gas columns alone (light). Bars are means across three independently initialised training</w:t>
      </w:r>
      <w:r>
        <w:rPr>
          <w:sz w:val="22"/>
        </w:rPr>
        <w:t xml:space="preserve"> </w:t>
      </w:r>
      <w:r>
        <w:rPr>
          <w:sz w:val="22"/>
        </w:rPr>
        <w:t xml:space="preserve">realisations, and whiskers show ±1 standard deviation across those three seeds. Bars show the</w:t>
      </w:r>
      <w:r>
        <w:rPr>
          <w:sz w:val="22"/>
        </w:rPr>
        <w:t xml:space="preserve"> </w:t>
      </w:r>
      <w:r>
        <w:rPr>
          <w:sz w:val="22"/>
        </w:rPr>
        <w:t xml:space="preserve">wind components and PBLH. The</w:t>
      </w:r>
      <w:r>
        <w:rPr>
          <w:sz w:val="22"/>
        </w:rPr>
        <w:t xml:space="preserve"> </w:t>
      </w:r>
      <w:r>
        <w:rPr>
          <w:sz w:val="22"/>
        </w:rPr>
        <w:t xml:space="preserve">500-hPa components are unchanged between the configurations, whereas the surface components and</w:t>
      </w:r>
      <w:r>
        <w:rPr>
          <w:sz w:val="22"/>
        </w:rPr>
        <w:t xml:space="preserve"> </w:t>
      </w:r>
      <w:r>
        <w:rPr>
          <w:sz w:val="22"/>
        </w:rPr>
        <w:t xml:space="preserve">PBLH decrease when the near-surface inputs are removed (component values in Supplementary</w:t>
      </w:r>
      <w:r>
        <w:rPr>
          <w:sz w:val="22"/>
        </w:rPr>
        <w:t xml:space="preserve"> </w:t>
      </w:r>
      <w:r>
        <w:rPr>
          <w:sz w:val="22"/>
        </w:rPr>
        <w:t xml:space="preserve">Table S2).</w:t>
      </w:r>
    </w:p>
    <w:bookmarkEnd w:id="23"/>
    <w:bookmarkStart w:id="27" w:name="X3071207535ad3b39ae7935156ffb7a3ab93a14f"/>
    <w:p>
      <w:pPr>
        <w:pStyle w:val="Heading3"/>
        <w:spacing w:before="160" w:after="80" w:line="480" w:lineRule="auto"/>
      </w:pPr>
      <w:r>
        <w:t xml:space="preserve">2.2 A single tropospheric CO₂ column carries information about winds and PBLH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sz w:val="22"/>
        </w:rPr>
        <w:t xml:space="preserve">CO₂ is the longest-lived tracer considered in this study, is central to satellite greenhouse-gas</w:t>
      </w:r>
      <w:r>
        <w:rPr>
          <w:sz w:val="22"/>
        </w:rPr>
        <w:t xml:space="preserve"> </w:t>
      </w:r>
      <w:r>
        <w:rPr>
          <w:sz w:val="22"/>
        </w:rPr>
        <w:t xml:space="preserve">observing systems, and is available here only in the CAMS reanalysis. An exploratory single-tracer</w:t>
      </w:r>
      <w:r>
        <w:rPr>
          <w:sz w:val="22"/>
        </w:rPr>
        <w:t xml:space="preserve"> </w:t>
      </w:r>
      <w:r>
        <w:rPr>
          <w:sz w:val="22"/>
        </w:rPr>
        <w:t xml:space="preserve">experiment therefore tests whether a pressure-weighted tropospheric CO₂ column, with no other</w:t>
      </w:r>
      <w:r>
        <w:rPr>
          <w:sz w:val="22"/>
        </w:rPr>
        <w:t xml:space="preserve"> </w:t>
      </w:r>
      <w:r>
        <w:rPr>
          <w:sz w:val="22"/>
        </w:rPr>
        <w:t xml:space="preserve">composition input, carries recoverable information about winds and PBLH</w:t>
      </w:r>
      <w:r>
        <w:rPr>
          <w:sz w:val="22"/>
        </w:rPr>
        <w:t xml:space="preserve"> </w:t>
      </w:r>
      <w:r>
        <w:rPr>
          <w:sz w:val="22"/>
        </w:rPr>
        <w:t xml:space="preserve">(Supplementary Methods 4.2).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</w:rPr>
        <w:t xml:space="preserve">Evaluated on 80 held-out July 2019 snapshots, the CO₂-only network reaches pooled ACCs of 0.61,</w:t>
      </w:r>
      <w:r>
        <w:rPr>
          <w:sz w:val="22"/>
        </w:rPr>
        <w:t xml:space="preserve"> </w:t>
      </w:r>
      <w:r>
        <w:rPr>
          <w:sz w:val="22"/>
        </w:rPr>
        <w:t xml:space="preserve">0.71 and 0.77 for surface wind speed, 500-hPa wind speed and PBLH, respectively. A 24-h</w:t>
      </w:r>
      <w:r>
        <w:rPr>
          <w:sz w:val="22"/>
        </w:rPr>
        <w:t xml:space="preserve"> </w:t>
      </w:r>
      <w:r>
        <w:rPr>
          <w:sz w:val="22"/>
        </w:rPr>
        <w:t xml:space="preserve">same-time-of-day persistence baseline, available for 77 valid pairs, yields ACCs of 0.32, 0.46</w:t>
      </w:r>
      <w:r>
        <w:rPr>
          <w:sz w:val="22"/>
        </w:rPr>
        <w:t xml:space="preserve"> </w:t>
      </w:r>
      <w:r>
        <w:rPr>
          <w:sz w:val="22"/>
        </w:rPr>
        <w:t xml:space="preserve">and 0.70 (Supplementary Fig. S4); per-pixel medians are given in Supplementary Table S2.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</w:rPr>
        <w:t xml:space="preserve">Because the anomaly definition uses a single held-out month, these scores quantify within-July,</w:t>
      </w:r>
      <w:r>
        <w:rPr>
          <w:sz w:val="22"/>
        </w:rPr>
        <w:t xml:space="preserve"> </w:t>
      </w:r>
      <w:r>
        <w:rPr>
          <w:sz w:val="22"/>
        </w:rPr>
        <w:t xml:space="preserve">CAMS-only information content and are not directly comparable with the temporally blocked GEOS-CF</w:t>
      </w:r>
      <w:r>
        <w:rPr>
          <w:sz w:val="22"/>
        </w:rPr>
        <w:t xml:space="preserve"> </w:t>
      </w:r>
      <w:r>
        <w:rPr>
          <w:sz w:val="22"/>
        </w:rPr>
        <w:t xml:space="preserve">results or the matched-species winner-map scores.</w:t>
      </w:r>
    </w:p>
    <w:p>
      <w:pPr>
        <w:pStyle w:val="BodyText"/>
        <w:spacing w:before="40" w:after="120" w:line="480" w:lineRule="auto"/>
        <w:jc w:val="center"/>
        <w:rPr>
          <w:sz w:val="22"/>
        </w:rPr>
        <w:pBdr>
          <w:bottom w:val="single" w:sz="4" w:space="6" w:color="AAAAAA"/>
        </w:pBdr>
      </w:pPr>
      <w:r>
        <w:drawing>
          <wp:inline>
            <wp:extent cx="6332220" cy="318273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figS_co2_dynamics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318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b/>
          <w:bCs/>
          <w:sz w:val="22"/>
        </w:rPr>
        <w:t xml:space="preserve">Supplementary Fig. S4 | CO₂-only information content for winds and boundary-layer height in CAMS.</w:t>
      </w:r>
      <w:r>
        <w:rPr>
          <w:sz w:val="22"/>
        </w:rPr>
        <w:t xml:space="preserve"> </w:t>
      </w:r>
      <w:r>
        <w:rPr>
          <w:sz w:val="22"/>
        </w:rPr>
        <w:t xml:space="preserve">An exploratory CAMS analysis uses a pressure-weighted tropospheric CO₂ column as the sole</w:t>
      </w:r>
      <w:r>
        <w:rPr>
          <w:sz w:val="22"/>
        </w:rPr>
        <w:t xml:space="preserve"> </w:t>
      </w:r>
      <w:r>
        <w:rPr>
          <w:sz w:val="22"/>
        </w:rPr>
        <w:t xml:space="preserve">composition input, evaluated on 80 held-out July 2019 snapshots. (</w:t>
      </w:r>
      <w:r>
        <w:rPr>
          <w:b/>
          <w:bCs/>
          <w:sz w:val="22"/>
        </w:rPr>
        <w:t xml:space="preserve">a</w:t>
      </w:r>
      <w:r>
        <w:rPr>
          <w:sz w:val="22"/>
        </w:rPr>
        <w:t xml:space="preserve">) Pooled spatiotemporal</w:t>
      </w:r>
      <w:r>
        <w:rPr>
          <w:sz w:val="22"/>
        </w:rPr>
        <w:t xml:space="preserve"> </w:t>
      </w:r>
      <w:r>
        <w:rPr>
          <w:sz w:val="22"/>
        </w:rPr>
        <w:t xml:space="preserve">anomaly correlation coefficient (ACC), after removal of the July-mean field from prediction and</w:t>
      </w:r>
      <w:r>
        <w:rPr>
          <w:sz w:val="22"/>
        </w:rPr>
        <w:t xml:space="preserve"> </w:t>
      </w:r>
      <w:r>
        <w:rPr>
          <w:sz w:val="22"/>
        </w:rPr>
        <w:t xml:space="preserve">truth, for surface wind speed, 500-hPa wind speed and PBLH, with a 24-h same-time-of-day</w:t>
      </w:r>
      <w:r>
        <w:rPr>
          <w:sz w:val="22"/>
        </w:rPr>
        <w:t xml:space="preserve"> </w:t>
      </w:r>
      <w:r>
        <w:rPr>
          <w:sz w:val="22"/>
        </w:rPr>
        <w:t xml:space="preserve">persistence forecast for comparison. The persistence field is drawn from the full three-hourly</w:t>
      </w:r>
      <w:r>
        <w:rPr>
          <w:sz w:val="22"/>
        </w:rPr>
        <w:t xml:space="preserve"> </w:t>
      </w:r>
      <w:r>
        <w:rPr>
          <w:sz w:val="22"/>
        </w:rPr>
        <w:t xml:space="preserve">target archive one day before each evaluation time (77 valid pairs) and uses the same July-mean</w:t>
      </w:r>
      <w:r>
        <w:rPr>
          <w:sz w:val="22"/>
        </w:rPr>
        <w:t xml:space="preserve"> </w:t>
      </w:r>
      <w:r>
        <w:rPr>
          <w:sz w:val="22"/>
        </w:rPr>
        <w:t xml:space="preserve">anomaly reference. Per-pixel temporal ACC for (</w:t>
      </w:r>
      <w:r>
        <w:rPr>
          <w:b/>
          <w:bCs/>
          <w:sz w:val="22"/>
        </w:rPr>
        <w:t xml:space="preserve">b</w:t>
      </w:r>
      <w:r>
        <w:rPr>
          <w:sz w:val="22"/>
        </w:rPr>
        <w:t xml:space="preserve">) surface wind speed, (</w:t>
      </w:r>
      <w:r>
        <w:rPr>
          <w:b/>
          <w:bCs/>
          <w:sz w:val="22"/>
        </w:rPr>
        <w:t xml:space="preserve">c</w:t>
      </w:r>
      <w:r>
        <w:rPr>
          <w:sz w:val="22"/>
        </w:rPr>
        <w:t xml:space="preserve">) 500-hPa wind speed</w:t>
      </w:r>
      <w:r>
        <w:rPr>
          <w:sz w:val="22"/>
        </w:rPr>
        <w:t xml:space="preserve"> </w:t>
      </w:r>
      <w:r>
        <w:rPr>
          <w:sz w:val="22"/>
        </w:rPr>
        <w:t xml:space="preserve">and (</w:t>
      </w:r>
      <w:r>
        <w:rPr>
          <w:b/>
          <w:bCs/>
          <w:sz w:val="22"/>
        </w:rPr>
        <w:t xml:space="preserve">d</w:t>
      </w:r>
      <w:r>
        <w:rPr>
          <w:sz w:val="22"/>
        </w:rPr>
        <w:t xml:space="preserve">) PBLH. The Plate Carrée maps cover |latitude| ≤ 75° and use a common 0–1 colour</w:t>
      </w:r>
      <w:r>
        <w:rPr>
          <w:sz w:val="22"/>
        </w:rPr>
        <w:t xml:space="preserve"> </w:t>
      </w:r>
      <w:r>
        <w:rPr>
          <w:sz w:val="22"/>
        </w:rPr>
        <w:t xml:space="preserve">scale; negative correlations are shown at the lower bound. Panel (</w:t>
      </w:r>
      <w:r>
        <w:rPr>
          <w:b/>
          <w:bCs/>
          <w:sz w:val="22"/>
        </w:rPr>
        <w:t xml:space="preserve">a</w:t>
      </w:r>
      <w:r>
        <w:rPr>
          <w:sz w:val="22"/>
        </w:rPr>
        <w:t xml:space="preserve">) pools cells and times,</w:t>
      </w:r>
      <w:r>
        <w:rPr>
          <w:sz w:val="22"/>
        </w:rPr>
        <w:t xml:space="preserve"> </w:t>
      </w:r>
      <w:r>
        <w:rPr>
          <w:sz w:val="22"/>
        </w:rPr>
        <w:t xml:space="preserve">whereas panels (</w:t>
      </w:r>
      <w:r>
        <w:rPr>
          <w:b/>
          <w:bCs/>
          <w:sz w:val="22"/>
        </w:rPr>
        <w:t xml:space="preserve">b–d</w:t>
      </w:r>
      <w:r>
        <w:rPr>
          <w:sz w:val="22"/>
        </w:rPr>
        <w:t xml:space="preserve">) correlate each pixel through time (area-weighted medians in Supplementary</w:t>
      </w:r>
      <w:r>
        <w:rPr>
          <w:sz w:val="22"/>
        </w:rPr>
        <w:t xml:space="preserve"> </w:t>
      </w:r>
      <w:r>
        <w:rPr>
          <w:sz w:val="22"/>
        </w:rPr>
        <w:t xml:space="preserve">Table S2).</w:t>
      </w:r>
    </w:p>
    <w:bookmarkEnd w:id="27"/>
    <w:bookmarkStart w:id="31" w:name="Xbdb94180a9fab8ba0b07f707eead3e77265cdbd"/>
    <w:p>
      <w:pPr>
        <w:pStyle w:val="Heading3"/>
        <w:spacing w:before="160" w:after="80" w:line="480" w:lineRule="auto"/>
      </w:pPr>
      <w:r>
        <w:t xml:space="preserve">2.3 The altitude-dependent tracer partition replicates across composition systems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sz w:val="22"/>
        </w:rPr>
        <w:t xml:space="preserve">The winner-map partition of Fig. 4 could in principle be specific to GEOS-CF’s chemistry and</w:t>
      </w:r>
      <w:r>
        <w:rPr>
          <w:sz w:val="22"/>
        </w:rPr>
        <w:t xml:space="preserve"> </w:t>
      </w:r>
      <w:r>
        <w:rPr>
          <w:sz w:val="22"/>
        </w:rPr>
        <w:t xml:space="preserve">transport. The probe is therefore repeated on the independently produced CAMS reanalysis with</w:t>
      </w:r>
      <w:r>
        <w:rPr>
          <w:sz w:val="22"/>
        </w:rPr>
        <w:t xml:space="preserve"> </w:t>
      </w:r>
      <w:r>
        <w:rPr>
          <w:sz w:val="22"/>
        </w:rPr>
        <w:t xml:space="preserve">matched pressure-weighted tropospheric columns, using the six gases common to both systems, and</w:t>
      </w:r>
      <w:r>
        <w:rPr>
          <w:sz w:val="22"/>
        </w:rPr>
        <w:t xml:space="preserve"> </w:t>
      </w:r>
      <w:r>
        <w:rPr>
          <w:sz w:val="22"/>
        </w:rPr>
        <w:t xml:space="preserve">— because CAMS additionally carries CO₂ — with CO₂ included as a seventh, CAMS-only candidate</w:t>
      </w:r>
      <w:r>
        <w:rPr>
          <w:sz w:val="22"/>
        </w:rPr>
        <w:t xml:space="preserve"> </w:t>
      </w:r>
      <w:r>
        <w:rPr>
          <w:sz w:val="22"/>
        </w:rPr>
        <w:t xml:space="preserve">scored under the identical protocol (Supplementary Methods 4.3).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</w:rPr>
        <w:t xml:space="preserve">The principal features of the matched six-gas partition reproduce: O₃ leads at 500 hPa</w:t>
      </w:r>
      <w:r>
        <w:rPr>
          <w:sz w:val="22"/>
        </w:rPr>
        <w:t xml:space="preserve"> </w:t>
      </w:r>
      <w:r>
        <w:rPr>
          <w:sz w:val="22"/>
        </w:rPr>
        <w:t xml:space="preserve">in both systems; NO₂ contributes little of the area aloft in either system but has a closely</w:t>
      </w:r>
      <w:r>
        <w:rPr>
          <w:sz w:val="22"/>
        </w:rPr>
        <w:t xml:space="preserve"> </w:t>
      </w:r>
      <w:r>
        <w:rPr>
          <w:sz w:val="22"/>
        </w:rPr>
        <w:t xml:space="preserve">replicating PBLH share (26% in CAMS versus 30% in GEOS-CF); and HCHO leads the</w:t>
      </w:r>
      <w:r>
        <w:rPr>
          <w:sz w:val="22"/>
        </w:rPr>
        <w:t xml:space="preserve"> </w:t>
      </w:r>
      <w:r>
        <w:rPr>
          <w:sz w:val="22"/>
        </w:rPr>
        <w:t xml:space="preserve">surface-wind area in both (Supplementary Table S2). The leading PBLH gas differs between systems</w:t>
      </w:r>
      <w:r>
        <w:rPr>
          <w:sz w:val="22"/>
        </w:rPr>
        <w:t xml:space="preserve"> </w:t>
      </w:r>
      <w:r>
        <w:rPr>
          <w:sz w:val="22"/>
        </w:rPr>
        <w:t xml:space="preserve">(O₃ in CAMS, HCHO in GEOS-CF, with NO₂ second in both). In the displayed seven-candidate CAMS</w:t>
      </w:r>
      <w:r>
        <w:rPr>
          <w:sz w:val="22"/>
        </w:rPr>
        <w:t xml:space="preserve"> </w:t>
      </w:r>
      <w:r>
        <w:rPr>
          <w:sz w:val="22"/>
        </w:rPr>
        <w:t xml:space="preserve">analysis, adding CO₂ changes the surface result: CO₂ has the largest winner share (25%; HCHO</w:t>
      </w:r>
      <w:r>
        <w:rPr>
          <w:sz w:val="22"/>
        </w:rPr>
        <w:t xml:space="preserve"> </w:t>
      </w:r>
      <w:r>
        <w:rPr>
          <w:sz w:val="22"/>
        </w:rPr>
        <w:t xml:space="preserve">23%). CO₂ and O₃ each lead about 25% of the PBLH area, with O₃ narrowly larger, whereas CO₂</w:t>
      </w:r>
      <w:r>
        <w:rPr>
          <w:sz w:val="22"/>
        </w:rPr>
        <w:t xml:space="preserve"> </w:t>
      </w:r>
      <w:r>
        <w:rPr>
          <w:sz w:val="22"/>
        </w:rPr>
        <w:t xml:space="preserve">leads only about 5% aloft (Supplementary Fig. S5). This pattern is consistent with the</w:t>
      </w:r>
      <w:r>
        <w:rPr>
          <w:sz w:val="22"/>
        </w:rPr>
        <w:t xml:space="preserve"> </w:t>
      </w:r>
      <w:r>
        <w:rPr>
          <w:sz w:val="22"/>
        </w:rPr>
        <w:t xml:space="preserve">boundary-layer-dilution and synoptic-transport signal identified in the CO₂-only single-tracer</w:t>
      </w:r>
      <w:r>
        <w:rPr>
          <w:sz w:val="22"/>
        </w:rPr>
        <w:t xml:space="preserve"> </w:t>
      </w:r>
      <w:r>
        <w:rPr>
          <w:sz w:val="22"/>
        </w:rPr>
        <w:t xml:space="preserve">experiment. Matched column</w:t>
      </w:r>
      <w:r>
        <w:rPr>
          <w:sz w:val="22"/>
        </w:rPr>
        <w:t xml:space="preserve"> </w:t>
      </w:r>
      <w:r>
        <w:rPr>
          <w:sz w:val="22"/>
        </w:rPr>
        <w:t xml:space="preserve">definitions are</w:t>
      </w:r>
      <w:r>
        <w:rPr>
          <w:sz w:val="22"/>
        </w:rPr>
        <w:t xml:space="preserve"> </w:t>
      </w:r>
      <w:r>
        <w:rPr>
          <w:sz w:val="22"/>
        </w:rPr>
        <w:t xml:space="preserve">necessary for this comparison: recomputing the GEOS-CF O₃ input as a matched tropospheric</w:t>
      </w:r>
      <w:r>
        <w:rPr>
          <w:sz w:val="22"/>
        </w:rPr>
        <w:t xml:space="preserve"> </w:t>
      </w:r>
      <w:r>
        <w:rPr>
          <w:sz w:val="22"/>
        </w:rPr>
        <w:t xml:space="preserve">column raised the single-species 500-hPa zonal-wind skill from 0.69 to 0.83, removing an</w:t>
      </w:r>
      <w:r>
        <w:rPr>
          <w:sz w:val="22"/>
        </w:rPr>
        <w:t xml:space="preserve"> </w:t>
      </w:r>
      <w:r>
        <w:rPr>
          <w:sz w:val="22"/>
        </w:rPr>
        <w:t xml:space="preserve">apparent cross-system disagreement that was a column-definition effect rather than a physical</w:t>
      </w:r>
      <w:r>
        <w:rPr>
          <w:sz w:val="22"/>
        </w:rPr>
        <w:t xml:space="preserve"> </w:t>
      </w:r>
      <w:r>
        <w:rPr>
          <w:sz w:val="22"/>
        </w:rPr>
        <w:t xml:space="preserve">signal. The complete winner shares are given in Supplementary Table S2.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</w:rPr>
        <w:t xml:space="preserve">The replication indicates that the partition reflects the composition fields themselves rather</w:t>
      </w:r>
      <w:r>
        <w:rPr>
          <w:sz w:val="22"/>
        </w:rPr>
        <w:t xml:space="preserve"> </w:t>
      </w:r>
      <w:r>
        <w:rPr>
          <w:sz w:val="22"/>
        </w:rPr>
        <w:t xml:space="preserve">than a single model’s configuration, while the differing PBLH leader bounds the</w:t>
      </w:r>
      <w:r>
        <w:rPr>
          <w:sz w:val="22"/>
        </w:rPr>
        <w:t xml:space="preserve"> </w:t>
      </w:r>
      <w:r>
        <w:rPr>
          <w:sz w:val="22"/>
        </w:rPr>
        <w:t xml:space="preserve">strength of that claim: the altitude-dependent structure reproduces, not the identical map.</w:t>
      </w:r>
    </w:p>
    <w:p>
      <w:pPr>
        <w:pStyle w:val="BodyText"/>
        <w:spacing w:before="40" w:after="120" w:line="480" w:lineRule="auto"/>
        <w:jc w:val="center"/>
        <w:rPr>
          <w:sz w:val="22"/>
        </w:rPr>
        <w:pBdr>
          <w:bottom w:val="single" w:sz="4" w:space="6" w:color="AAAAAA"/>
        </w:pBdr>
      </w:pPr>
      <w:r>
        <w:drawing>
          <wp:inline>
            <wp:extent cx="6332220" cy="6473782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figS_cams_winner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64737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b/>
          <w:bCs/>
          <w:sz w:val="22"/>
        </w:rPr>
        <w:t xml:space="preserve">Supplementary Fig. S5 | The altitude-dependent tracer partition replicates in the CAMS simulation, and CO₂ carries boundary-layer information.</w:t>
      </w:r>
      <w:r>
        <w:rPr>
          <w:sz w:val="22"/>
        </w:rPr>
        <w:t xml:space="preserve"> </w:t>
      </w:r>
      <w:r>
        <w:rPr>
          <w:sz w:val="22"/>
        </w:rPr>
        <w:t xml:space="preserve">(</w:t>
      </w:r>
      <w:r>
        <w:rPr>
          <w:b/>
          <w:bCs/>
          <w:sz w:val="22"/>
        </w:rPr>
        <w:t xml:space="preserve">a–c</w:t>
      </w:r>
      <w:r>
        <w:rPr>
          <w:sz w:val="22"/>
        </w:rPr>
        <w:t xml:space="preserve">) CAMS per-pixel winner maps — the gas whose single-species network best predicts</w:t>
      </w:r>
      <w:r>
        <w:rPr>
          <w:sz w:val="22"/>
        </w:rPr>
        <w:t xml:space="preserve"> </w:t>
      </w:r>
      <w:r>
        <w:rPr>
          <w:sz w:val="22"/>
        </w:rPr>
        <w:t xml:space="preserve">(</w:t>
      </w:r>
      <w:r>
        <w:rPr>
          <w:b/>
          <w:bCs/>
          <w:sz w:val="22"/>
        </w:rPr>
        <w:t xml:space="preserve">a</w:t>
      </w:r>
      <w:r>
        <w:rPr>
          <w:sz w:val="22"/>
        </w:rPr>
        <w:t xml:space="preserve">) surface wind speed, (</w:t>
      </w:r>
      <w:r>
        <w:rPr>
          <w:b/>
          <w:bCs/>
          <w:sz w:val="22"/>
        </w:rPr>
        <w:t xml:space="preserve">b</w:t>
      </w:r>
      <w:r>
        <w:rPr>
          <w:sz w:val="22"/>
        </w:rPr>
        <w:t xml:space="preserve">) 500-hPa wind speed and (</w:t>
      </w:r>
      <w:r>
        <w:rPr>
          <w:b/>
          <w:bCs/>
          <w:sz w:val="22"/>
        </w:rPr>
        <w:t xml:space="preserve">c</w:t>
      </w:r>
      <w:r>
        <w:rPr>
          <w:sz w:val="22"/>
        </w:rPr>
        <w:t xml:space="preserve">) PBLH, by</w:t>
      </w:r>
      <w:r>
        <w:rPr>
          <w:sz w:val="22"/>
        </w:rPr>
        <w:t xml:space="preserve"> </w:t>
      </w:r>
      <w:r>
        <w:rPr>
          <w:sz w:val="22"/>
        </w:rPr>
        <w:t xml:space="preserve">per-pixel temporal ACC (per-month climatology removed; trained on 2019, scored on the 2020</w:t>
      </w:r>
      <w:r>
        <w:rPr>
          <w:sz w:val="22"/>
        </w:rPr>
        <w:t xml:space="preserve"> </w:t>
      </w:r>
      <w:r>
        <w:rPr>
          <w:sz w:val="22"/>
        </w:rPr>
        <w:t xml:space="preserve">holdout). The candidate set comprises the six gases common to both systems plus CO₂, available</w:t>
      </w:r>
      <w:r>
        <w:rPr>
          <w:sz w:val="22"/>
        </w:rPr>
        <w:t xml:space="preserve"> </w:t>
      </w:r>
      <w:r>
        <w:rPr>
          <w:sz w:val="22"/>
        </w:rPr>
        <w:t xml:space="preserve">only in CAMS and scored under the identical protocol (Supplementary Methods 4.3); grey marks</w:t>
      </w:r>
      <w:r>
        <w:rPr>
          <w:sz w:val="22"/>
        </w:rPr>
        <w:t xml:space="preserve"> </w:t>
      </w:r>
      <w:r>
        <w:rPr>
          <w:sz w:val="22"/>
        </w:rPr>
        <w:t xml:space="preserve">cells where no gas reaches ACC 0.2. (</w:t>
      </w:r>
      <w:r>
        <w:rPr>
          <w:b/>
          <w:bCs/>
          <w:sz w:val="22"/>
        </w:rPr>
        <w:t xml:space="preserve">d–f</w:t>
      </w:r>
      <w:r>
        <w:rPr>
          <w:sz w:val="22"/>
        </w:rPr>
        <w:t xml:space="preserve">) Corresponding cosine-latitude-weighted winner</w:t>
      </w:r>
      <w:r>
        <w:rPr>
          <w:sz w:val="22"/>
        </w:rPr>
        <w:t xml:space="preserve"> </w:t>
      </w:r>
      <w:r>
        <w:rPr>
          <w:sz w:val="22"/>
        </w:rPr>
        <w:t xml:space="preserve">shares for the three targets. Grey cells are excluded from each share denominator, so the seven</w:t>
      </w:r>
      <w:r>
        <w:rPr>
          <w:sz w:val="22"/>
        </w:rPr>
        <w:t xml:space="preserve"> </w:t>
      </w:r>
      <w:r>
        <w:rPr>
          <w:sz w:val="22"/>
        </w:rPr>
        <w:t xml:space="preserve">displayed candidate shares sum to 100% for each target. These panels show the seven-candidate</w:t>
      </w:r>
      <w:r>
        <w:rPr>
          <w:sz w:val="22"/>
        </w:rPr>
        <w:t xml:space="preserve"> </w:t>
      </w:r>
      <w:r>
        <w:rPr>
          <w:sz w:val="22"/>
        </w:rPr>
        <w:t xml:space="preserve">CAMS analysis; the separately recomputed matched six-gas comparison with GEOS-CF (Fig. 4d–f)</w:t>
      </w:r>
      <w:r>
        <w:rPr>
          <w:sz w:val="22"/>
        </w:rPr>
        <w:t xml:space="preserve"> </w:t>
      </w:r>
      <w:r>
        <w:rPr>
          <w:sz w:val="22"/>
        </w:rPr>
        <w:t xml:space="preserve">is reported in Supplementary Results 2.3 and Supplementary Table S2 and is not plotted here.</w:t>
      </w:r>
    </w:p>
    <w:bookmarkEnd w:id="31"/>
    <w:bookmarkStart w:id="35" w:name="Xab99477c8407106abf35b99f73933a172d62b53"/>
    <w:p>
      <w:pPr>
        <w:pStyle w:val="Heading3"/>
        <w:spacing w:before="160" w:after="80" w:line="480" w:lineRule="auto"/>
      </w:pPr>
      <w:r>
        <w:t xml:space="preserve">2.4 TEMPO configurations probe sensitivity to retrieval and sampling information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sz w:val="22"/>
        </w:rPr>
        <w:t xml:space="preserve">The observational TEMPO result could in principle ride on non-composition pathways: the</w:t>
      </w:r>
      <w:r>
        <w:rPr>
          <w:sz w:val="22"/>
        </w:rPr>
        <w:t xml:space="preserve"> </w:t>
      </w:r>
      <w:r>
        <w:rPr>
          <w:sz w:val="22"/>
        </w:rPr>
        <w:t xml:space="preserve">ultraviolet aerosol index and the two O₂–O₂ cloud channels carry aerosol and cloud information,</w:t>
      </w:r>
      <w:r>
        <w:rPr>
          <w:sz w:val="22"/>
        </w:rPr>
        <w:t xml:space="preserve"> </w:t>
      </w:r>
      <w:r>
        <w:rPr>
          <w:sz w:val="22"/>
        </w:rPr>
        <w:t xml:space="preserve">and the availability pattern of valid retrievals is itself weather-correlated. Three</w:t>
      </w:r>
      <w:r>
        <w:rPr>
          <w:sz w:val="22"/>
        </w:rPr>
        <w:t xml:space="preserve"> </w:t>
      </w:r>
      <w:r>
        <w:rPr>
          <w:sz w:val="22"/>
        </w:rPr>
        <w:t xml:space="preserve">configurations retrained on the identical interspersed split test sensitivity to these inputs: a</w:t>
      </w:r>
      <w:r>
        <w:rPr>
          <w:sz w:val="22"/>
        </w:rPr>
        <w:t xml:space="preserve"> </w:t>
      </w:r>
      <w:r>
        <w:rPr>
          <w:sz w:val="22"/>
        </w:rPr>
        <w:t xml:space="preserve">gas-products-plus-context configuration that withholds all three non-gas by-product channels, a</w:t>
      </w:r>
      <w:r>
        <w:rPr>
          <w:sz w:val="22"/>
        </w:rPr>
        <w:t xml:space="preserve"> </w:t>
      </w:r>
      <w:r>
        <w:rPr>
          <w:sz w:val="22"/>
        </w:rPr>
        <w:t xml:space="preserve">no-cloud configuration and a mask-only model that receives no TEMPO measurement values</w:t>
      </w:r>
      <w:r>
        <w:rPr>
          <w:sz w:val="22"/>
        </w:rPr>
        <w:t xml:space="preserve"> </w:t>
      </w:r>
      <w:r>
        <w:rPr>
          <w:sz w:val="22"/>
        </w:rPr>
        <w:t xml:space="preserve">(Supplementary Methods 4.8).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</w:rPr>
        <w:t xml:space="preserve">The gas-products-plus-context configuration retains most of the primary configuration’s skill — for</w:t>
      </w:r>
      <w:r>
        <w:rPr>
          <w:sz w:val="22"/>
        </w:rPr>
        <w:t xml:space="preserve"> </w:t>
      </w:r>
      <w:r>
        <w:rPr>
          <w:sz w:val="22"/>
        </w:rPr>
        <w:t xml:space="preserve">PBLH a pooled ACC of 0.66 versus 0.77, with day-block 95% confidence intervals</w:t>
      </w:r>
      <w:r>
        <w:rPr>
          <w:sz w:val="22"/>
        </w:rPr>
        <w:t xml:space="preserve"> </w:t>
      </w:r>
      <w:r>
        <w:rPr>
          <w:sz w:val="22"/>
        </w:rPr>
        <w:t xml:space="preserve">of 0.34–0.40, 0.34–0.39 and 0.62–0.68 across the three targets — whereas the mask-only control</w:t>
      </w:r>
      <w:r>
        <w:rPr>
          <w:sz w:val="22"/>
        </w:rPr>
        <w:t xml:space="preserve"> </w:t>
      </w:r>
      <w:r>
        <w:rPr>
          <w:sz w:val="22"/>
        </w:rPr>
        <w:t xml:space="preserve">retains 0.38 for PBLH and less than 0.2 for the wind components. Removing only the cloud</w:t>
      </w:r>
      <w:r>
        <w:rPr>
          <w:sz w:val="22"/>
        </w:rPr>
        <w:t xml:space="preserve"> </w:t>
      </w:r>
      <w:r>
        <w:rPr>
          <w:sz w:val="22"/>
        </w:rPr>
        <w:t xml:space="preserve">channels reduces the unrounded pooled ACC by 0.05, 0.04 and 0.07 for u</w:t>
      </w:r>
      <w:r>
        <w:rPr>
          <w:sz w:val="22"/>
          <w:vertAlign w:val="subscript"/>
        </w:rPr>
        <w:t xml:space="preserve">10</w:t>
      </w:r>
      <w:r>
        <w:rPr>
          <w:sz w:val="22"/>
        </w:rPr>
        <w:t xml:space="preserve">, v</w:t>
      </w:r>
      <w:r>
        <w:rPr>
          <w:sz w:val="22"/>
          <w:vertAlign w:val="subscript"/>
        </w:rPr>
        <w:t xml:space="preserve">10</w:t>
      </w:r>
      <w:r>
        <w:rPr>
          <w:sz w:val="22"/>
        </w:rPr>
        <w:t xml:space="preserve"> </w:t>
      </w:r>
      <w:r>
        <w:rPr>
          <w:sz w:val="22"/>
        </w:rPr>
        <w:t xml:space="preserve">and PBLH,</w:t>
      </w:r>
      <w:r>
        <w:rPr>
          <w:sz w:val="22"/>
        </w:rPr>
        <w:t xml:space="preserve"> </w:t>
      </w:r>
      <w:r>
        <w:rPr>
          <w:sz w:val="22"/>
        </w:rPr>
        <w:t xml:space="preserve">respectively (all configurations in Supplementary Fig. S6 and Supplementary Table S2).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</w:rPr>
        <w:t xml:space="preserve">Substantial predictive skill therefore remains when the aerosol-index and cloud channels are</w:t>
      </w:r>
      <w:r>
        <w:rPr>
          <w:sz w:val="22"/>
        </w:rPr>
        <w:t xml:space="preserve"> </w:t>
      </w:r>
      <w:r>
        <w:rPr>
          <w:sz w:val="22"/>
        </w:rPr>
        <w:t xml:space="preserve">withheld, while the lower no-cloud and mask-only scores show that cloud information and</w:t>
      </w:r>
      <w:r>
        <w:rPr>
          <w:sz w:val="22"/>
        </w:rPr>
        <w:t xml:space="preserve"> </w:t>
      </w:r>
      <w:r>
        <w:rPr>
          <w:sz w:val="22"/>
        </w:rPr>
        <w:t xml:space="preserve">weather-correlated sampling also contain predictive information. The difference is largest for</w:t>
      </w:r>
      <w:r>
        <w:rPr>
          <w:sz w:val="22"/>
        </w:rPr>
        <w:t xml:space="preserve"> </w:t>
      </w:r>
      <w:r>
        <w:rPr>
          <w:sz w:val="22"/>
        </w:rPr>
        <w:t xml:space="preserve">PBLH, the most diurnally and climatologically structured target. Because the inputs are</w:t>
      </w:r>
      <w:r>
        <w:rPr>
          <w:sz w:val="22"/>
        </w:rPr>
        <w:t xml:space="preserve"> </w:t>
      </w:r>
      <w:r>
        <w:rPr>
          <w:sz w:val="22"/>
        </w:rPr>
        <w:t xml:space="preserve">correlated and the networks are nonlinear, these configurations do not uniquely partition the</w:t>
      </w:r>
      <w:r>
        <w:rPr>
          <w:sz w:val="22"/>
        </w:rPr>
        <w:t xml:space="preserve"> </w:t>
      </w:r>
      <w:r>
        <w:rPr>
          <w:sz w:val="22"/>
        </w:rPr>
        <w:t xml:space="preserve">association among pathways. A residual pathway through the model a priori used by the TEMPO</w:t>
      </w:r>
      <w:r>
        <w:rPr>
          <w:sz w:val="22"/>
        </w:rPr>
        <w:t xml:space="preserve"> </w:t>
      </w:r>
      <w:r>
        <w:rPr>
          <w:sz w:val="22"/>
        </w:rPr>
        <w:t xml:space="preserve">retrievals cannot be excluded (main Methods).</w:t>
      </w:r>
    </w:p>
    <w:p>
      <w:pPr>
        <w:pStyle w:val="BodyText"/>
        <w:spacing w:before="40" w:after="120" w:line="480" w:lineRule="auto"/>
        <w:jc w:val="center"/>
        <w:rPr>
          <w:sz w:val="22"/>
        </w:rPr>
        <w:pBdr>
          <w:bottom w:val="single" w:sz="4" w:space="6" w:color="AAAAAA"/>
        </w:pBdr>
      </w:pPr>
      <w:r>
        <w:drawing>
          <wp:inline>
            <wp:extent cx="6332220" cy="2273801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figS_tempo_configs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22738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b/>
          <w:bCs/>
          <w:sz w:val="22"/>
        </w:rPr>
        <w:t xml:space="preserve">Supplementary Fig. S6 | TEMPO configurations probe sensitivity to retrieval and sampling information on the interspersed split.</w:t>
      </w:r>
      <w:r>
        <w:rPr>
          <w:sz w:val="22"/>
        </w:rPr>
        <w:t xml:space="preserve"> </w:t>
      </w:r>
      <w:r>
        <w:rPr>
          <w:sz w:val="22"/>
        </w:rPr>
        <w:t xml:space="preserve">All four configurations are evaluated on the same interspersed temporal split: the</w:t>
      </w:r>
      <w:r>
        <w:rPr>
          <w:sz w:val="22"/>
        </w:rPr>
        <w:t xml:space="preserve"> </w:t>
      </w:r>
      <w:r>
        <w:rPr>
          <w:sz w:val="22"/>
        </w:rPr>
        <w:t xml:space="preserve">twelve-channel primary (black outline), the no-cloud configuration (the primary minus the two O₂–O₂</w:t>
      </w:r>
      <w:r>
        <w:rPr>
          <w:sz w:val="22"/>
        </w:rPr>
        <w:t xml:space="preserve"> </w:t>
      </w:r>
      <w:r>
        <w:rPr>
          <w:sz w:val="22"/>
        </w:rPr>
        <w:t xml:space="preserve">cloud channels), the gas-products-plus-context configuration (the four gas products plus the validity mask and</w:t>
      </w:r>
      <w:r>
        <w:rPr>
          <w:sz w:val="22"/>
        </w:rPr>
        <w:t xml:space="preserve"> </w:t>
      </w:r>
      <w:r>
        <w:rPr>
          <w:sz w:val="22"/>
        </w:rPr>
        <w:t xml:space="preserve">static fields; no aerosol-index or cloud channels) and the mask-only control (validity mask and</w:t>
      </w:r>
      <w:r>
        <w:rPr>
          <w:sz w:val="22"/>
        </w:rPr>
        <w:t xml:space="preserve"> </w:t>
      </w:r>
      <w:r>
        <w:rPr>
          <w:sz w:val="22"/>
        </w:rPr>
        <w:t xml:space="preserve">static fields only — no TEMPO measurement values). (</w:t>
      </w:r>
      <w:r>
        <w:rPr>
          <w:b/>
          <w:bCs/>
          <w:sz w:val="22"/>
        </w:rPr>
        <w:t xml:space="preserve">a</w:t>
      </w:r>
      <w:r>
        <w:rPr>
          <w:sz w:val="22"/>
        </w:rPr>
        <w:t xml:space="preserve">) Pooled spatiotemporal ACC for u</w:t>
      </w:r>
      <w:r>
        <w:rPr>
          <w:sz w:val="22"/>
          <w:vertAlign w:val="subscript"/>
        </w:rPr>
        <w:t xml:space="preserve">10</w:t>
      </w:r>
      <w:r>
        <w:rPr>
          <w:sz w:val="22"/>
        </w:rPr>
        <w:t xml:space="preserve">,</w:t>
      </w:r>
      <w:r>
        <w:rPr>
          <w:sz w:val="22"/>
        </w:rPr>
        <w:t xml:space="preserve"> </w:t>
      </w:r>
      <w:r>
        <w:rPr>
          <w:sz w:val="22"/>
        </w:rPr>
        <w:t xml:space="preserve">v</w:t>
      </w:r>
      <w:r>
        <w:rPr>
          <w:sz w:val="22"/>
          <w:vertAlign w:val="subscript"/>
        </w:rPr>
        <w:t xml:space="preserve">10</w:t>
      </w:r>
      <w:r>
        <w:rPr>
          <w:sz w:val="22"/>
        </w:rPr>
        <w:t xml:space="preserve"> </w:t>
      </w:r>
      <w:r>
        <w:rPr>
          <w:sz w:val="22"/>
        </w:rPr>
        <w:t xml:space="preserve">and PBLH; whiskers give the day-block bootstrap 95% confidence interval on the primary</w:t>
      </w:r>
      <w:r>
        <w:rPr>
          <w:sz w:val="22"/>
        </w:rPr>
        <w:t xml:space="preserve"> </w:t>
      </w:r>
      <w:r>
        <w:rPr>
          <w:sz w:val="22"/>
        </w:rPr>
        <w:t xml:space="preserve">configuration. The gas-products-plus-context intervals are 0.34–0.40, 0.34–0.39 and 0.62–0.68,</w:t>
      </w:r>
      <w:r>
        <w:rPr>
          <w:sz w:val="22"/>
        </w:rPr>
        <w:t xml:space="preserve"> </w:t>
      </w:r>
      <w:r>
        <w:rPr>
          <w:sz w:val="22"/>
        </w:rPr>
        <w:t xml:space="preserve">respectively. (</w:t>
      </w:r>
      <w:r>
        <w:rPr>
          <w:b/>
          <w:bCs/>
          <w:sz w:val="22"/>
        </w:rPr>
        <w:t xml:space="preserve">b</w:t>
      </w:r>
      <w:r>
        <w:rPr>
          <w:sz w:val="22"/>
        </w:rPr>
        <w:t xml:space="preserve">) Corresponding median per-pixel temporal ACC (as in Fig. 5b–d). These</w:t>
      </w:r>
      <w:r>
        <w:rPr>
          <w:sz w:val="22"/>
        </w:rPr>
        <w:t xml:space="preserve"> </w:t>
      </w:r>
      <w:r>
        <w:rPr>
          <w:sz w:val="22"/>
        </w:rPr>
        <w:t xml:space="preserve">nonlinear configurations test sensitivity to input groups but do not uniquely separate correlated</w:t>
      </w:r>
      <w:r>
        <w:rPr>
          <w:sz w:val="22"/>
        </w:rPr>
        <w:t xml:space="preserve"> </w:t>
      </w:r>
      <w:r>
        <w:rPr>
          <w:sz w:val="22"/>
        </w:rPr>
        <w:t xml:space="preserve">pathways. Score values are given in Supplementary Table S2.</w:t>
      </w:r>
    </w:p>
    <w:bookmarkEnd w:id="35"/>
    <w:bookmarkStart w:id="39" w:name="X29af251712224ff815079ba352e55411e5f65cc"/>
    <w:p>
      <w:pPr>
        <w:pStyle w:val="Heading3"/>
        <w:spacing w:before="160" w:after="80" w:line="480" w:lineRule="auto"/>
      </w:pPr>
      <w:r>
        <w:t xml:space="preserve">2.5 Trace gases and water vapour provide complementary dynamical information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sz w:val="22"/>
        </w:rPr>
        <w:t xml:space="preserve">Water vapour is itself meteorologically informative, so the trace-gas skill could in principle</w:t>
      </w:r>
      <w:r>
        <w:rPr>
          <w:sz w:val="22"/>
        </w:rPr>
        <w:t xml:space="preserve"> </w:t>
      </w:r>
      <w:r>
        <w:rPr>
          <w:sz w:val="22"/>
        </w:rPr>
        <w:t xml:space="preserve">reflect composition acting as a proxy for humidity structure. The same architecture is therefore</w:t>
      </w:r>
      <w:r>
        <w:rPr>
          <w:sz w:val="22"/>
        </w:rPr>
        <w:t xml:space="preserve"> </w:t>
      </w:r>
      <w:r>
        <w:rPr>
          <w:sz w:val="22"/>
        </w:rPr>
        <w:t xml:space="preserve">trained with a nine-level specific-humidity profile as input and compared per pixel with the</w:t>
      </w:r>
      <w:r>
        <w:rPr>
          <w:sz w:val="22"/>
        </w:rPr>
        <w:t xml:space="preserve"> </w:t>
      </w:r>
      <w:r>
        <w:rPr>
          <w:sz w:val="22"/>
        </w:rPr>
        <w:t xml:space="preserve">trace-gas model, which receives satellite-like columns and 1000-hPa near-surface trace-gas concentrations only — a</w:t>
      </w:r>
      <w:r>
        <w:rPr>
          <w:sz w:val="22"/>
        </w:rPr>
        <w:t xml:space="preserve"> </w:t>
      </w:r>
      <w:r>
        <w:rPr>
          <w:sz w:val="22"/>
        </w:rPr>
        <w:t xml:space="preserve">deliberate vertical handicap on composition (Supplementary Methods 4.4).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</w:rPr>
        <w:t xml:space="preserve">The comparison is target-dependent (Supplementary Fig. S7). The water-vapour model predicts</w:t>
      </w:r>
      <w:r>
        <w:rPr>
          <w:sz w:val="22"/>
        </w:rPr>
        <w:t xml:space="preserve"> </w:t>
      </w:r>
      <w:r>
        <w:rPr>
          <w:sz w:val="22"/>
        </w:rPr>
        <w:t xml:space="preserve">near-surface wind better over 81% of the land area, and 500-hPa wind at 96% of pixels — where</w:t>
      </w:r>
      <w:r>
        <w:rPr>
          <w:sz w:val="22"/>
        </w:rPr>
        <w:t xml:space="preserve"> </w:t>
      </w:r>
      <w:r>
        <w:rPr>
          <w:sz w:val="22"/>
        </w:rPr>
        <w:t xml:space="preserve">it is advantaged by construction, because it receives the 500-hPa humidity level directly. The</w:t>
      </w:r>
      <w:r>
        <w:rPr>
          <w:sz w:val="22"/>
        </w:rPr>
        <w:t xml:space="preserve"> </w:t>
      </w:r>
      <w:r>
        <w:rPr>
          <w:sz w:val="22"/>
        </w:rPr>
        <w:t xml:space="preserve">trace-gas model predicts PBLH better over 78% of the land area (median</w:t>
      </w:r>
      <w:r>
        <w:rPr>
          <w:sz w:val="22"/>
        </w:rPr>
        <w:t xml:space="preserve"> </w:t>
      </w:r>
      <w:r>
        <w:rPr>
          <w:sz w:val="22"/>
        </w:rPr>
        <w:t xml:space="preserve">per-pixel ACC 0.81 versus 0.73); over ocean, water vapour leads for PBLH.</w:t>
      </w:r>
      <w:r>
        <w:rPr>
          <w:sz w:val="22"/>
        </w:rPr>
        <w:t xml:space="preserve"> </w:t>
      </w:r>
      <w:r>
        <w:rPr>
          <w:sz w:val="22"/>
        </w:rPr>
        <w:t xml:space="preserve">Complete lead shares are given in Supplementary Table S2.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</w:rPr>
        <w:t xml:space="preserve">The two input classes therefore carry complementary rather than interchangeable information,</w:t>
      </w:r>
      <w:r>
        <w:rPr>
          <w:sz w:val="22"/>
        </w:rPr>
        <w:t xml:space="preserve"> </w:t>
      </w:r>
      <w:r>
        <w:rPr>
          <w:sz w:val="22"/>
        </w:rPr>
        <w:t xml:space="preserve">which argues against humidity acting as a generic proxy for the trace-gas skill and is</w:t>
      </w:r>
      <w:r>
        <w:rPr>
          <w:sz w:val="22"/>
        </w:rPr>
        <w:t xml:space="preserve"> </w:t>
      </w:r>
      <w:r>
        <w:rPr>
          <w:sz w:val="22"/>
        </w:rPr>
        <w:t xml:space="preserve">consistent with a boundary-layer dilution signal carried by the gases themselves. The asymmetric</w:t>
      </w:r>
      <w:r>
        <w:rPr>
          <w:sz w:val="22"/>
        </w:rPr>
        <w:t xml:space="preserve"> </w:t>
      </w:r>
      <w:r>
        <w:rPr>
          <w:sz w:val="22"/>
        </w:rPr>
        <w:t xml:space="preserve">vertical inputs mean the wind comparisons should not be read as a like-for-like ranking.</w:t>
      </w:r>
    </w:p>
    <w:p>
      <w:pPr>
        <w:pStyle w:val="BodyText"/>
        <w:spacing w:before="40" w:after="120" w:line="480" w:lineRule="auto"/>
        <w:jc w:val="center"/>
        <w:rPr>
          <w:sz w:val="22"/>
        </w:rPr>
        <w:pBdr>
          <w:bottom w:val="single" w:sz="4" w:space="6" w:color="AAAAAA"/>
        </w:pBdr>
      </w:pPr>
      <w:r>
        <w:drawing>
          <wp:inline>
            <wp:extent cx="6332220" cy="3937793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figS_wv_maps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393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b/>
          <w:bCs/>
          <w:sz w:val="22"/>
        </w:rPr>
        <w:t xml:space="preserve">Supplementary Fig. S7 | Per-pixel skill of the trace-gas and water-vapour models on the CAMS 2020 holdout.</w:t>
      </w:r>
      <w:r>
        <w:rPr>
          <w:sz w:val="22"/>
        </w:rPr>
        <w:t xml:space="preserve"> </w:t>
      </w:r>
      <w:r>
        <w:rPr>
          <w:sz w:val="22"/>
        </w:rPr>
        <w:t xml:space="preserve">(</w:t>
      </w:r>
      <w:r>
        <w:rPr>
          <w:b/>
          <w:bCs/>
          <w:sz w:val="22"/>
        </w:rPr>
        <w:t xml:space="preserve">a</w:t>
      </w:r>
      <w:r>
        <w:rPr>
          <w:sz w:val="22"/>
        </w:rPr>
        <w:t xml:space="preserve">,</w:t>
      </w:r>
      <w:r>
        <w:rPr>
          <w:sz w:val="22"/>
        </w:rPr>
        <w:t xml:space="preserve"> </w:t>
      </w:r>
      <w:r>
        <w:rPr>
          <w:b/>
          <w:bCs/>
          <w:sz w:val="22"/>
        </w:rPr>
        <w:t xml:space="preserve">b</w:t>
      </w:r>
      <w:r>
        <w:rPr>
          <w:sz w:val="22"/>
        </w:rPr>
        <w:t xml:space="preserve">) Per-pixel temporal ACC of predicted versus true PBLH (per-pixel per-month means</w:t>
      </w:r>
      <w:r>
        <w:rPr>
          <w:sz w:val="22"/>
        </w:rPr>
        <w:t xml:space="preserve"> </w:t>
      </w:r>
      <w:r>
        <w:rPr>
          <w:sz w:val="22"/>
        </w:rPr>
        <w:t xml:space="preserve">removed) for the trace-gas and water-vapour models on a shared scale. (</w:t>
      </w:r>
      <w:r>
        <w:rPr>
          <w:b/>
          <w:bCs/>
          <w:sz w:val="22"/>
        </w:rPr>
        <w:t xml:space="preserve">c–e</w:t>
      </w:r>
      <w:r>
        <w:rPr>
          <w:sz w:val="22"/>
        </w:rPr>
        <w:t xml:space="preserve">) Per-pixel</w:t>
      </w:r>
      <w:r>
        <w:rPr>
          <w:sz w:val="22"/>
        </w:rPr>
        <w:t xml:space="preserve"> </w:t>
      </w:r>
      <w:r>
        <w:rPr>
          <w:sz w:val="22"/>
        </w:rPr>
        <w:t xml:space="preserve">temporal ACC differences, Δ</w:t>
      </w:r>
      <w:r>
        <w:rPr>
          <w:i/>
          <w:iCs/>
          <w:sz w:val="22"/>
        </w:rPr>
        <w:t xml:space="preserve">r</w:t>
      </w:r>
      <w:r>
        <w:rPr>
          <w:sz w:val="22"/>
        </w:rPr>
        <w:t xml:space="preserve"> </w:t>
      </w:r>
      <w:r>
        <w:rPr>
          <w:sz w:val="22"/>
        </w:rPr>
        <w:t xml:space="preserve">=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r</w:t>
      </w:r>
      <w:r>
        <w:rPr>
          <w:sz w:val="22"/>
        </w:rPr>
        <w:t xml:space="preserve">(trace gases) −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r</w:t>
      </w:r>
      <w:r>
        <w:rPr>
          <w:sz w:val="22"/>
        </w:rPr>
        <w:t xml:space="preserve">(water vapour), on a shared symmetric</w:t>
      </w:r>
      <w:r>
        <w:rPr>
          <w:sz w:val="22"/>
        </w:rPr>
        <w:t xml:space="preserve"> </w:t>
      </w:r>
      <w:r>
        <w:rPr>
          <w:sz w:val="22"/>
        </w:rPr>
        <w:t xml:space="preserve">scale, for (</w:t>
      </w:r>
      <w:r>
        <w:rPr>
          <w:b/>
          <w:bCs/>
          <w:sz w:val="22"/>
        </w:rPr>
        <w:t xml:space="preserve">c</w:t>
      </w:r>
      <w:r>
        <w:rPr>
          <w:sz w:val="22"/>
        </w:rPr>
        <w:t xml:space="preserve">) PBLH, (</w:t>
      </w:r>
      <w:r>
        <w:rPr>
          <w:b/>
          <w:bCs/>
          <w:sz w:val="22"/>
        </w:rPr>
        <w:t xml:space="preserve">d</w:t>
      </w:r>
      <w:r>
        <w:rPr>
          <w:sz w:val="22"/>
        </w:rPr>
        <w:t xml:space="preserve">) near-surface wind speed and (</w:t>
      </w:r>
      <w:r>
        <w:rPr>
          <w:b/>
          <w:bCs/>
          <w:sz w:val="22"/>
        </w:rPr>
        <w:t xml:space="preserve">e</w:t>
      </w:r>
      <w:r>
        <w:rPr>
          <w:sz w:val="22"/>
        </w:rPr>
        <w:t xml:space="preserve">) 500-hPa wind speed. The</w:t>
      </w:r>
      <w:r>
        <w:rPr>
          <w:sz w:val="22"/>
        </w:rPr>
        <w:t xml:space="preserve"> </w:t>
      </w:r>
      <w:r>
        <w:rPr>
          <w:sz w:val="22"/>
        </w:rPr>
        <w:t xml:space="preserve">water-vapour model receives a vertical humidity profile including the 500-hPa level, whereas</w:t>
      </w:r>
      <w:r>
        <w:rPr>
          <w:sz w:val="22"/>
        </w:rPr>
        <w:t xml:space="preserve"> </w:t>
      </w:r>
      <w:r>
        <w:rPr>
          <w:sz w:val="22"/>
        </w:rPr>
        <w:t xml:space="preserve">the trace-gas model receives columns and near-surface fields only. Land/ocean lead shares are</w:t>
      </w:r>
      <w:r>
        <w:rPr>
          <w:sz w:val="22"/>
        </w:rPr>
        <w:t xml:space="preserve"> </w:t>
      </w:r>
      <w:r>
        <w:rPr>
          <w:sz w:val="22"/>
        </w:rPr>
        <w:t xml:space="preserve">cosine-latitude-weighted and reported in Supplementary Results 2.5 and Supplementary Table S2.</w:t>
      </w:r>
    </w:p>
    <w:bookmarkEnd w:id="39"/>
    <w:bookmarkStart w:id="43" w:name="Xc2401de295f420c2f105236e4438e5f12e89176"/>
    <w:p>
      <w:pPr>
        <w:pStyle w:val="Heading3"/>
        <w:spacing w:before="160" w:after="80" w:line="480" w:lineRule="auto"/>
      </w:pPr>
      <w:r>
        <w:t xml:space="preserve">2.6 Passive-tracer geometry generalises across source locations and emission strengths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sz w:val="22"/>
        </w:rPr>
        <w:t xml:space="preserve">A network trained on plumes could learn source identity or absolute emission magnitude rather</w:t>
      </w:r>
      <w:r>
        <w:rPr>
          <w:sz w:val="22"/>
        </w:rPr>
        <w:t xml:space="preserve"> </w:t>
      </w:r>
      <w:r>
        <w:rPr>
          <w:sz w:val="22"/>
        </w:rPr>
        <w:t xml:space="preserve">than flow-dependent plume geometry. A WRF-Chem passive-tracer control tests these alternatives</w:t>
      </w:r>
      <w:r>
        <w:rPr>
          <w:sz w:val="22"/>
        </w:rPr>
        <w:t xml:space="preserve"> </w:t>
      </w:r>
      <w:r>
        <w:rPr>
          <w:sz w:val="22"/>
        </w:rPr>
        <w:t xml:space="preserve">with plumes at held-out source locations, plume-concentration scaling far beyond the training range,</w:t>
      </w:r>
      <w:r>
        <w:rPr>
          <w:sz w:val="22"/>
        </w:rPr>
        <w:t xml:space="preserve"> </w:t>
      </w:r>
      <w:r>
        <w:rPr>
          <w:sz w:val="22"/>
        </w:rPr>
        <w:t xml:space="preserve">shuffled-plume floors and a fixed-magnitude counterfactual network (Supplementary Methods 4.5).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</w:rPr>
        <w:t xml:space="preserve">The scaling test multiplies both plume-concentration input levels by a common factor before the</w:t>
      </w:r>
      <w:r>
        <w:rPr>
          <w:sz w:val="22"/>
        </w:rPr>
        <w:t xml:space="preserve"> </w:t>
      </w:r>
      <w:r>
        <w:rPr>
          <w:sz w:val="22"/>
        </w:rPr>
        <w:t xml:space="preserve">fixed log transform and normalisation. Because the tracer has no chemistry and its transport is</w:t>
      </w:r>
      <w:r>
        <w:rPr>
          <w:sz w:val="22"/>
        </w:rPr>
        <w:t xml:space="preserve"> </w:t>
      </w:r>
      <w:r>
        <w:rPr>
          <w:sz w:val="22"/>
        </w:rPr>
        <w:t xml:space="preserve">linear in the prescribed constant source strength, this operation represents the concentration</w:t>
      </w:r>
      <w:r>
        <w:rPr>
          <w:sz w:val="22"/>
        </w:rPr>
        <w:t xml:space="preserve"> </w:t>
      </w:r>
      <w:r>
        <w:rPr>
          <w:sz w:val="22"/>
        </w:rPr>
        <w:t xml:space="preserve">field obtained by multiplying the source emission rate by the same factor; separate WRF-Chem</w:t>
      </w:r>
      <w:r>
        <w:rPr>
          <w:sz w:val="22"/>
        </w:rPr>
        <w:t xml:space="preserve"> </w:t>
      </w:r>
      <w:r>
        <w:rPr>
          <w:sz w:val="22"/>
        </w:rPr>
        <w:t xml:space="preserve">simulations are therefore not required for each scale factor.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</w:rPr>
        <w:t xml:space="preserve">Skill at the 15 held-out source locations is comparable to that at the 35 training sources and</w:t>
      </w:r>
      <w:r>
        <w:rPr>
          <w:sz w:val="22"/>
        </w:rPr>
        <w:t xml:space="preserve"> </w:t>
      </w:r>
      <w:r>
        <w:rPr>
          <w:sz w:val="22"/>
        </w:rPr>
        <w:t xml:space="preserve">far above the shuffled-plume floors, and patch-mean series at a held-out source track the truth</w:t>
      </w:r>
      <w:r>
        <w:rPr>
          <w:sz w:val="22"/>
        </w:rPr>
        <w:t xml:space="preserve"> </w:t>
      </w:r>
      <w:r>
        <w:rPr>
          <w:sz w:val="22"/>
        </w:rPr>
        <w:t xml:space="preserve">at temporal correlations of 0.96 for PBLH and 0.84 for wind speed</w:t>
      </w:r>
      <w:r>
        <w:rPr>
          <w:sz w:val="22"/>
        </w:rPr>
        <w:t xml:space="preserve"> </w:t>
      </w:r>
      <w:r>
        <w:rPr>
          <w:sz w:val="22"/>
        </w:rPr>
        <w:t xml:space="preserve">(Supplementary Table S2). Under test-time plume-concentration scaling from 0.01× to 1000× —</w:t>
      </w:r>
      <w:r>
        <w:rPr>
          <w:sz w:val="22"/>
        </w:rPr>
        <w:t xml:space="preserve"> </w:t>
      </w:r>
      <w:r>
        <w:rPr>
          <w:sz w:val="22"/>
        </w:rPr>
        <w:t xml:space="preserve">equivalent here to emission-rate scaling and one to two orders of magnitude beyond the 0.1–10×</w:t>
      </w:r>
      <w:r>
        <w:rPr>
          <w:sz w:val="22"/>
        </w:rPr>
        <w:t xml:space="preserve"> </w:t>
      </w:r>
      <w:r>
        <w:rPr>
          <w:sz w:val="22"/>
        </w:rPr>
        <w:t xml:space="preserve">training augmentation — the magnitude-augmented network is</w:t>
      </w:r>
      <w:r>
        <w:rPr>
          <w:sz w:val="22"/>
        </w:rPr>
        <w:t xml:space="preserve"> </w:t>
      </w:r>
      <w:r>
        <w:rPr>
          <w:sz w:val="22"/>
        </w:rPr>
        <w:t xml:space="preserve">essentially unchanged, whereas an otherwise identical network trained at fixed magnitude</w:t>
      </w:r>
      <w:r>
        <w:rPr>
          <w:sz w:val="22"/>
        </w:rPr>
        <w:t xml:space="preserve"> </w:t>
      </w:r>
      <w:r>
        <w:rPr>
          <w:sz w:val="22"/>
        </w:rPr>
        <w:t xml:space="preserve">degrades at weak source strength.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</w:rPr>
        <w:t xml:space="preserve">These results support sensitivity to plume geometry rather than memorisation of source identity</w:t>
      </w:r>
      <w:r>
        <w:rPr>
          <w:sz w:val="22"/>
        </w:rPr>
        <w:t xml:space="preserve"> </w:t>
      </w:r>
      <w:r>
        <w:rPr>
          <w:sz w:val="22"/>
        </w:rPr>
        <w:t xml:space="preserve">or absolute magnitude, and show that the magnitude robustness is learned rather than imposed by</w:t>
      </w:r>
      <w:r>
        <w:rPr>
          <w:sz w:val="22"/>
        </w:rPr>
        <w:t xml:space="preserve"> </w:t>
      </w:r>
      <w:r>
        <w:rPr>
          <w:sz w:val="22"/>
        </w:rPr>
        <w:t xml:space="preserve">preprocessing. Each reported condition is the mean over 400 evaluation scenes from one stored</w:t>
      </w:r>
      <w:r>
        <w:rPr>
          <w:sz w:val="22"/>
        </w:rPr>
        <w:t xml:space="preserve"> </w:t>
      </w:r>
      <w:r>
        <w:rPr>
          <w:sz w:val="22"/>
        </w:rPr>
        <w:t xml:space="preserve">evaluation realisation, with no sampling-uncertainty estimate attached.</w:t>
      </w:r>
    </w:p>
    <w:p>
      <w:pPr>
        <w:pStyle w:val="BodyText"/>
        <w:spacing w:before="40" w:after="120" w:line="480" w:lineRule="auto"/>
        <w:jc w:val="center"/>
        <w:rPr>
          <w:sz w:val="22"/>
        </w:rPr>
        <w:pBdr>
          <w:bottom w:val="single" w:sz="4" w:space="6" w:color="AAAAAA"/>
        </w:pBdr>
      </w:pPr>
      <w:r>
        <w:drawing>
          <wp:inline>
            <wp:extent cx="6332220" cy="4765666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figS_wrf_plume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765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b/>
          <w:bCs/>
          <w:sz w:val="22"/>
        </w:rPr>
        <w:t xml:space="preserve">Supplementary Fig. S8 | WRF-Chem passive-tracer control: wind information generalises across source locations and emission magnitudes.</w:t>
      </w:r>
      <w:r>
        <w:rPr>
          <w:sz w:val="22"/>
        </w:rPr>
        <w:t xml:space="preserve"> </w:t>
      </w:r>
      <w:r>
        <w:rPr>
          <w:sz w:val="22"/>
        </w:rPr>
        <w:t xml:space="preserve">(</w:t>
      </w:r>
      <w:r>
        <w:rPr>
          <w:b/>
          <w:bCs/>
          <w:sz w:val="22"/>
        </w:rPr>
        <w:t xml:space="preserve">a</w:t>
      </w:r>
      <w:r>
        <w:rPr>
          <w:sz w:val="22"/>
        </w:rPr>
        <w:t xml:space="preserve">,</w:t>
      </w:r>
      <w:r>
        <w:rPr>
          <w:sz w:val="22"/>
        </w:rPr>
        <w:t xml:space="preserve"> </w:t>
      </w:r>
      <w:r>
        <w:rPr>
          <w:b/>
          <w:bCs/>
          <w:sz w:val="22"/>
        </w:rPr>
        <w:t xml:space="preserve">b</w:t>
      </w:r>
      <w:r>
        <w:rPr>
          <w:sz w:val="22"/>
        </w:rPr>
        <w:t xml:space="preserve">) Two passive-tracer snapshots at the same point source (white cross) under</w:t>
      </w:r>
      <w:r>
        <w:rPr>
          <w:sz w:val="22"/>
        </w:rPr>
        <w:t xml:space="preserve"> </w:t>
      </w:r>
      <w:r>
        <w:rPr>
          <w:sz w:val="22"/>
        </w:rPr>
        <w:t xml:space="preserve">contrasting flow; arrows show the 10-m wind field, with length proportional to wind speed</w:t>
      </w:r>
      <w:r>
        <w:rPr>
          <w:sz w:val="22"/>
        </w:rPr>
        <w:t xml:space="preserve"> </w:t>
      </w:r>
      <w:r>
        <w:rPr>
          <w:sz w:val="22"/>
        </w:rPr>
        <w:t xml:space="preserve">(reference arrow in</w:t>
      </w:r>
      <w:r>
        <w:rPr>
          <w:sz w:val="22"/>
        </w:rPr>
        <w:t xml:space="preserve"> </w:t>
      </w:r>
      <w:r>
        <w:rPr>
          <w:b/>
          <w:bCs/>
          <w:sz w:val="22"/>
        </w:rPr>
        <w:t xml:space="preserve">a</w:t>
      </w:r>
      <w:r>
        <w:rPr>
          <w:sz w:val="22"/>
        </w:rPr>
        <w:t xml:space="preserve">). Each map is normalised to its own plume maximum, so colours are not</w:t>
      </w:r>
      <w:r>
        <w:rPr>
          <w:sz w:val="22"/>
        </w:rPr>
        <w:t xml:space="preserve"> </w:t>
      </w:r>
      <w:r>
        <w:rPr>
          <w:sz w:val="22"/>
        </w:rPr>
        <w:t xml:space="preserve">an absolute concentration comparison between panels. (</w:t>
      </w:r>
      <w:r>
        <w:rPr>
          <w:b/>
          <w:bCs/>
          <w:sz w:val="22"/>
        </w:rPr>
        <w:t xml:space="preserve">c</w:t>
      </w:r>
      <w:r>
        <w:rPr>
          <w:sz w:val="22"/>
        </w:rPr>
        <w:t xml:space="preserve">) Per-patch spatial correlation,</w:t>
      </w:r>
      <w:r>
        <w:rPr>
          <w:sz w:val="22"/>
        </w:rPr>
        <w:t xml:space="preserve"> </w:t>
      </w:r>
      <w:r>
        <w:rPr>
          <w:sz w:val="22"/>
        </w:rPr>
        <w:t xml:space="preserve">computed over each 96 × 96-cell plume-centred field, for wind speed and PBLH at</w:t>
      </w:r>
      <w:r>
        <w:rPr>
          <w:sz w:val="22"/>
        </w:rPr>
        <w:t xml:space="preserve"> </w:t>
      </w:r>
      <w:r>
        <w:rPr>
          <w:sz w:val="22"/>
        </w:rPr>
        <w:t xml:space="preserve">the 35 training-source and 15 held-out-source locations, with shuffled-plume floors (dashed).</w:t>
      </w:r>
      <w:r>
        <w:rPr>
          <w:sz w:val="22"/>
        </w:rPr>
        <w:t xml:space="preserve"> </w:t>
      </w:r>
      <w:r>
        <w:rPr>
          <w:sz w:val="22"/>
        </w:rPr>
        <w:t xml:space="preserve">(</w:t>
      </w:r>
      <w:r>
        <w:rPr>
          <w:b/>
          <w:bCs/>
          <w:sz w:val="22"/>
        </w:rPr>
        <w:t xml:space="preserve">d</w:t>
      </w:r>
      <w:r>
        <w:rPr>
          <w:sz w:val="22"/>
        </w:rPr>
        <w:t xml:space="preserve">) Test-time plume-concentration scaling (wind speed, per-patch spatial correlation): both</w:t>
      </w:r>
      <w:r>
        <w:rPr>
          <w:sz w:val="22"/>
        </w:rPr>
        <w:t xml:space="preserve"> </w:t>
      </w:r>
      <w:r>
        <w:rPr>
          <w:sz w:val="22"/>
        </w:rPr>
        <w:t xml:space="preserve">input levels are multiplied by factors from 0.01 to 1000, equivalent to scaling the source emission</w:t>
      </w:r>
      <w:r>
        <w:rPr>
          <w:sz w:val="22"/>
        </w:rPr>
        <w:t xml:space="preserve"> </w:t>
      </w:r>
      <w:r>
        <w:rPr>
          <w:sz w:val="22"/>
        </w:rPr>
        <w:t xml:space="preserve">rate by the same factors and extending beyond the 0.1–10 range used for training augmentation</w:t>
      </w:r>
      <w:r>
        <w:rPr>
          <w:sz w:val="22"/>
        </w:rPr>
        <w:t xml:space="preserve"> </w:t>
      </w:r>
      <w:r>
        <w:rPr>
          <w:sz w:val="22"/>
        </w:rPr>
        <w:t xml:space="preserve">(shaded). The magnitude-augmented network was trained with random scaling over that shaded</w:t>
      </w:r>
      <w:r>
        <w:rPr>
          <w:sz w:val="22"/>
        </w:rPr>
        <w:t xml:space="preserve"> </w:t>
      </w:r>
      <w:r>
        <w:rPr>
          <w:sz w:val="22"/>
        </w:rPr>
        <w:t xml:space="preserve">range; it is compared with an otherwise identical network trained at fixed magnitude.</w:t>
      </w:r>
      <w:r>
        <w:rPr>
          <w:sz w:val="22"/>
        </w:rPr>
        <w:t xml:space="preserve"> </w:t>
      </w:r>
      <w:r>
        <w:rPr>
          <w:sz w:val="22"/>
        </w:rPr>
        <w:t xml:space="preserve">Bars and curves are means over 400 evaluation scenes from one stored evaluation realisation</w:t>
      </w:r>
      <w:r>
        <w:rPr>
          <w:sz w:val="22"/>
        </w:rPr>
        <w:t xml:space="preserve"> </w:t>
      </w:r>
      <w:r>
        <w:rPr>
          <w:sz w:val="22"/>
        </w:rPr>
        <w:t xml:space="preserve">(Supplementary Methods 4.5).</w:t>
      </w:r>
    </w:p>
    <w:bookmarkEnd w:id="43"/>
    <w:bookmarkStart w:id="47" w:name="Xe5b39b4d304bb002236336ad5a03bd249f762dc"/>
    <w:p>
      <w:pPr>
        <w:pStyle w:val="Heading3"/>
        <w:spacing w:before="160" w:after="80" w:line="480" w:lineRule="auto"/>
      </w:pPr>
      <w:r>
        <w:t xml:space="preserve">2.7 Wind recovery from in-situ concentrations depends on spatial sampling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sz w:val="22"/>
        </w:rPr>
        <w:t xml:space="preserve">The imaging experiments read spatially organised composition fields; an exploratory</w:t>
      </w:r>
      <w:r>
        <w:rPr>
          <w:sz w:val="22"/>
        </w:rPr>
        <w:t xml:space="preserve"> </w:t>
      </w:r>
      <w:r>
        <w:rPr>
          <w:sz w:val="22"/>
        </w:rPr>
        <w:t xml:space="preserve">virtual-station emulation asks whether the same information is accessible from sparse in-situ</w:t>
      </w:r>
      <w:r>
        <w:rPr>
          <w:sz w:val="22"/>
        </w:rPr>
        <w:t xml:space="preserve"> </w:t>
      </w:r>
      <w:r>
        <w:rPr>
          <w:sz w:val="22"/>
        </w:rPr>
        <w:t xml:space="preserve">concentration measurements. At single CAMS grid cells, near-surface concentrations of the seven</w:t>
      </w:r>
      <w:r>
        <w:rPr>
          <w:sz w:val="22"/>
        </w:rPr>
        <w:t xml:space="preserve"> </w:t>
      </w:r>
      <w:r>
        <w:rPr>
          <w:sz w:val="22"/>
        </w:rPr>
        <w:t xml:space="preserve">study tracers predict the same-site 10-m wind components and PBLH under the</w:t>
      </w:r>
      <w:r>
        <w:rPr>
          <w:sz w:val="22"/>
        </w:rPr>
        <w:t xml:space="preserve"> </w:t>
      </w:r>
      <w:r>
        <w:rPr>
          <w:sz w:val="22"/>
        </w:rPr>
        <w:t xml:space="preserve">strictest climatology removal in this paper and validation-clean shallow models</w:t>
      </w:r>
      <w:r>
        <w:rPr>
          <w:sz w:val="22"/>
        </w:rPr>
        <w:t xml:space="preserve"> </w:t>
      </w:r>
      <w:r>
        <w:rPr>
          <w:sz w:val="22"/>
        </w:rPr>
        <w:t xml:space="preserve">(Supplementary Methods 4.6).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</w:rPr>
        <w:t xml:space="preserve">A single instantaneous seven-gas sample reaches a station-mean temporal ACC of 0.54 for</w:t>
      </w:r>
      <w:r>
        <w:rPr>
          <w:sz w:val="22"/>
        </w:rPr>
        <w:t xml:space="preserve"> </w:t>
      </w:r>
      <w:r>
        <w:rPr>
          <w:sz w:val="22"/>
        </w:rPr>
        <w:t xml:space="preserve">PBLH but only 0.28 and 0.32 for the wind components; a 3×3-cell neighbourhood</w:t>
      </w:r>
      <w:r>
        <w:rPr>
          <w:sz w:val="22"/>
        </w:rPr>
        <w:t xml:space="preserve"> </w:t>
      </w:r>
      <w:r>
        <w:rPr>
          <w:sz w:val="22"/>
        </w:rPr>
        <w:t xml:space="preserve">raises the wind scores by 0.12 and 0.20 with little change for PBLH</w:t>
      </w:r>
      <w:r>
        <w:rPr>
          <w:sz w:val="22"/>
        </w:rPr>
        <w:t xml:space="preserve"> </w:t>
      </w:r>
      <w:r>
        <w:rPr>
          <w:sz w:val="22"/>
        </w:rPr>
        <w:t xml:space="preserve">(Supplementary Fig. S9). Adding the station’s own 24-h concentration record changes</w:t>
      </w:r>
      <w:r>
        <w:rPr>
          <w:sz w:val="22"/>
        </w:rPr>
        <w:t xml:space="preserve"> </w:t>
      </w:r>
      <w:r>
        <w:rPr>
          <w:sz w:val="22"/>
        </w:rPr>
        <w:t xml:space="preserve">station-mean skill by at most 0.05 on every target (Supplementary Table S2), indicating that</w:t>
      </w:r>
      <w:r>
        <w:rPr>
          <w:sz w:val="22"/>
        </w:rPr>
        <w:t xml:space="preserve"> </w:t>
      </w:r>
      <w:r>
        <w:rPr>
          <w:sz w:val="22"/>
        </w:rPr>
        <w:t xml:space="preserve">the recovered information is carried by the instantaneous sample rather than by short temporal</w:t>
      </w:r>
      <w:r>
        <w:rPr>
          <w:sz w:val="22"/>
        </w:rPr>
        <w:t xml:space="preserve"> </w:t>
      </w:r>
      <w:r>
        <w:rPr>
          <w:sz w:val="22"/>
        </w:rPr>
        <w:t xml:space="preserve">history. In station-count experiments, wind skill rises with the number of</w:t>
      </w:r>
      <w:r>
        <w:rPr>
          <w:sz w:val="22"/>
        </w:rPr>
        <w:t xml:space="preserve"> </w:t>
      </w:r>
      <w:r>
        <w:rPr>
          <w:sz w:val="22"/>
        </w:rPr>
        <w:t xml:space="preserve">stations and meets or exceeds the separately fitted dense-grid reference by roughly 32 stations, whereas additional</w:t>
      </w:r>
      <w:r>
        <w:rPr>
          <w:sz w:val="22"/>
        </w:rPr>
        <w:t xml:space="preserve"> </w:t>
      </w:r>
      <w:r>
        <w:rPr>
          <w:sz w:val="22"/>
        </w:rPr>
        <w:t xml:space="preserve">stations provide no consistent PBLH gain (station-level values in Supplementary</w:t>
      </w:r>
      <w:r>
        <w:rPr>
          <w:sz w:val="22"/>
        </w:rPr>
        <w:t xml:space="preserve"> </w:t>
      </w:r>
      <w:r>
        <w:rPr>
          <w:sz w:val="22"/>
        </w:rPr>
        <w:t xml:space="preserve">Table S2).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</w:rPr>
        <w:t xml:space="preserve">The PBLH signal is therefore local — consistent with dilution — whereas the wind</w:t>
      </w:r>
      <w:r>
        <w:rPr>
          <w:sz w:val="22"/>
        </w:rPr>
        <w:t xml:space="preserve"> </w:t>
      </w:r>
      <w:r>
        <w:rPr>
          <w:sz w:val="22"/>
        </w:rPr>
        <w:t xml:space="preserve">signal resides in spatial gradients that a single point cannot resolve, which is why spatially</w:t>
      </w:r>
      <w:r>
        <w:rPr>
          <w:sz w:val="22"/>
        </w:rPr>
        <w:t xml:space="preserve"> </w:t>
      </w:r>
      <w:r>
        <w:rPr>
          <w:sz w:val="22"/>
        </w:rPr>
        <w:t xml:space="preserve">resolving observations are especially valuable for winds. These are information-content bounds</w:t>
      </w:r>
      <w:r>
        <w:rPr>
          <w:sz w:val="22"/>
        </w:rPr>
        <w:t xml:space="preserve"> </w:t>
      </w:r>
      <w:r>
        <w:rPr>
          <w:sz w:val="22"/>
        </w:rPr>
        <w:t xml:space="preserve">under the simulation’s perfect co-location and species coverage, not observational station</w:t>
      </w:r>
      <w:r>
        <w:rPr>
          <w:sz w:val="22"/>
        </w:rPr>
        <w:t xml:space="preserve"> </w:t>
      </w:r>
      <w:r>
        <w:rPr>
          <w:sz w:val="22"/>
        </w:rPr>
        <w:t xml:space="preserve">retrievals.</w:t>
      </w:r>
    </w:p>
    <w:p>
      <w:pPr>
        <w:pStyle w:val="BodyText"/>
        <w:spacing w:before="40" w:after="120" w:line="480" w:lineRule="auto"/>
        <w:jc w:val="center"/>
        <w:rPr>
          <w:sz w:val="22"/>
        </w:rPr>
        <w:pBdr>
          <w:bottom w:val="single" w:sz="4" w:space="6" w:color="AAAAAA"/>
        </w:pBdr>
      </w:pPr>
      <w:r>
        <w:drawing>
          <wp:inline>
            <wp:extent cx="6332220" cy="3735744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figS_insitu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3735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b/>
          <w:bCs/>
          <w:sz w:val="22"/>
        </w:rPr>
        <w:t xml:space="preserve">Supplementary Fig. S9 | Virtual in-situ stations recover boundary-layer height locally, whereas wind recovery improves with spatial sampling.</w:t>
      </w:r>
      <w:r>
        <w:rPr>
          <w:sz w:val="22"/>
        </w:rPr>
        <w:t xml:space="preserve"> </w:t>
      </w:r>
      <w:r>
        <w:rPr>
          <w:sz w:val="22"/>
        </w:rPr>
        <w:t xml:space="preserve">Virtual stations are 0.75° CAMS reanalysis grid-cell samples at the nominal locations of seven</w:t>
      </w:r>
      <w:r>
        <w:rPr>
          <w:sz w:val="22"/>
        </w:rPr>
        <w:t xml:space="preserve"> </w:t>
      </w:r>
      <w:r>
        <w:rPr>
          <w:sz w:val="22"/>
        </w:rPr>
        <w:t xml:space="preserve">sites; they are not measurements from operational stations. Near-surface (1000-hPa)</w:t>
      </w:r>
      <w:r>
        <w:rPr>
          <w:sz w:val="22"/>
        </w:rPr>
        <w:t xml:space="preserve"> </w:t>
      </w:r>
      <w:r>
        <w:rPr>
          <w:sz w:val="22"/>
        </w:rPr>
        <w:t xml:space="preserve">concentrations of the seven study tracers predict the same-site targets after removal of the</w:t>
      </w:r>
      <w:r>
        <w:rPr>
          <w:sz w:val="22"/>
        </w:rPr>
        <w:t xml:space="preserve"> </w:t>
      </w:r>
      <w:r>
        <w:rPr>
          <w:sz w:val="22"/>
        </w:rPr>
        <w:t xml:space="preserve">training-period month-by-hour climatology (trained on 2019, evaluated on 2020). Panels (</w:t>
      </w:r>
      <w:r>
        <w:rPr>
          <w:b/>
          <w:bCs/>
          <w:sz w:val="22"/>
        </w:rPr>
        <w:t xml:space="preserve">a</w:t>
      </w:r>
      <w:r>
        <w:rPr>
          <w:sz w:val="22"/>
        </w:rPr>
        <w:t xml:space="preserve">,</w:t>
      </w:r>
      <w:r>
        <w:rPr>
          <w:sz w:val="22"/>
        </w:rPr>
        <w:t xml:space="preserve"> </w:t>
      </w:r>
      <w:r>
        <w:rPr>
          <w:b/>
          <w:bCs/>
          <w:sz w:val="22"/>
        </w:rPr>
        <w:t xml:space="preserve">d</w:t>
      </w:r>
      <w:r>
        <w:rPr>
          <w:sz w:val="22"/>
        </w:rPr>
        <w:t xml:space="preserve">) show u</w:t>
      </w:r>
      <w:r>
        <w:rPr>
          <w:sz w:val="22"/>
          <w:vertAlign w:val="subscript"/>
        </w:rPr>
        <w:t xml:space="preserve">10</w:t>
      </w:r>
      <w:r>
        <w:rPr>
          <w:sz w:val="22"/>
        </w:rPr>
        <w:t xml:space="preserve">, (</w:t>
      </w:r>
      <w:r>
        <w:rPr>
          <w:b/>
          <w:bCs/>
          <w:sz w:val="22"/>
        </w:rPr>
        <w:t xml:space="preserve">b</w:t>
      </w:r>
      <w:r>
        <w:rPr>
          <w:sz w:val="22"/>
        </w:rPr>
        <w:t xml:space="preserve">,</w:t>
      </w:r>
      <w:r>
        <w:rPr>
          <w:sz w:val="22"/>
        </w:rPr>
        <w:t xml:space="preserve"> </w:t>
      </w:r>
      <w:r>
        <w:rPr>
          <w:b/>
          <w:bCs/>
          <w:sz w:val="22"/>
        </w:rPr>
        <w:t xml:space="preserve">e</w:t>
      </w:r>
      <w:r>
        <w:rPr>
          <w:sz w:val="22"/>
        </w:rPr>
        <w:t xml:space="preserve">) v</w:t>
      </w:r>
      <w:r>
        <w:rPr>
          <w:sz w:val="22"/>
          <w:vertAlign w:val="subscript"/>
        </w:rPr>
        <w:t xml:space="preserve">10</w:t>
      </w:r>
      <w:r>
        <w:rPr>
          <w:sz w:val="22"/>
        </w:rPr>
        <w:t xml:space="preserve"> </w:t>
      </w:r>
      <w:r>
        <w:rPr>
          <w:sz w:val="22"/>
        </w:rPr>
        <w:t xml:space="preserve">and (</w:t>
      </w:r>
      <w:r>
        <w:rPr>
          <w:b/>
          <w:bCs/>
          <w:sz w:val="22"/>
        </w:rPr>
        <w:t xml:space="preserve">c</w:t>
      </w:r>
      <w:r>
        <w:rPr>
          <w:sz w:val="22"/>
        </w:rPr>
        <w:t xml:space="preserve">,</w:t>
      </w:r>
      <w:r>
        <w:rPr>
          <w:sz w:val="22"/>
        </w:rPr>
        <w:t xml:space="preserve"> </w:t>
      </w:r>
      <w:r>
        <w:rPr>
          <w:b/>
          <w:bCs/>
          <w:sz w:val="22"/>
        </w:rPr>
        <w:t xml:space="preserve">f</w:t>
      </w:r>
      <w:r>
        <w:rPr>
          <w:sz w:val="22"/>
        </w:rPr>
        <w:t xml:space="preserve">) PBLH. (</w:t>
      </w:r>
      <w:r>
        <w:rPr>
          <w:b/>
          <w:bCs/>
          <w:sz w:val="22"/>
        </w:rPr>
        <w:t xml:space="preserve">a–c</w:t>
      </w:r>
      <w:r>
        <w:rPr>
          <w:sz w:val="22"/>
        </w:rPr>
        <w:t xml:space="preserve">) Temporal ACC at seven</w:t>
      </w:r>
      <w:r>
        <w:rPr>
          <w:sz w:val="22"/>
        </w:rPr>
        <w:t xml:space="preserve"> </w:t>
      </w:r>
      <w:r>
        <w:rPr>
          <w:sz w:val="22"/>
        </w:rPr>
        <w:t xml:space="preserve">sites spanning polluted-urban to remote regimes for a single instantaneous seven-gas sample</w:t>
      </w:r>
      <w:r>
        <w:rPr>
          <w:sz w:val="22"/>
        </w:rPr>
        <w:t xml:space="preserve"> </w:t>
      </w:r>
      <w:r>
        <w:rPr>
          <w:sz w:val="22"/>
        </w:rPr>
        <w:t xml:space="preserve">(blue) and an instantaneous 3 × 3-cell neighbourhood centred on that site (red); black ticks</w:t>
      </w:r>
      <w:r>
        <w:rPr>
          <w:sz w:val="22"/>
        </w:rPr>
        <w:t xml:space="preserve"> </w:t>
      </w:r>
      <w:r>
        <w:rPr>
          <w:sz w:val="22"/>
        </w:rPr>
        <w:t xml:space="preserve">show the Pearson correlation between the target anomaly at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t</w:t>
      </w:r>
      <w:r>
        <w:rPr>
          <w:sz w:val="22"/>
        </w:rPr>
        <w:t xml:space="preserve"> </w:t>
      </w:r>
      <w:r>
        <w:rPr>
          <w:sz w:val="22"/>
        </w:rPr>
        <w:t xml:space="preserve">and the anomaly at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t</w:t>
      </w:r>
      <w:r>
        <w:rPr>
          <w:sz w:val="22"/>
        </w:rPr>
        <w:t xml:space="preserve"> </w:t>
      </w:r>
      <w:r>
        <w:rPr>
          <w:sz w:val="22"/>
        </w:rPr>
        <w:t xml:space="preserve">− 24 h,</w:t>
      </w:r>
      <w:r>
        <w:rPr>
          <w:sz w:val="22"/>
        </w:rPr>
        <w:t xml:space="preserve"> </w:t>
      </w:r>
      <w:r>
        <w:rPr>
          <w:sz w:val="22"/>
        </w:rPr>
        <w:t xml:space="preserve">computed from 2,920 matched 2020 pairs per site and target after the same training-year</w:t>
      </w:r>
      <w:r>
        <w:rPr>
          <w:sz w:val="22"/>
        </w:rPr>
        <w:t xml:space="preserve"> </w:t>
      </w:r>
      <w:r>
        <w:rPr>
          <w:sz w:val="22"/>
        </w:rPr>
        <w:t xml:space="preserve">month-by-hour climatology removal. The station-mean persistence ACCs are 0.47, 0.38 and 0.46 for</w:t>
      </w:r>
      <w:r>
        <w:rPr>
          <w:sz w:val="22"/>
        </w:rPr>
        <w:t xml:space="preserve"> </w:t>
      </w:r>
      <w:r>
        <w:rPr>
          <w:sz w:val="22"/>
        </w:rPr>
        <w:t xml:space="preserve">u</w:t>
      </w:r>
      <w:r>
        <w:rPr>
          <w:sz w:val="22"/>
          <w:vertAlign w:val="subscript"/>
        </w:rPr>
        <w:t xml:space="preserve">10</w:t>
      </w:r>
      <w:r>
        <w:rPr>
          <w:sz w:val="22"/>
        </w:rPr>
        <w:t xml:space="preserve">, v</w:t>
      </w:r>
      <w:r>
        <w:rPr>
          <w:sz w:val="22"/>
          <w:vertAlign w:val="subscript"/>
        </w:rPr>
        <w:t xml:space="preserve">10</w:t>
      </w:r>
      <w:r>
        <w:rPr>
          <w:sz w:val="22"/>
        </w:rPr>
        <w:t xml:space="preserve"> </w:t>
      </w:r>
      <w:r>
        <w:rPr>
          <w:sz w:val="22"/>
        </w:rPr>
        <w:t xml:space="preserve">and PBLH, respectively. (</w:t>
      </w:r>
      <w:r>
        <w:rPr>
          <w:b/>
          <w:bCs/>
          <w:sz w:val="22"/>
        </w:rPr>
        <w:t xml:space="preserve">d–f</w:t>
      </w:r>
      <w:r>
        <w:rPr>
          <w:sz w:val="22"/>
        </w:rPr>
        <w:t xml:space="preserve">) Station-count ladder at Paris, Texas and</w:t>
      </w:r>
      <w:r>
        <w:rPr>
          <w:sz w:val="22"/>
        </w:rPr>
        <w:t xml:space="preserve"> </w:t>
      </w:r>
      <w:r>
        <w:rPr>
          <w:sz w:val="22"/>
        </w:rPr>
        <w:t xml:space="preserve">Beijing: curves are means and shading is the minimum-to-maximum range across five random</w:t>
      </w:r>
      <w:r>
        <w:rPr>
          <w:sz w:val="22"/>
        </w:rPr>
        <w:t xml:space="preserve"> </w:t>
      </w:r>
      <w:r>
        <w:rPr>
          <w:sz w:val="22"/>
        </w:rPr>
        <w:t xml:space="preserve">placements of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N</w:t>
      </w:r>
      <w:r>
        <w:rPr>
          <w:sz w:val="22"/>
        </w:rPr>
        <w:t xml:space="preserve"> </w:t>
      </w:r>
      <w:r>
        <w:rPr>
          <w:sz w:val="22"/>
        </w:rPr>
        <w:t xml:space="preserve">distinct grid cells within ±7.5° of the target. Dotted lines show a separately</w:t>
      </w:r>
      <w:r>
        <w:rPr>
          <w:sz w:val="22"/>
        </w:rPr>
        <w:t xml:space="preserve"> </w:t>
      </w:r>
      <w:r>
        <w:rPr>
          <w:sz w:val="22"/>
        </w:rPr>
        <w:t xml:space="preserve">fitted 441-cell dense-grid reference, not an upper bound. The experiment assumes perfect</w:t>
      </w:r>
      <w:r>
        <w:rPr>
          <w:sz w:val="22"/>
        </w:rPr>
        <w:t xml:space="preserve"> </w:t>
      </w:r>
      <w:r>
        <w:rPr>
          <w:sz w:val="22"/>
        </w:rPr>
        <w:t xml:space="preserve">co-location and complete seven-species coverage (Supplementary Methods 4.6); station-mean values</w:t>
      </w:r>
      <w:r>
        <w:rPr>
          <w:sz w:val="22"/>
        </w:rPr>
        <w:t xml:space="preserve"> </w:t>
      </w:r>
      <w:r>
        <w:rPr>
          <w:sz w:val="22"/>
        </w:rPr>
        <w:t xml:space="preserve">are given in Supplementary Results 2.7 and Supplementary Table S2.</w:t>
      </w:r>
    </w:p>
    <w:bookmarkEnd w:id="47"/>
    <w:bookmarkEnd w:id="48"/>
    <w:bookmarkStart w:id="51" w:name="supplementary-discussion"/>
    <w:p>
      <w:pPr>
        <w:pStyle w:val="Heading2"/>
        <w:spacing w:before="160" w:after="80" w:line="480" w:lineRule="auto"/>
      </w:pPr>
      <w:r>
        <w:t xml:space="preserve">3. Supplementary Discussion</w:t>
      </w:r>
    </w:p>
    <w:bookmarkStart w:id="49" w:name="synthesis-of-the-control-experiments"/>
    <w:p>
      <w:pPr>
        <w:pStyle w:val="Heading3"/>
        <w:spacing w:before="160" w:after="80" w:line="480" w:lineRule="auto"/>
      </w:pPr>
      <w:r>
        <w:t xml:space="preserve">3.1 Synthesis of the control experiments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sz w:val="22"/>
        </w:rPr>
        <w:t xml:space="preserve">The supplementary experiments address, in turn, the observability, generality and</w:t>
      </w:r>
      <w:r>
        <w:rPr>
          <w:sz w:val="22"/>
        </w:rPr>
        <w:t xml:space="preserve"> </w:t>
      </w:r>
      <w:r>
        <w:rPr>
          <w:sz w:val="22"/>
        </w:rPr>
        <w:t xml:space="preserve">interpretation of the composition-to-dynamics mapping. The column-only ablation (Supplementary</w:t>
      </w:r>
      <w:r>
        <w:rPr>
          <w:sz w:val="22"/>
        </w:rPr>
        <w:t xml:space="preserve"> </w:t>
      </w:r>
      <w:r>
        <w:rPr>
          <w:sz w:val="22"/>
        </w:rPr>
        <w:t xml:space="preserve">Fig. S3) shows that the free-tropospheric wind signal survives the restriction to</w:t>
      </w:r>
      <w:r>
        <w:rPr>
          <w:sz w:val="22"/>
        </w:rPr>
        <w:t xml:space="preserve"> </w:t>
      </w:r>
      <w:r>
        <w:rPr>
          <w:sz w:val="22"/>
        </w:rPr>
        <w:t xml:space="preserve">satellite-observable columns, while the PBLH signal weakens without near-surface</w:t>
      </w:r>
      <w:r>
        <w:rPr>
          <w:sz w:val="22"/>
        </w:rPr>
        <w:t xml:space="preserve"> </w:t>
      </w:r>
      <w:r>
        <w:rPr>
          <w:sz w:val="22"/>
        </w:rPr>
        <w:t xml:space="preserve">concentrations; the CO₂-only single-tracer experiment (Supplementary Fig. S4) shows that even a single</w:t>
      </w:r>
      <w:r>
        <w:rPr>
          <w:sz w:val="22"/>
        </w:rPr>
        <w:t xml:space="preserve"> </w:t>
      </w:r>
      <w:r>
        <w:rPr>
          <w:sz w:val="22"/>
        </w:rPr>
        <w:t xml:space="preserve">long-lived tracer column carries recoverable information at all three target levels. The</w:t>
      </w:r>
      <w:r>
        <w:rPr>
          <w:sz w:val="22"/>
        </w:rPr>
        <w:t xml:space="preserve"> </w:t>
      </w:r>
      <w:r>
        <w:rPr>
          <w:sz w:val="22"/>
        </w:rPr>
        <w:t xml:space="preserve">winner-map replication (Supplementary Fig. S5) transfers the target- and altitude-dependent</w:t>
      </w:r>
      <w:r>
        <w:rPr>
          <w:sz w:val="22"/>
        </w:rPr>
        <w:t xml:space="preserve"> </w:t>
      </w:r>
      <w:r>
        <w:rPr>
          <w:sz w:val="22"/>
        </w:rPr>
        <w:t xml:space="preserve">partition of Fig. 4 to an independently produced composition system: the leading gas aloft, the</w:t>
      </w:r>
      <w:r>
        <w:rPr>
          <w:sz w:val="22"/>
        </w:rPr>
        <w:t xml:space="preserve"> </w:t>
      </w:r>
      <w:r>
        <w:rPr>
          <w:sz w:val="22"/>
        </w:rPr>
        <w:t xml:space="preserve">prominence of short-lived species near the surface and the collapse of NO₂ aloft all reproduce,</w:t>
      </w:r>
      <w:r>
        <w:rPr>
          <w:sz w:val="22"/>
        </w:rPr>
        <w:t xml:space="preserve"> </w:t>
      </w:r>
      <w:r>
        <w:rPr>
          <w:sz w:val="22"/>
        </w:rPr>
        <w:t xml:space="preserve">although the leading PBLH gas differs between systems. Together, Supplementary</w:t>
      </w:r>
      <w:r>
        <w:rPr>
          <w:sz w:val="22"/>
        </w:rPr>
        <w:t xml:space="preserve"> </w:t>
      </w:r>
      <w:r>
        <w:rPr>
          <w:sz w:val="22"/>
        </w:rPr>
        <w:t xml:space="preserve">Figs. S3–S5 indicate that satellite-like composition columns contain dynamical information</w:t>
      </w:r>
      <w:r>
        <w:rPr>
          <w:sz w:val="22"/>
        </w:rPr>
        <w:t xml:space="preserve"> </w:t>
      </w:r>
      <w:r>
        <w:rPr>
          <w:sz w:val="22"/>
        </w:rPr>
        <w:t xml:space="preserve">whose vertical partition is physically organised — by lifetime, source distribution and</w:t>
      </w:r>
      <w:r>
        <w:rPr>
          <w:sz w:val="22"/>
        </w:rPr>
        <w:t xml:space="preserve"> </w:t>
      </w:r>
      <w:r>
        <w:rPr>
          <w:sz w:val="22"/>
        </w:rPr>
        <w:t xml:space="preserve">production pathway — and partly reproducible across systems.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</w:rPr>
        <w:t xml:space="preserve">The TEMPO configurations (Supplementary Fig. S6) address the observational experiment: the</w:t>
      </w:r>
      <w:r>
        <w:rPr>
          <w:sz w:val="22"/>
        </w:rPr>
        <w:t xml:space="preserve"> </w:t>
      </w:r>
      <w:r>
        <w:rPr>
          <w:sz w:val="22"/>
        </w:rPr>
        <w:t xml:space="preserve">gas-products-plus-context configuration retains substantial skill, removing the cloud channels</w:t>
      </w:r>
      <w:r>
        <w:rPr>
          <w:sz w:val="22"/>
        </w:rPr>
        <w:t xml:space="preserve"> </w:t>
      </w:r>
      <w:r>
        <w:rPr>
          <w:sz w:val="22"/>
        </w:rPr>
        <w:t xml:space="preserve">reduces skill, and withholding all measurement values retains substantially less skill. The</w:t>
      </w:r>
      <w:r>
        <w:rPr>
          <w:sz w:val="22"/>
        </w:rPr>
        <w:t xml:space="preserve"> </w:t>
      </w:r>
      <w:r>
        <w:rPr>
          <w:sz w:val="22"/>
        </w:rPr>
        <w:t xml:space="preserve">clock baseline of 0.68 relative to the primary PBLH ACC of 0.77 also shows that scan timing</w:t>
      </w:r>
      <w:r>
        <w:rPr>
          <w:sz w:val="22"/>
        </w:rPr>
        <w:t xml:space="preserve"> </w:t>
      </w:r>
      <w:r>
        <w:rPr>
          <w:sz w:val="22"/>
        </w:rPr>
        <w:t xml:space="preserve">contains substantial predictive information for PBLH. These comparisons probe correlated</w:t>
      </w:r>
      <w:r>
        <w:rPr>
          <w:sz w:val="22"/>
        </w:rPr>
        <w:t xml:space="preserve"> </w:t>
      </w:r>
      <w:r>
        <w:rPr>
          <w:sz w:val="22"/>
        </w:rPr>
        <w:t xml:space="preserve">pathways rather than uniquely partitioning them, and retrieval-related pathways remain (main</w:t>
      </w:r>
      <w:r>
        <w:rPr>
          <w:sz w:val="22"/>
        </w:rPr>
        <w:t xml:space="preserve"> </w:t>
      </w:r>
      <w:r>
        <w:rPr>
          <w:sz w:val="22"/>
        </w:rPr>
        <w:t xml:space="preserve">Methods). The humidity comparison (Supplementary Fig. S7) shows that trace gases and water</w:t>
      </w:r>
      <w:r>
        <w:rPr>
          <w:sz w:val="22"/>
        </w:rPr>
        <w:t xml:space="preserve"> </w:t>
      </w:r>
      <w:r>
        <w:rPr>
          <w:sz w:val="22"/>
        </w:rPr>
        <w:t xml:space="preserve">vapour carry different, target-dependent information rather than composition acting as a</w:t>
      </w:r>
      <w:r>
        <w:rPr>
          <w:sz w:val="22"/>
        </w:rPr>
        <w:t xml:space="preserve"> </w:t>
      </w:r>
      <w:r>
        <w:rPr>
          <w:sz w:val="22"/>
        </w:rPr>
        <w:t xml:space="preserve">generic meteorological proxy: water vapour is the stronger wind predictor, composition the</w:t>
      </w:r>
      <w:r>
        <w:rPr>
          <w:sz w:val="22"/>
        </w:rPr>
        <w:t xml:space="preserve"> </w:t>
      </w:r>
      <w:r>
        <w:rPr>
          <w:sz w:val="22"/>
        </w:rPr>
        <w:t xml:space="preserve">stronger PBLH predictor over land. The passive-tracer control (Supplementary Fig. S8)</w:t>
      </w:r>
      <w:r>
        <w:rPr>
          <w:sz w:val="22"/>
        </w:rPr>
        <w:t xml:space="preserve"> </w:t>
      </w:r>
      <w:r>
        <w:rPr>
          <w:sz w:val="22"/>
        </w:rPr>
        <w:t xml:space="preserve">supports a role for flow-dependent plume morphology rather than source memorisation, and the</w:t>
      </w:r>
      <w:r>
        <w:rPr>
          <w:sz w:val="22"/>
        </w:rPr>
        <w:t xml:space="preserve"> </w:t>
      </w:r>
      <w:r>
        <w:rPr>
          <w:sz w:val="22"/>
        </w:rPr>
        <w:t xml:space="preserve">virtual-station analysis (Supplementary Fig. S9) explains why spatial imaging matters most for</w:t>
      </w:r>
      <w:r>
        <w:rPr>
          <w:sz w:val="22"/>
        </w:rPr>
        <w:t xml:space="preserve"> </w:t>
      </w:r>
      <w:r>
        <w:rPr>
          <w:sz w:val="22"/>
        </w:rPr>
        <w:t xml:space="preserve">winds — the wind signal resides in spatial gradients that a point measurement cannot resolve —</w:t>
      </w:r>
      <w:r>
        <w:rPr>
          <w:sz w:val="22"/>
        </w:rPr>
        <w:t xml:space="preserve"> </w:t>
      </w:r>
      <w:r>
        <w:rPr>
          <w:sz w:val="22"/>
        </w:rPr>
        <w:t xml:space="preserve">whereas local concentrations already carry boundary-layer dilution information.</w:t>
      </w:r>
    </w:p>
    <w:bookmarkEnd w:id="49"/>
    <w:bookmarkStart w:id="50" w:name="Xd31a687ba5032f18b10b937a79f112c5b4c516d"/>
    <w:p>
      <w:pPr>
        <w:pStyle w:val="Heading3"/>
        <w:spacing w:before="160" w:after="80" w:line="480" w:lineRule="auto"/>
      </w:pPr>
      <w:r>
        <w:t xml:space="preserve">3.2 Interpretive limits and implications for observing systems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sz w:val="22"/>
        </w:rPr>
        <w:t xml:space="preserve">Three considerations qualify these conclusions. First, the humidity comparison is asymmetric in vertical information — the water-vapour model receives a</w:t>
      </w:r>
      <w:r>
        <w:rPr>
          <w:sz w:val="22"/>
        </w:rPr>
        <w:t xml:space="preserve"> </w:t>
      </w:r>
      <w:r>
        <w:rPr>
          <w:sz w:val="22"/>
        </w:rPr>
        <w:t xml:space="preserve">resolved profile while the composition model receives columns and near-surface fields — so its</w:t>
      </w:r>
      <w:r>
        <w:rPr>
          <w:sz w:val="22"/>
        </w:rPr>
        <w:t xml:space="preserve"> </w:t>
      </w:r>
      <w:r>
        <w:rPr>
          <w:sz w:val="22"/>
        </w:rPr>
        <w:t xml:space="preserve">wind results should not be read as a like-for-like ranking of the two input classes. Second, the</w:t>
      </w:r>
      <w:r>
        <w:rPr>
          <w:sz w:val="22"/>
        </w:rPr>
        <w:t xml:space="preserve"> </w:t>
      </w:r>
      <w:r>
        <w:rPr>
          <w:sz w:val="22"/>
        </w:rPr>
        <w:t xml:space="preserve">TEMPO configurations probe, but do not uniquely separate, scan-timing, retrieval and sampling</w:t>
      </w:r>
      <w:r>
        <w:rPr>
          <w:sz w:val="22"/>
        </w:rPr>
        <w:t xml:space="preserve"> </w:t>
      </w:r>
      <w:r>
        <w:rPr>
          <w:sz w:val="22"/>
        </w:rPr>
        <w:t xml:space="preserve">pathways: the retrievals employ model a priori profiles, and scan hour and cloud information</w:t>
      </w:r>
      <w:r>
        <w:rPr>
          <w:sz w:val="22"/>
        </w:rPr>
        <w:t xml:space="preserve"> </w:t>
      </w:r>
      <w:r>
        <w:rPr>
          <w:sz w:val="22"/>
        </w:rPr>
        <w:t xml:space="preserve">both contribute measurably to the scores.</w:t>
      </w:r>
      <w:r>
        <w:rPr>
          <w:sz w:val="22"/>
        </w:rPr>
        <w:t xml:space="preserve"> </w:t>
      </w:r>
      <w:r>
        <w:rPr>
          <w:sz w:val="22"/>
        </w:rPr>
        <w:t xml:space="preserve">Third, the WRF-Chem tracers and the virtual stations are idealised — passive tracers without</w:t>
      </w:r>
      <w:r>
        <w:rPr>
          <w:sz w:val="22"/>
        </w:rPr>
        <w:t xml:space="preserve"> </w:t>
      </w:r>
      <w:r>
        <w:rPr>
          <w:sz w:val="22"/>
        </w:rPr>
        <w:t xml:space="preserve">chemistry, and stations with perfect co-location and species coverage — so the corresponding</w:t>
      </w:r>
      <w:r>
        <w:rPr>
          <w:sz w:val="22"/>
        </w:rPr>
        <w:t xml:space="preserve"> </w:t>
      </w:r>
      <w:r>
        <w:rPr>
          <w:sz w:val="22"/>
        </w:rPr>
        <w:t xml:space="preserve">scores are upper bounds on what real point measurements would provide, and the plume-control</w:t>
      </w:r>
      <w:r>
        <w:rPr>
          <w:sz w:val="22"/>
        </w:rPr>
        <w:t xml:space="preserve"> </w:t>
      </w:r>
      <w:r>
        <w:rPr>
          <w:sz w:val="22"/>
        </w:rPr>
        <w:t xml:space="preserve">means carry no sampling-uncertainty estimate. Within these limits, the supplementary evidence</w:t>
      </w:r>
      <w:r>
        <w:rPr>
          <w:sz w:val="22"/>
        </w:rPr>
        <w:t xml:space="preserve"> </w:t>
      </w:r>
      <w:r>
        <w:rPr>
          <w:sz w:val="22"/>
        </w:rPr>
        <w:t xml:space="preserve">supports the main conclusion: composition observing systems — imaging spectrometers foremost</w:t>
      </w:r>
      <w:r>
        <w:rPr>
          <w:sz w:val="22"/>
        </w:rPr>
        <w:t xml:space="preserve"> </w:t>
      </w:r>
      <w:r>
        <w:rPr>
          <w:sz w:val="22"/>
        </w:rPr>
        <w:t xml:space="preserve">for winds, and near-surface measurements for PBLH — hold recoverable dynamical</w:t>
      </w:r>
      <w:r>
        <w:rPr>
          <w:sz w:val="22"/>
        </w:rPr>
        <w:t xml:space="preserve"> </w:t>
      </w:r>
      <w:r>
        <w:rPr>
          <w:sz w:val="22"/>
        </w:rPr>
        <w:t xml:space="preserve">information beyond their intended composition products.</w:t>
      </w:r>
    </w:p>
    <w:bookmarkEnd w:id="50"/>
    <w:bookmarkEnd w:id="51"/>
    <w:bookmarkStart w:id="60" w:name="supplementary-methods"/>
    <w:p>
      <w:pPr>
        <w:pStyle w:val="Heading2"/>
        <w:spacing w:before="160" w:after="80" w:line="480" w:lineRule="auto"/>
      </w:pPr>
      <w:r>
        <w:t xml:space="preserve">4. Supplementary Methods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sz w:val="22"/>
        </w:rPr>
        <w:t xml:space="preserve">The datasets, network architecture, training procedure and the protocols of the main-figure</w:t>
      </w:r>
      <w:r>
        <w:rPr>
          <w:sz w:val="22"/>
        </w:rPr>
        <w:t xml:space="preserve"> </w:t>
      </w:r>
      <w:r>
        <w:rPr>
          <w:sz w:val="22"/>
        </w:rPr>
        <w:t xml:space="preserve">experiments are specified in the main Methods; the sections below specify the supplementary</w:t>
      </w:r>
      <w:r>
        <w:rPr>
          <w:sz w:val="22"/>
        </w:rPr>
        <w:t xml:space="preserve"> </w:t>
      </w:r>
      <w:r>
        <w:rPr>
          <w:sz w:val="22"/>
        </w:rPr>
        <w:t xml:space="preserve">analyses and extended evaluation statistics, stating only departures from the main protocols.</w:t>
      </w:r>
    </w:p>
    <w:bookmarkStart w:id="52" w:name="cams-datasets-and-preprocessing"/>
    <w:p>
      <w:pPr>
        <w:pStyle w:val="Heading3"/>
        <w:spacing w:before="160" w:after="80" w:line="480" w:lineRule="auto"/>
      </w:pPr>
      <w:r>
        <w:t xml:space="preserve">4.1 CAMS datasets and preprocessing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sz w:val="22"/>
        </w:rPr>
        <w:t xml:space="preserve">The Copernicus Atmosphere Monitoring Service (CAMS) global reanalysis (EAC4, with EGG4 CO₂) is</w:t>
      </w:r>
      <w:r>
        <w:rPr>
          <w:sz w:val="22"/>
        </w:rPr>
        <w:t xml:space="preserve"> </w:t>
      </w:r>
      <w:r>
        <w:rPr>
          <w:sz w:val="22"/>
        </w:rPr>
        <w:t xml:space="preserve">used at 0.75° resolution as the second, independent composition system. The tracer-partition</w:t>
      </w:r>
      <w:r>
        <w:rPr>
          <w:sz w:val="22"/>
        </w:rPr>
        <w:t xml:space="preserve"> </w:t>
      </w:r>
      <w:r>
        <w:rPr>
          <w:sz w:val="22"/>
        </w:rPr>
        <w:t xml:space="preserve">replication trains on 2019 and tests on 2020, whereas the CO₂-only single-tracer experiment uses</w:t>
      </w:r>
      <w:r>
        <w:rPr>
          <w:sz w:val="22"/>
        </w:rPr>
        <w:t xml:space="preserve"> </w:t>
      </w:r>
      <w:r>
        <w:rPr>
          <w:sz w:val="22"/>
        </w:rPr>
        <w:t xml:space="preserve">the blocked within-2019 split specified in Supplementary Methods 4.2. Composition inputs are pressure-weighted</w:t>
      </w:r>
      <w:r>
        <w:rPr>
          <w:sz w:val="22"/>
        </w:rPr>
        <w:t xml:space="preserve"> </w:t>
      </w:r>
      <w:r>
        <w:rPr>
          <w:sz w:val="22"/>
        </w:rPr>
        <w:t xml:space="preserve">tropospheric-column mixing ratios (nine pressure levels, 1000–200 hPa, TROPOMI-like</w:t>
      </w:r>
      <w:r>
        <w:rPr>
          <w:sz w:val="22"/>
        </w:rPr>
        <w:t xml:space="preserve"> </w:t>
      </w:r>
      <w:r>
        <w:rPr>
          <w:sz w:val="22"/>
        </w:rPr>
        <w:t xml:space="preserve">averaging-kernel- and Δp-weighted vertical mean, kg kg⁻¹) for CH₄, CO, O₃, NO₂, HCHO, SO₂ and</w:t>
      </w:r>
      <w:r>
        <w:rPr>
          <w:sz w:val="22"/>
        </w:rPr>
        <w:t xml:space="preserve"> </w:t>
      </w:r>
      <w:r>
        <w:rPr>
          <w:sz w:val="22"/>
        </w:rPr>
        <w:t xml:space="preserve">CO₂, plus total aerosol optical depth as a single-level field, with near-surface (1000 hPa)</w:t>
      </w:r>
      <w:r>
        <w:rPr>
          <w:sz w:val="22"/>
        </w:rPr>
        <w:t xml:space="preserve"> </w:t>
      </w:r>
      <w:r>
        <w:rPr>
          <w:sz w:val="22"/>
        </w:rPr>
        <w:t xml:space="preserve">fields where stated; PBLH truth is taken from ERA5. For the CO₂-only and winner-map models,</w:t>
      </w:r>
      <w:r>
        <w:rPr>
          <w:sz w:val="22"/>
        </w:rPr>
        <w:t xml:space="preserve"> </w:t>
      </w:r>
      <w:r>
        <w:rPr>
          <w:sz w:val="22"/>
        </w:rPr>
        <w:t xml:space="preserve">composition-input normalisation statistics are computed over January–September 2019 and</w:t>
      </w:r>
      <w:r>
        <w:rPr>
          <w:sz w:val="22"/>
        </w:rPr>
        <w:t xml:space="preserve"> </w:t>
      </w:r>
      <w:r>
        <w:rPr>
          <w:sz w:val="22"/>
        </w:rPr>
        <w:t xml:space="preserve">therefore include January validation inputs and July inputs excluded from training; the</w:t>
      </w:r>
      <w:r>
        <w:rPr>
          <w:sz w:val="22"/>
        </w:rPr>
        <w:t xml:space="preserve"> </w:t>
      </w:r>
      <w:r>
        <w:rPr>
          <w:sz w:val="22"/>
        </w:rPr>
        <w:t xml:space="preserve">within-2019 CO₂ experiment uses July as its test month. The 2020 winner-map holdout contributes</w:t>
      </w:r>
      <w:r>
        <w:rPr>
          <w:sz w:val="22"/>
        </w:rPr>
        <w:t xml:space="preserve"> </w:t>
      </w:r>
      <w:r>
        <w:rPr>
          <w:sz w:val="22"/>
        </w:rPr>
        <w:t xml:space="preserve">to neither normalisation nor target references. These input statistics use no wind or PBLH</w:t>
      </w:r>
      <w:r>
        <w:rPr>
          <w:sz w:val="22"/>
        </w:rPr>
        <w:t xml:space="preserve"> </w:t>
      </w:r>
      <w:r>
        <w:rPr>
          <w:sz w:val="22"/>
        </w:rPr>
        <w:t xml:space="preserve">targets, and the target-anomaly references exclude January and July. Existing checkpoints are</w:t>
      </w:r>
      <w:r>
        <w:rPr>
          <w:sz w:val="22"/>
        </w:rPr>
        <w:t xml:space="preserve"> </w:t>
      </w:r>
      <w:r>
        <w:rPr>
          <w:sz w:val="22"/>
        </w:rPr>
        <w:t xml:space="preserve">tied to this source-archive scaling; a strictly training-only normalisation experiment would</w:t>
      </w:r>
      <w:r>
        <w:rPr>
          <w:sz w:val="22"/>
        </w:rPr>
        <w:t xml:space="preserve"> </w:t>
      </w:r>
      <w:r>
        <w:rPr>
          <w:sz w:val="22"/>
        </w:rPr>
        <w:t xml:space="preserve">require retraining and is not reported here. The humidity comparison is the train-only exception</w:t>
      </w:r>
      <w:r>
        <w:rPr>
          <w:sz w:val="22"/>
        </w:rPr>
        <w:t xml:space="preserve"> </w:t>
      </w:r>
      <w:r>
        <w:rPr>
          <w:sz w:val="22"/>
        </w:rPr>
        <w:t xml:space="preserve">specified in Supplementary Methods 4.4. The</w:t>
      </w:r>
      <w:r>
        <w:rPr>
          <w:sz w:val="22"/>
        </w:rPr>
        <w:t xml:space="preserve"> </w:t>
      </w:r>
      <w:r>
        <w:rPr>
          <w:sz w:val="22"/>
        </w:rPr>
        <w:t xml:space="preserve">winner-map models (Supplementary Methods 4.3) train on a three-hourly archive subsampled to</w:t>
      </w:r>
      <w:r>
        <w:rPr>
          <w:sz w:val="22"/>
        </w:rPr>
        <w:t xml:space="preserve"> </w:t>
      </w:r>
      <w:r>
        <w:rPr>
          <w:sz w:val="22"/>
        </w:rPr>
        <w:t xml:space="preserve">every third snapshot, with January 2019 held out for validation and July 2019 excluded (810</w:t>
      </w:r>
      <w:r>
        <w:rPr>
          <w:sz w:val="22"/>
        </w:rPr>
        <w:t xml:space="preserve"> </w:t>
      </w:r>
      <w:r>
        <w:rPr>
          <w:sz w:val="22"/>
        </w:rPr>
        <w:t xml:space="preserve">training snapshots); the water-vapour (Supplementary Methods 4.4) and virtual-station</w:t>
      </w:r>
      <w:r>
        <w:rPr>
          <w:sz w:val="22"/>
        </w:rPr>
        <w:t xml:space="preserve"> </w:t>
      </w:r>
      <w:r>
        <w:rPr>
          <w:sz w:val="22"/>
        </w:rPr>
        <w:t xml:space="preserve">(Supplementary Methods 4.6) analyses use their own samplings, given in those sections.</w:t>
      </w:r>
    </w:p>
    <w:bookmarkEnd w:id="52"/>
    <w:bookmarkStart w:id="53" w:name="co₂-only-single-tracer-experiment"/>
    <w:p>
      <w:pPr>
        <w:pStyle w:val="Heading3"/>
        <w:spacing w:before="160" w:after="80" w:line="480" w:lineRule="auto"/>
      </w:pPr>
      <w:r>
        <w:t xml:space="preserve">4.2 CO₂-only single-tracer experiment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sz w:val="22"/>
        </w:rPr>
        <w:t xml:space="preserve">The exploratory CO₂ experiment was restricted to CAMS because GEOS-CF does not carry CO₂. The</w:t>
      </w:r>
      <w:r>
        <w:rPr>
          <w:sz w:val="22"/>
        </w:rPr>
        <w:t xml:space="preserve"> </w:t>
      </w:r>
      <w:r>
        <w:rPr>
          <w:sz w:val="22"/>
        </w:rPr>
        <w:t xml:space="preserve">pressure-weighted tropospheric CO₂ column defined above was the sole composition input to the</w:t>
      </w:r>
      <w:r>
        <w:rPr>
          <w:sz w:val="22"/>
        </w:rPr>
        <w:t xml:space="preserve"> </w:t>
      </w:r>
      <w:r>
        <w:rPr>
          <w:sz w:val="22"/>
        </w:rPr>
        <w:t xml:space="preserve">single-species dynamics models, which predicted surface wind speed, 500-hPa wind speed and</w:t>
      </w:r>
      <w:r>
        <w:rPr>
          <w:sz w:val="22"/>
        </w:rPr>
        <w:t xml:space="preserve"> </w:t>
      </w:r>
      <w:r>
        <w:rPr>
          <w:sz w:val="22"/>
        </w:rPr>
        <w:t xml:space="preserve">PBLH; wind speed is the magnitude of the predicted zonal and meridional</w:t>
      </w:r>
      <w:r>
        <w:rPr>
          <w:sz w:val="22"/>
        </w:rPr>
        <w:t xml:space="preserve"> </w:t>
      </w:r>
      <w:r>
        <w:rPr>
          <w:sz w:val="22"/>
        </w:rPr>
        <w:t xml:space="preserve">components, matching the main-text wind-speed targets. The split was blocked by month within</w:t>
      </w:r>
      <w:r>
        <w:rPr>
          <w:sz w:val="22"/>
        </w:rPr>
        <w:t xml:space="preserve"> </w:t>
      </w:r>
      <w:r>
        <w:rPr>
          <w:sz w:val="22"/>
        </w:rPr>
        <w:t xml:space="preserve">2019: all months except January and July were used for training, January 2019 for validation</w:t>
      </w:r>
      <w:r>
        <w:rPr>
          <w:sz w:val="22"/>
        </w:rPr>
        <w:t xml:space="preserve"> </w:t>
      </w:r>
      <w:r>
        <w:rPr>
          <w:sz w:val="22"/>
        </w:rPr>
        <w:t xml:space="preserve">and July 2019 for testing; the entire month was excluded from training and validation, and the</w:t>
      </w:r>
      <w:r>
        <w:rPr>
          <w:sz w:val="22"/>
        </w:rPr>
        <w:t xml:space="preserve"> </w:t>
      </w:r>
      <w:r>
        <w:rPr>
          <w:sz w:val="22"/>
        </w:rPr>
        <w:t xml:space="preserve">test uses 80 snapshots at 9-hourly cadence. Predictions and targets were expressed as anomalies</w:t>
      </w:r>
      <w:r>
        <w:rPr>
          <w:sz w:val="22"/>
        </w:rPr>
        <w:t xml:space="preserve"> </w:t>
      </w:r>
      <w:r>
        <w:rPr>
          <w:sz w:val="22"/>
        </w:rPr>
        <w:t xml:space="preserve">by removing their respective July-mean fields. Pooled spatiotemporal ACC was calculated over</w:t>
      </w:r>
      <w:r>
        <w:rPr>
          <w:sz w:val="22"/>
        </w:rPr>
        <w:t xml:space="preserve"> </w:t>
      </w:r>
      <w:r>
        <w:rPr>
          <w:sz w:val="22"/>
        </w:rPr>
        <w:t xml:space="preserve">the test cells and times, whereas per-pixel temporal ACC was calculated separately for each</w:t>
      </w:r>
      <w:r>
        <w:rPr>
          <w:sz w:val="22"/>
        </w:rPr>
        <w:t xml:space="preserve"> </w:t>
      </w:r>
      <w:r>
        <w:rPr>
          <w:sz w:val="22"/>
        </w:rPr>
        <w:t xml:space="preserve">grid-cell time series and summarised by its area-weighted median. The 24-h persistence baseline uses</w:t>
      </w:r>
      <w:r>
        <w:rPr>
          <w:sz w:val="22"/>
        </w:rPr>
        <w:t xml:space="preserve"> </w:t>
      </w:r>
      <w:r>
        <w:rPr>
          <w:sz w:val="22"/>
        </w:rPr>
        <w:t xml:space="preserve">the corresponding target field one day earlier from the full three-hourly target archive at the</w:t>
      </w:r>
      <w:r>
        <w:rPr>
          <w:sz w:val="22"/>
        </w:rPr>
        <w:t xml:space="preserve"> </w:t>
      </w:r>
      <w:r>
        <w:rPr>
          <w:sz w:val="22"/>
        </w:rPr>
        <w:t xml:space="preserve">network’s evaluation times (77 valid pairs). The forecast and verifying fields therefore have the</w:t>
      </w:r>
      <w:r>
        <w:rPr>
          <w:sz w:val="22"/>
        </w:rPr>
        <w:t xml:space="preserve"> </w:t>
      </w:r>
      <w:r>
        <w:rPr>
          <w:sz w:val="22"/>
        </w:rPr>
        <w:t xml:space="preserve">same UTC hour and are scored with the same July-mean anomaly definition.</w:t>
      </w:r>
    </w:p>
    <w:bookmarkEnd w:id="53"/>
    <w:bookmarkStart w:id="54" w:name="cams-tracer-partition-replication"/>
    <w:p>
      <w:pPr>
        <w:pStyle w:val="Heading3"/>
        <w:spacing w:before="160" w:after="80" w:line="480" w:lineRule="auto"/>
      </w:pPr>
      <w:r>
        <w:t xml:space="preserve">4.3 CAMS tracer-partition replication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sz w:val="22"/>
        </w:rPr>
        <w:t xml:space="preserve">The winner-map probe of the main Methods (Fig. 4) is repeated on CAMS. Each of the six gases</w:t>
      </w:r>
      <w:r>
        <w:rPr>
          <w:sz w:val="22"/>
        </w:rPr>
        <w:t xml:space="preserve"> </w:t>
      </w:r>
      <w:r>
        <w:rPr>
          <w:sz w:val="22"/>
        </w:rPr>
        <w:t xml:space="preserve">common to both systems (CH₄, CO, O₃, NO₂, HCHO, SO₂) is trained as a single-species</w:t>
      </w:r>
      <w:r>
        <w:rPr>
          <w:sz w:val="22"/>
        </w:rPr>
        <w:t xml:space="preserve"> </w:t>
      </w:r>
      <w:r>
        <w:rPr>
          <w:sz w:val="22"/>
        </w:rPr>
        <w:t xml:space="preserve">pressure-weighted-column model and scored by per-pixel temporal ACC (per-month climatology</w:t>
      </w:r>
      <w:r>
        <w:rPr>
          <w:sz w:val="22"/>
        </w:rPr>
        <w:t xml:space="preserve"> </w:t>
      </w:r>
      <w:r>
        <w:rPr>
          <w:sz w:val="22"/>
        </w:rPr>
        <w:t xml:space="preserve">removed) on the 2020 holdout; the per-pixel argmax gives the CAMS winner map (Supplementary</w:t>
      </w:r>
      <w:r>
        <w:rPr>
          <w:sz w:val="22"/>
        </w:rPr>
        <w:t xml:space="preserve"> </w:t>
      </w:r>
      <w:r>
        <w:rPr>
          <w:sz w:val="22"/>
        </w:rPr>
        <w:t xml:space="preserve">Fig. S5a–c), with the corresponding cosine-latitude-weighted winner shares in Supplementary</w:t>
      </w:r>
      <w:r>
        <w:rPr>
          <w:sz w:val="22"/>
        </w:rPr>
        <w:t xml:space="preserve"> </w:t>
      </w:r>
      <w:r>
        <w:rPr>
          <w:sz w:val="22"/>
        </w:rPr>
        <w:t xml:space="preserve">Fig. S5d–f, using the same ACC 0.2 masking threshold and share denominator as the main probe.</w:t>
      </w:r>
      <w:r>
        <w:rPr>
          <w:sz w:val="22"/>
        </w:rPr>
        <w:t xml:space="preserve"> </w:t>
      </w:r>
      <w:r>
        <w:rPr>
          <w:sz w:val="22"/>
        </w:rPr>
        <w:t xml:space="preserve">For the cross-system comparison the shares are recomputed over the six-gas set and compared</w:t>
      </w:r>
      <w:r>
        <w:rPr>
          <w:sz w:val="22"/>
        </w:rPr>
        <w:t xml:space="preserve"> </w:t>
      </w:r>
      <w:r>
        <w:rPr>
          <w:sz w:val="22"/>
        </w:rPr>
        <w:t xml:space="preserve">with the GEOS-CF shares (Fig. 4d–f). Matched column definitions are required: the GEOS-CF O₃</w:t>
      </w:r>
      <w:r>
        <w:rPr>
          <w:sz w:val="22"/>
        </w:rPr>
        <w:t xml:space="preserve"> </w:t>
      </w:r>
      <w:r>
        <w:rPr>
          <w:sz w:val="22"/>
        </w:rPr>
        <w:t xml:space="preserve">input is recomputed as a pressure-weighted tropospheric column over the same 1000–200 hPa band</w:t>
      </w:r>
      <w:r>
        <w:rPr>
          <w:sz w:val="22"/>
        </w:rPr>
        <w:t xml:space="preserve"> </w:t>
      </w:r>
      <w:r>
        <w:rPr>
          <w:sz w:val="22"/>
        </w:rPr>
        <w:t xml:space="preserve">as CAMS, and the single-species O₃ model is retrained on the matched column before the winner</w:t>
      </w:r>
      <w:r>
        <w:rPr>
          <w:sz w:val="22"/>
        </w:rPr>
        <w:t xml:space="preserve"> </w:t>
      </w:r>
      <w:r>
        <w:rPr>
          <w:sz w:val="22"/>
        </w:rPr>
        <w:t xml:space="preserve">maps are computed (sensitivity value in Supplementary Results 2.3). Because CAMS also carries</w:t>
      </w:r>
      <w:r>
        <w:rPr>
          <w:sz w:val="22"/>
        </w:rPr>
        <w:t xml:space="preserve"> </w:t>
      </w:r>
      <w:r>
        <w:rPr>
          <w:sz w:val="22"/>
        </w:rPr>
        <w:t xml:space="preserve">CO₂ (absent from GEOS-CF), the CAMS winner maps and shares additionally include CO₂ as a</w:t>
      </w:r>
      <w:r>
        <w:rPr>
          <w:sz w:val="22"/>
        </w:rPr>
        <w:t xml:space="preserve"> </w:t>
      </w:r>
      <w:r>
        <w:rPr>
          <w:sz w:val="22"/>
        </w:rPr>
        <w:t xml:space="preserve">seventh candidate, scored under the identical protocol as the other six gases — a single</w:t>
      </w:r>
      <w:r>
        <w:rPr>
          <w:sz w:val="22"/>
        </w:rPr>
        <w:t xml:space="preserve"> </w:t>
      </w:r>
      <w:r>
        <w:rPr>
          <w:sz w:val="22"/>
        </w:rPr>
        <w:t xml:space="preserve">pressure-weighted tropospheric column with no near-surface channel, the same U-Net architecture</w:t>
      </w:r>
      <w:r>
        <w:rPr>
          <w:sz w:val="22"/>
        </w:rPr>
        <w:t xml:space="preserve"> </w:t>
      </w:r>
      <w:r>
        <w:rPr>
          <w:sz w:val="22"/>
        </w:rPr>
        <w:t xml:space="preserve">and 60-epoch training, and the same per-month-deseasonalised per-pixel ACC metric — so CO₂</w:t>
      </w:r>
      <w:r>
        <w:rPr>
          <w:sz w:val="22"/>
        </w:rPr>
        <w:t xml:space="preserve"> </w:t>
      </w:r>
      <w:r>
        <w:rPr>
          <w:sz w:val="22"/>
        </w:rPr>
        <w:t xml:space="preserve">receives no representational or scoring advantage. CO₂ and aerosol optical depth are excluded</w:t>
      </w:r>
      <w:r>
        <w:rPr>
          <w:sz w:val="22"/>
        </w:rPr>
        <w:t xml:space="preserve"> </w:t>
      </w:r>
      <w:r>
        <w:rPr>
          <w:sz w:val="22"/>
        </w:rPr>
        <w:t xml:space="preserve">from the six-gas cross-system comparison because GEOS-CF carries neither.</w:t>
      </w:r>
    </w:p>
    <w:bookmarkEnd w:id="54"/>
    <w:bookmarkStart w:id="55" w:name="water-vapour-comparison"/>
    <w:p>
      <w:pPr>
        <w:pStyle w:val="Heading3"/>
        <w:spacing w:before="160" w:after="80" w:line="480" w:lineRule="auto"/>
      </w:pPr>
      <w:r>
        <w:t xml:space="preserve">4.4 Water-vapour comparison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sz w:val="22"/>
        </w:rPr>
        <w:t xml:space="preserve">The identical U-Net architecture is trained with specific humidity as input over the 2020 CAMS</w:t>
      </w:r>
      <w:r>
        <w:rPr>
          <w:sz w:val="22"/>
        </w:rPr>
        <w:t xml:space="preserve"> </w:t>
      </w:r>
      <w:r>
        <w:rPr>
          <w:sz w:val="22"/>
        </w:rPr>
        <w:t xml:space="preserve">holdout: the humidity model receives a nine-level vertical profile (1000–200 hPa), whereas the</w:t>
      </w:r>
      <w:r>
        <w:rPr>
          <w:sz w:val="22"/>
        </w:rPr>
        <w:t xml:space="preserve"> </w:t>
      </w:r>
      <w:r>
        <w:rPr>
          <w:sz w:val="22"/>
        </w:rPr>
        <w:t xml:space="preserve">trace-gas model receives each of six gases as a pressure-weighted tropospheric column plus its</w:t>
      </w:r>
      <w:r>
        <w:rPr>
          <w:sz w:val="22"/>
        </w:rPr>
        <w:t xml:space="preserve"> </w:t>
      </w:r>
      <w:r>
        <w:rPr>
          <w:sz w:val="22"/>
        </w:rPr>
        <w:t xml:space="preserve">1000-hPa near-surface concentration. The humidity run predicts the zonal and meridional wind</w:t>
      </w:r>
      <w:r>
        <w:rPr>
          <w:sz w:val="22"/>
        </w:rPr>
        <w:t xml:space="preserve"> </w:t>
      </w:r>
      <w:r>
        <w:rPr>
          <w:sz w:val="22"/>
        </w:rPr>
        <w:t xml:space="preserve">components at all nine levels and PBLH; Supplementary Fig. S7 evaluates derived wind speed at</w:t>
      </w:r>
      <w:r>
        <w:rPr>
          <w:sz w:val="22"/>
        </w:rPr>
        <w:t xml:space="preserve"> </w:t>
      </w:r>
      <w:r>
        <w:rPr>
          <w:sz w:val="22"/>
        </w:rPr>
        <w:t xml:space="preserve">the near-surface and 500-hPa levels together with PBLH. The twice-daily 2019 archive contains</w:t>
      </w:r>
      <w:r>
        <w:rPr>
          <w:sz w:val="22"/>
        </w:rPr>
        <w:t xml:space="preserve"> </w:t>
      </w:r>
      <w:r>
        <w:rPr>
          <w:sz w:val="22"/>
        </w:rPr>
        <w:t xml:space="preserve">730 snapshots: the first 657 chronologically sorted snapshots (1 January–25 November 2019) are</w:t>
      </w:r>
      <w:r>
        <w:rPr>
          <w:sz w:val="22"/>
        </w:rPr>
        <w:t xml:space="preserve"> </w:t>
      </w:r>
      <w:r>
        <w:rPr>
          <w:sz w:val="22"/>
        </w:rPr>
        <w:t xml:space="preserve">used for training and the final 73 (25 November–31 December 2019) for validation. Input</w:t>
      </w:r>
      <w:r>
        <w:rPr>
          <w:sz w:val="22"/>
        </w:rPr>
        <w:t xml:space="preserve"> </w:t>
      </w:r>
      <w:r>
        <w:rPr>
          <w:sz w:val="22"/>
        </w:rPr>
        <w:t xml:space="preserve">normalisation uses the first 60 training snapshots only (1–30 January 2019), after removal of</w:t>
      </w:r>
      <w:r>
        <w:rPr>
          <w:sz w:val="22"/>
        </w:rPr>
        <w:t xml:space="preserve"> </w:t>
      </w:r>
      <w:r>
        <w:rPr>
          <w:sz w:val="22"/>
        </w:rPr>
        <w:t xml:space="preserve">each channel’s instantaneous zonal mean; target statistics use a seed-0 sample of 120 training</w:t>
      </w:r>
      <w:r>
        <w:rPr>
          <w:sz w:val="22"/>
        </w:rPr>
        <w:t xml:space="preserve"> </w:t>
      </w:r>
      <w:r>
        <w:rPr>
          <w:sz w:val="22"/>
        </w:rPr>
        <w:t xml:space="preserve">snapshots. One model realisation was trained for 80 epochs with 20 random patches per snapshot</w:t>
      </w:r>
      <w:r>
        <w:rPr>
          <w:sz w:val="22"/>
        </w:rPr>
        <w:t xml:space="preserve"> </w:t>
      </w:r>
      <w:r>
        <w:rPr>
          <w:sz w:val="22"/>
        </w:rPr>
        <w:t xml:space="preserve">and batch size 16; the minimum-validation-loss checkpoint occurred at epoch 75. The per-pixel analysis evaluates the stored checkpoint on all</w:t>
      </w:r>
      <w:r>
        <w:rPr>
          <w:sz w:val="22"/>
        </w:rPr>
        <w:t xml:space="preserve"> </w:t>
      </w:r>
      <w:r>
        <w:rPr>
          <w:sz w:val="22"/>
        </w:rPr>
        <w:t xml:space="preserve">732 twice-daily 2020 holdout snapshots by global sliding inference, removes per-pixel per-month</w:t>
      </w:r>
      <w:r>
        <w:rPr>
          <w:sz w:val="22"/>
        </w:rPr>
        <w:t xml:space="preserve"> </w:t>
      </w:r>
      <w:r>
        <w:rPr>
          <w:sz w:val="22"/>
        </w:rPr>
        <w:t xml:space="preserve">means, maps and differences the per-pixel temporal ACC, and splits lead shares by the Natural</w:t>
      </w:r>
      <w:r>
        <w:rPr>
          <w:sz w:val="22"/>
        </w:rPr>
        <w:t xml:space="preserve"> </w:t>
      </w:r>
      <w:r>
        <w:rPr>
          <w:sz w:val="22"/>
        </w:rPr>
        <w:t xml:space="preserve">Earth 110-m land polygons with cosine-latitude area weighting (lead shares in Supplementary</w:t>
      </w:r>
      <w:r>
        <w:rPr>
          <w:sz w:val="22"/>
        </w:rPr>
        <w:t xml:space="preserve"> </w:t>
      </w:r>
      <w:r>
        <w:rPr>
          <w:sz w:val="22"/>
        </w:rPr>
        <w:t xml:space="preserve">Results 2.5 and Supplementary Table S2).</w:t>
      </w:r>
    </w:p>
    <w:bookmarkEnd w:id="55"/>
    <w:bookmarkStart w:id="56" w:name="wrf-chem-passive-tracer-experiment"/>
    <w:p>
      <w:pPr>
        <w:pStyle w:val="Heading3"/>
        <w:spacing w:before="160" w:after="80" w:line="480" w:lineRule="auto"/>
      </w:pPr>
      <w:r>
        <w:t xml:space="preserve">4.5 WRF-Chem passive-tracer experiment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sz w:val="22"/>
        </w:rPr>
        <w:t xml:space="preserve">The tracer transport is simulated with WRF-Chem v4.1</w:t>
      </w:r>
      <w:r>
        <w:rPr>
          <w:sz w:val="22"/>
          <w:vertAlign w:val="superscript"/>
        </w:rPr>
        <w:t xml:space="preserve">1</w:t>
      </w:r>
      <w:r>
        <w:rPr>
          <w:sz w:val="22"/>
        </w:rPr>
        <w:t xml:space="preserve"> </w:t>
      </w:r>
      <w:r>
        <w:rPr>
          <w:sz w:val="22"/>
        </w:rPr>
        <w:t xml:space="preserve">on a single</w:t>
      </w:r>
      <w:r>
        <w:rPr>
          <w:sz w:val="22"/>
        </w:rPr>
        <w:t xml:space="preserve"> </w:t>
      </w:r>
      <w:r>
        <w:rPr>
          <w:sz w:val="22"/>
        </w:rPr>
        <w:t xml:space="preserve">200 × 200 domain at 3-km horizontal spacing (Lambert conformal projection, 32 vertical levels)</w:t>
      </w:r>
      <w:r>
        <w:rPr>
          <w:sz w:val="22"/>
        </w:rPr>
        <w:t xml:space="preserve"> </w:t>
      </w:r>
      <w:r>
        <w:rPr>
          <w:sz w:val="22"/>
        </w:rPr>
        <w:t xml:space="preserve">covering the Los Angeles basin and surrounding Southern California. The available archive</w:t>
      </w:r>
      <w:r>
        <w:rPr>
          <w:sz w:val="22"/>
        </w:rPr>
        <w:t xml:space="preserve"> </w:t>
      </w:r>
      <w:r>
        <w:rPr>
          <w:sz w:val="22"/>
        </w:rPr>
        <w:t xml:space="preserve">contains 396 daily files spanning 1 January 2019–29 February 2020, each with twelve two-hourly</w:t>
      </w:r>
      <w:r>
        <w:rPr>
          <w:sz w:val="22"/>
        </w:rPr>
        <w:t xml:space="preserve"> </w:t>
      </w:r>
      <w:r>
        <w:rPr>
          <w:sz w:val="22"/>
        </w:rPr>
        <w:t xml:space="preserve">outputs. Initial and boundary conditions are taken from ERA5</w:t>
      </w:r>
      <w:r>
        <w:rPr>
          <w:sz w:val="22"/>
          <w:vertAlign w:val="superscript"/>
        </w:rPr>
        <w:t xml:space="preserve">2</w:t>
      </w:r>
      <w:r>
        <w:rPr>
          <w:sz w:val="22"/>
        </w:rPr>
        <w:t xml:space="preserve">; the</w:t>
      </w:r>
      <w:r>
        <w:rPr>
          <w:sz w:val="22"/>
        </w:rPr>
        <w:t xml:space="preserve"> </w:t>
      </w:r>
      <w:r>
        <w:rPr>
          <w:sz w:val="22"/>
        </w:rPr>
        <w:t xml:space="preserve">physics configuration uses WSM6 microphysics, the YSU boundary-layer scheme and RRTMG radiation.</w:t>
      </w:r>
      <w:r>
        <w:rPr>
          <w:sz w:val="22"/>
        </w:rPr>
        <w:t xml:space="preserve"> </w:t>
      </w:r>
      <w:r>
        <w:rPr>
          <w:sz w:val="22"/>
        </w:rPr>
        <w:t xml:space="preserve">Entire ISO weeks are assigned with random seed 42 to 43 training, nine validation and nine test</w:t>
      </w:r>
      <w:r>
        <w:rPr>
          <w:sz w:val="22"/>
        </w:rPr>
        <w:t xml:space="preserve"> </w:t>
      </w:r>
      <w:r>
        <w:rPr>
          <w:sz w:val="22"/>
        </w:rPr>
        <w:t xml:space="preserve">weeks (283, 59 and 54 files). Training uses all 283 training files; seed-7 subsamples of 20</w:t>
      </w:r>
      <w:r>
        <w:rPr>
          <w:sz w:val="22"/>
        </w:rPr>
        <w:t xml:space="preserve"> </w:t>
      </w:r>
      <w:r>
        <w:rPr>
          <w:sz w:val="22"/>
        </w:rPr>
        <w:t xml:space="preserve">validation and 40 test files are used for checkpoint selection and evaluation. The test weeks</w:t>
      </w:r>
      <w:r>
        <w:rPr>
          <w:sz w:val="22"/>
        </w:rPr>
        <w:t xml:space="preserve"> </w:t>
      </w:r>
      <w:r>
        <w:rPr>
          <w:sz w:val="22"/>
        </w:rPr>
        <w:t xml:space="preserve">are 2019 weeks 2, 3, 9, 14, 15, 34, 37 and 44 and 2020 week 8.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</w:rPr>
        <w:t xml:space="preserve">Fifty synthetic point sources emit at the same constant rate and are advected as independent</w:t>
      </w:r>
      <w:r>
        <w:rPr>
          <w:sz w:val="22"/>
        </w:rPr>
        <w:t xml:space="preserve"> </w:t>
      </w:r>
      <w:r>
        <w:rPr>
          <w:sz w:val="22"/>
        </w:rPr>
        <w:t xml:space="preserve">passive mixing-ratio tracers without chemistry. Source coordinates are defined as the maxima of the time-mean surface tracer fields on 15 July 2019. Random seed 0 assigns 35 source IDs to training; the held-out one-based IDs are 1–35.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</w:rPr>
        <w:t xml:space="preserve">Each training sample selects one time and training source and extracts both tracer levels and</w:t>
      </w:r>
      <w:r>
        <w:rPr>
          <w:sz w:val="22"/>
        </w:rPr>
        <w:t xml:space="preserve"> </w:t>
      </w:r>
      <w:r>
        <w:rPr>
          <w:sz w:val="22"/>
        </w:rPr>
        <w:t xml:space="preserve">the corresponding targets on a 96 × 96-cell patch whose centre is independently jittered by up</w:t>
      </w:r>
      <w:r>
        <w:rPr>
          <w:sz w:val="22"/>
        </w:rPr>
        <w:t xml:space="preserve"> </w:t>
      </w:r>
      <w:r>
        <w:rPr>
          <w:sz w:val="22"/>
        </w:rPr>
        <w:t xml:space="preserve">to 20 cells in each horizontal direction. Both tracer input levels are multiplied by a common</w:t>
      </w:r>
      <w:r>
        <w:rPr>
          <w:sz w:val="22"/>
        </w:rPr>
        <w:t xml:space="preserve"> </w:t>
      </w:r>
      <w:r>
        <w:rPr>
          <w:sz w:val="22"/>
        </w:rPr>
        <w:t xml:space="preserve">factor α before the signed-log transform and fixed training-set normalisation. In this linear,</w:t>
      </w:r>
      <w:r>
        <w:rPr>
          <w:sz w:val="22"/>
        </w:rPr>
        <w:t xml:space="preserve"> </w:t>
      </w:r>
      <w:r>
        <w:rPr>
          <w:sz w:val="22"/>
        </w:rPr>
        <w:t xml:space="preserve">no-chemistry setup, tracer concentration is directly proportional to the prescribed source</w:t>
      </w:r>
      <w:r>
        <w:rPr>
          <w:sz w:val="22"/>
        </w:rPr>
        <w:t xml:space="preserve"> </w:t>
      </w:r>
      <w:r>
        <w:rPr>
          <w:sz w:val="22"/>
        </w:rPr>
        <w:t xml:space="preserve">strength, so multiplying the plume field by α is equivalent to multiplying the source emission</w:t>
      </w:r>
      <w:r>
        <w:rPr>
          <w:sz w:val="22"/>
        </w:rPr>
        <w:t xml:space="preserve"> </w:t>
      </w:r>
      <w:r>
        <w:rPr>
          <w:sz w:val="22"/>
        </w:rPr>
        <w:t xml:space="preserve">rate by α. The magnitude-augmented model draws α log-uniformly from 0.1 to 10 during training;</w:t>
      </w:r>
      <w:r>
        <w:rPr>
          <w:sz w:val="22"/>
        </w:rPr>
        <w:t xml:space="preserve"> </w:t>
      </w:r>
      <w:r>
        <w:rPr>
          <w:sz w:val="22"/>
        </w:rPr>
        <w:t xml:space="preserve">the counterfactual model uses α = 1. Both models train for 100 epochs and retain the</w:t>
      </w:r>
      <w:r>
        <w:rPr>
          <w:sz w:val="22"/>
        </w:rPr>
        <w:t xml:space="preserve"> </w:t>
      </w:r>
      <w:r>
        <w:rPr>
          <w:sz w:val="22"/>
        </w:rPr>
        <w:t xml:space="preserve">minimum-validation-loss checkpoint, at epoch 88 for the augmented model and epoch 74 for the</w:t>
      </w:r>
      <w:r>
        <w:rPr>
          <w:sz w:val="22"/>
        </w:rPr>
        <w:t xml:space="preserve"> </w:t>
      </w:r>
      <w:r>
        <w:rPr>
          <w:sz w:val="22"/>
        </w:rPr>
        <w:t xml:space="preserve">fixed-magnitude model. Normalisation samples use seed 3, 20 training files, every fourth time and</w:t>
      </w:r>
      <w:r>
        <w:rPr>
          <w:sz w:val="22"/>
        </w:rPr>
        <w:t xml:space="preserve"> </w:t>
      </w:r>
      <w:r>
        <w:rPr>
          <w:sz w:val="22"/>
        </w:rPr>
        <w:t xml:space="preserve">every fifth training-source ID. Per-scene standardisation is not used because it would remove</w:t>
      </w:r>
      <w:r>
        <w:rPr>
          <w:sz w:val="22"/>
        </w:rPr>
        <w:t xml:space="preserve"> </w:t>
      </w:r>
      <w:r>
        <w:rPr>
          <w:sz w:val="22"/>
        </w:rPr>
        <w:t xml:space="preserve">the concentration-magnitude information relevant to boundary-layer dilution.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</w:rPr>
        <w:t xml:space="preserve">Evaluation uses the 15 held-out source locations and α ∈ {0.01, 0.1, 1, 10, 100, 1000}. The</w:t>
      </w:r>
      <w:r>
        <w:rPr>
          <w:sz w:val="22"/>
        </w:rPr>
        <w:t xml:space="preserve"> </w:t>
      </w:r>
      <w:r>
        <w:rPr>
          <w:sz w:val="22"/>
        </w:rPr>
        <w:t xml:space="preserve">noise control adds zero-mean Gaussian noise before the signed-log transform, with each channel’s</w:t>
      </w:r>
      <w:r>
        <w:rPr>
          <w:sz w:val="22"/>
        </w:rPr>
        <w:t xml:space="preserve"> </w:t>
      </w:r>
      <w:r>
        <w:rPr>
          <w:sz w:val="22"/>
        </w:rPr>
        <w:t xml:space="preserve">standard deviation set to 0.1, 0.3, 0.5, 1 or 2 times that channel’s spatial standard deviation;</w:t>
      </w:r>
      <w:r>
        <w:rPr>
          <w:sz w:val="22"/>
        </w:rPr>
        <w:t xml:space="preserve"> </w:t>
      </w:r>
      <w:r>
        <w:rPr>
          <w:sz w:val="22"/>
        </w:rPr>
        <w:t xml:space="preserve">three draws are evaluated per noise level. The shuffled-plume floor replaces the input by a</w:t>
      </w:r>
      <w:r>
        <w:rPr>
          <w:sz w:val="22"/>
        </w:rPr>
        <w:t xml:space="preserve"> </w:t>
      </w:r>
      <w:r>
        <w:rPr>
          <w:sz w:val="22"/>
        </w:rPr>
        <w:t xml:space="preserve">separately sampled test file, time, held-out source and patch while retaining the original target</w:t>
      </w:r>
      <w:r>
        <w:rPr>
          <w:sz w:val="22"/>
        </w:rPr>
        <w:t xml:space="preserve"> </w:t>
      </w:r>
      <w:r>
        <w:rPr>
          <w:sz w:val="22"/>
        </w:rPr>
        <w:t xml:space="preserve">field and patch. Each condition averages per-patch spatial correlations over 400 scenes from one</w:t>
      </w:r>
      <w:r>
        <w:rPr>
          <w:sz w:val="22"/>
        </w:rPr>
        <w:t xml:space="preserve"> </w:t>
      </w:r>
      <w:r>
        <w:rPr>
          <w:sz w:val="22"/>
        </w:rPr>
        <w:t xml:space="preserve">stored evaluation realisation; patch-mean series at a held-out source are scored as temporal</w:t>
      </w:r>
      <w:r>
        <w:rPr>
          <w:sz w:val="22"/>
        </w:rPr>
        <w:t xml:space="preserve"> </w:t>
      </w:r>
      <w:r>
        <w:rPr>
          <w:sz w:val="22"/>
        </w:rPr>
        <w:t xml:space="preserve">correlations over the test weeks.</w:t>
      </w:r>
    </w:p>
    <w:bookmarkEnd w:id="56"/>
    <w:bookmarkStart w:id="57" w:name="virtual-station-experiment"/>
    <w:p>
      <w:pPr>
        <w:pStyle w:val="Heading3"/>
        <w:spacing w:before="160" w:after="80" w:line="480" w:lineRule="auto"/>
      </w:pPr>
      <w:r>
        <w:t xml:space="preserve">4.6 Virtual-station experiment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sz w:val="22"/>
        </w:rPr>
        <w:t xml:space="preserve">Virtual stations are emulated in the CAMS archive at nominal sites spanning polluted-urban,</w:t>
      </w:r>
      <w:r>
        <w:rPr>
          <w:sz w:val="22"/>
        </w:rPr>
        <w:t xml:space="preserve"> </w:t>
      </w:r>
      <w:r>
        <w:rPr>
          <w:sz w:val="22"/>
        </w:rPr>
        <w:t xml:space="preserve">continental, tropical-forest, remote-marine and high-altitude regimes: Los Angeles (34.05° N,</w:t>
      </w:r>
      <w:r>
        <w:rPr>
          <w:sz w:val="22"/>
        </w:rPr>
        <w:t xml:space="preserve"> </w:t>
      </w:r>
      <w:r>
        <w:rPr>
          <w:sz w:val="22"/>
        </w:rPr>
        <w:t xml:space="preserve">118.25° W), Paris (48.85° N, 2.35° E), Beijing (39.90° N, 116.40° E), Manaus (3.10° S,</w:t>
      </w:r>
      <w:r>
        <w:rPr>
          <w:sz w:val="22"/>
        </w:rPr>
        <w:t xml:space="preserve"> </w:t>
      </w:r>
      <w:r>
        <w:rPr>
          <w:sz w:val="22"/>
        </w:rPr>
        <w:t xml:space="preserve">60.00° W), Texas (31.00° N, 100.00° W), Mauna Loa (19.50° N, 155.60° W) and the mid-Atlantic</w:t>
      </w:r>
      <w:r>
        <w:rPr>
          <w:sz w:val="22"/>
        </w:rPr>
        <w:t xml:space="preserve"> </w:t>
      </w:r>
      <w:r>
        <w:rPr>
          <w:sz w:val="22"/>
        </w:rPr>
        <w:t xml:space="preserve">(40.00° N, 40.00° W). Each nominal coordinate is represented by its nearest 0.75° CAMS grid</w:t>
      </w:r>
      <w:r>
        <w:rPr>
          <w:sz w:val="22"/>
        </w:rPr>
        <w:t xml:space="preserve"> </w:t>
      </w:r>
      <w:r>
        <w:rPr>
          <w:sz w:val="22"/>
        </w:rPr>
        <w:t xml:space="preserve">cell. The 3-hourly 1000-hPa concentrations of the seven CAMS tracers predict the same-site 10-m</w:t>
      </w:r>
      <w:r>
        <w:rPr>
          <w:sz w:val="22"/>
        </w:rPr>
        <w:t xml:space="preserve"> </w:t>
      </w:r>
      <w:r>
        <w:rPr>
          <w:sz w:val="22"/>
        </w:rPr>
        <w:t xml:space="preserve">wind components and PBLH (train 2019, test 2020). A per-(month, hour-of-day) training</w:t>
      </w:r>
      <w:r>
        <w:rPr>
          <w:sz w:val="22"/>
        </w:rPr>
        <w:t xml:space="preserve"> </w:t>
      </w:r>
      <w:r>
        <w:rPr>
          <w:sz w:val="22"/>
        </w:rPr>
        <w:t xml:space="preserve">climatology is removed from inputs and targets, so neither the seasonal nor the diurnal cycle</w:t>
      </w:r>
      <w:r>
        <w:rPr>
          <w:sz w:val="22"/>
        </w:rPr>
        <w:t xml:space="preserve"> </w:t>
      </w:r>
      <w:r>
        <w:rPr>
          <w:sz w:val="22"/>
        </w:rPr>
        <w:t xml:space="preserve">contributes to the score. The instantaneous single-cell input contains seven features; the 3 × 3</w:t>
      </w:r>
      <w:r>
        <w:rPr>
          <w:sz w:val="22"/>
        </w:rPr>
        <w:t xml:space="preserve"> </w:t>
      </w:r>
      <w:r>
        <w:rPr>
          <w:sz w:val="22"/>
        </w:rPr>
        <w:t xml:space="preserve">comparison concatenates the simultaneous seven-gas values from the centred nine-cell</w:t>
      </w:r>
      <w:r>
        <w:rPr>
          <w:sz w:val="22"/>
        </w:rPr>
        <w:t xml:space="preserve"> </w:t>
      </w:r>
      <w:r>
        <w:rPr>
          <w:sz w:val="22"/>
        </w:rPr>
        <w:t xml:space="preserve">neighbourhood (63 features), and the 24-h-history comparison concatenates the central-cell values</w:t>
      </w:r>
      <w:r>
        <w:rPr>
          <w:sz w:val="22"/>
        </w:rPr>
        <w:t xml:space="preserve"> </w:t>
      </w:r>
      <w:r>
        <w:rPr>
          <w:sz w:val="22"/>
        </w:rPr>
        <w:t xml:space="preserve">at t, t − 3 h, …, t − 24 h (nine times × seven gases = 63 features). Models are ridge</w:t>
      </w:r>
      <w:r>
        <w:rPr>
          <w:sz w:val="22"/>
        </w:rPr>
        <w:t xml:space="preserve"> </w:t>
      </w:r>
      <w:r>
        <w:rPr>
          <w:sz w:val="22"/>
        </w:rPr>
        <w:t xml:space="preserve">regression and a two-layer, 64-unit-per-layer perceptron, scored as the per-site temporal ACC.</w:t>
      </w:r>
      <w:r>
        <w:rPr>
          <w:sz w:val="22"/>
        </w:rPr>
        <w:t xml:space="preserve"> </w:t>
      </w:r>
      <w:r>
        <w:rPr>
          <w:sz w:val="22"/>
        </w:rPr>
        <w:t xml:space="preserve">Model selection is validation-clean: the model class is chosen per site and target on a</w:t>
      </w:r>
      <w:r>
        <w:rPr>
          <w:sz w:val="22"/>
        </w:rPr>
        <w:t xml:space="preserve"> </w:t>
      </w:r>
      <w:r>
        <w:rPr>
          <w:sz w:val="22"/>
        </w:rPr>
        <w:t xml:space="preserve">November–December 2019 validation split, with the perceptron judged and reported as the mean of</w:t>
      </w:r>
      <w:r>
        <w:rPr>
          <w:sz w:val="22"/>
        </w:rPr>
        <w:t xml:space="preserve"> </w:t>
      </w:r>
      <w:r>
        <w:rPr>
          <w:sz w:val="22"/>
        </w:rPr>
        <w:t xml:space="preserve">three random seeds (0, 1 and 2; the ridge fit is deterministic); the selected class is refit on</w:t>
      </w:r>
      <w:r>
        <w:rPr>
          <w:sz w:val="22"/>
        </w:rPr>
        <w:t xml:space="preserve"> </w:t>
      </w:r>
      <w:r>
        <w:rPr>
          <w:sz w:val="22"/>
        </w:rPr>
        <w:t xml:space="preserve">the full training year and the 2020 test year is scored once, so no test-set information enters</w:t>
      </w:r>
      <w:r>
        <w:rPr>
          <w:sz w:val="22"/>
        </w:rPr>
        <w:t xml:space="preserve"> </w:t>
      </w:r>
      <w:r>
        <w:rPr>
          <w:sz w:val="22"/>
        </w:rPr>
        <w:t xml:space="preserve">model or seed selection. The 24-h persistence baseline uses the target anomaly at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t</w:t>
      </w:r>
      <w:r>
        <w:rPr>
          <w:sz w:val="22"/>
        </w:rPr>
        <w:t xml:space="preserve"> </w:t>
      </w:r>
      <w:r>
        <w:rPr>
          <w:sz w:val="22"/>
        </w:rPr>
        <w:t xml:space="preserve">− 24 h as</w:t>
      </w:r>
      <w:r>
        <w:rPr>
          <w:sz w:val="22"/>
        </w:rPr>
        <w:t xml:space="preserve"> </w:t>
      </w:r>
      <w:r>
        <w:rPr>
          <w:sz w:val="22"/>
        </w:rPr>
        <w:t xml:space="preserve">the prediction for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t</w:t>
      </w:r>
      <w:r>
        <w:rPr>
          <w:sz w:val="22"/>
        </w:rPr>
        <w:t xml:space="preserve">, discards the first eight three-hourly timestamps of 2020 and computes one</w:t>
      </w:r>
      <w:r>
        <w:rPr>
          <w:sz w:val="22"/>
        </w:rPr>
        <w:t xml:space="preserve"> </w:t>
      </w:r>
      <w:r>
        <w:rPr>
          <w:sz w:val="22"/>
        </w:rPr>
        <w:t xml:space="preserve">Pearson correlation over 2,920 matched pairs per site and target using the same training-year</w:t>
      </w:r>
      <w:r>
        <w:rPr>
          <w:sz w:val="22"/>
        </w:rPr>
        <w:t xml:space="preserve"> </w:t>
      </w:r>
      <w:r>
        <w:rPr>
          <w:sz w:val="22"/>
        </w:rPr>
        <w:t xml:space="preserve">month-by-hour anomaly reference. The station-mean persistence ACCs are 0.47, 0.38 and 0.46 for</w:t>
      </w:r>
      <w:r>
        <w:rPr>
          <w:sz w:val="22"/>
        </w:rPr>
        <w:t xml:space="preserve"> </w:t>
      </w:r>
      <w:r>
        <w:rPr>
          <w:sz w:val="22"/>
        </w:rPr>
        <w:t xml:space="preserve">u</w:t>
      </w:r>
      <w:r>
        <w:rPr>
          <w:sz w:val="22"/>
          <w:vertAlign w:val="subscript"/>
        </w:rPr>
        <w:t xml:space="preserve">10</w:t>
      </w:r>
      <w:r>
        <w:rPr>
          <w:sz w:val="22"/>
        </w:rPr>
        <w:t xml:space="preserve">, v</w:t>
      </w:r>
      <w:r>
        <w:rPr>
          <w:sz w:val="22"/>
          <w:vertAlign w:val="subscript"/>
        </w:rPr>
        <w:t xml:space="preserve">10</w:t>
      </w:r>
      <w:r>
        <w:rPr>
          <w:sz w:val="22"/>
        </w:rPr>
        <w:t xml:space="preserve"> </w:t>
      </w:r>
      <w:r>
        <w:rPr>
          <w:sz w:val="22"/>
        </w:rPr>
        <w:t xml:space="preserve">and PBLH, respectively. Station-count ladders use N ∈ {1, 2, 4, 8, 16, 32}: station 1 is</w:t>
      </w:r>
      <w:r>
        <w:rPr>
          <w:sz w:val="22"/>
        </w:rPr>
        <w:t xml:space="preserve"> </w:t>
      </w:r>
      <w:r>
        <w:rPr>
          <w:sz w:val="22"/>
        </w:rPr>
        <w:t xml:space="preserve">co-located with the target and the other stations are sampled without replacement from the</w:t>
      </w:r>
      <w:r>
        <w:rPr>
          <w:sz w:val="22"/>
        </w:rPr>
        <w:t xml:space="preserve"> </w:t>
      </w:r>
      <w:r>
        <w:rPr>
          <w:sz w:val="22"/>
        </w:rPr>
        <w:t xml:space="preserve">remaining cells in the 21 × 21-cell (±7.5°) box using NumPy random seed 0, reset separately for</w:t>
      </w:r>
      <w:r>
        <w:rPr>
          <w:sz w:val="22"/>
        </w:rPr>
        <w:t xml:space="preserve"> </w:t>
      </w:r>
      <w:r>
        <w:rPr>
          <w:sz w:val="22"/>
        </w:rPr>
        <w:t xml:space="preserve">Paris, Texas and Beijing. Five placement draws are evaluated for each N &gt; 1, and a separate</w:t>
      </w:r>
      <w:r>
        <w:rPr>
          <w:sz w:val="22"/>
        </w:rPr>
        <w:t xml:space="preserve"> </w:t>
      </w:r>
      <w:r>
        <w:rPr>
          <w:sz w:val="22"/>
        </w:rPr>
        <w:t xml:space="preserve">model using all 441 cells provides the dense-grid reference.</w:t>
      </w:r>
    </w:p>
    <w:bookmarkEnd w:id="57"/>
    <w:bookmarkStart w:id="58" w:name="Xc260867bf0d0753729f4e768fe1709e3cea5f74"/>
    <w:p>
      <w:pPr>
        <w:pStyle w:val="Heading3"/>
        <w:spacing w:before="160" w:after="80" w:line="480" w:lineRule="auto"/>
      </w:pPr>
      <w:r>
        <w:t xml:space="preserve">4.7 Extended evaluation statistics and the development holdout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b/>
          <w:bCs/>
          <w:sz w:val="22"/>
        </w:rPr>
        <w:t xml:space="preserve">GEOS-CF blocked archive.</w:t>
      </w:r>
      <w:r>
        <w:rPr>
          <w:sz w:val="22"/>
        </w:rPr>
        <w:t xml:space="preserve"> </w:t>
      </w:r>
      <w:r>
        <w:rPr>
          <w:sz w:val="22"/>
        </w:rPr>
        <w:t xml:space="preserve">Amplitude errors, biases and prediction:truth variance ratios on</w:t>
      </w:r>
      <w:r>
        <w:rPr>
          <w:sz w:val="22"/>
        </w:rPr>
        <w:t xml:space="preserve"> </w:t>
      </w:r>
      <w:r>
        <w:rPr>
          <w:sz w:val="22"/>
        </w:rPr>
        <w:t xml:space="preserve">the temporally blocked archive are given in Supplementary Table S2. Blocked skill declines from</w:t>
      </w:r>
      <w:r>
        <w:rPr>
          <w:sz w:val="22"/>
        </w:rPr>
        <w:t xml:space="preserve"> </w:t>
      </w:r>
      <w:r>
        <w:rPr>
          <w:sz w:val="22"/>
        </w:rPr>
        <w:t xml:space="preserve">August to December, consistent with increasing seasonal distance from the trained months</w:t>
      </w:r>
      <w:r>
        <w:rPr>
          <w:sz w:val="22"/>
        </w:rPr>
        <w:t xml:space="preserve"> </w:t>
      </w:r>
      <w:r>
        <w:rPr>
          <w:sz w:val="22"/>
        </w:rPr>
        <w:t xml:space="preserve">(Supplementary Table S2). On the development holdout the corresponding scores are higher; these</w:t>
      </w:r>
      <w:r>
        <w:rPr>
          <w:sz w:val="22"/>
        </w:rPr>
        <w:t xml:space="preserve"> </w:t>
      </w:r>
      <w:r>
        <w:rPr>
          <w:sz w:val="22"/>
        </w:rPr>
        <w:t xml:space="preserve">within-record values estimate the information content of composition inside the trained period</w:t>
      </w:r>
      <w:r>
        <w:rPr>
          <w:sz w:val="22"/>
        </w:rPr>
        <w:t xml:space="preserve"> </w:t>
      </w:r>
      <w:r>
        <w:rPr>
          <w:sz w:val="22"/>
        </w:rPr>
        <w:t xml:space="preserve">rather than temporal generalisation (Supplementary Table S2). The input-class ablation retrains</w:t>
      </w:r>
      <w:r>
        <w:rPr>
          <w:sz w:val="22"/>
        </w:rPr>
        <w:t xml:space="preserve"> </w:t>
      </w:r>
      <w:r>
        <w:rPr>
          <w:sz w:val="22"/>
        </w:rPr>
        <w:t xml:space="preserve">the same configuration on columns alone under an identical protocol and is rescored, unchanged,</w:t>
      </w:r>
      <w:r>
        <w:rPr>
          <w:sz w:val="22"/>
        </w:rPr>
        <w:t xml:space="preserve"> </w:t>
      </w:r>
      <w:r>
        <w:rPr>
          <w:sz w:val="22"/>
        </w:rPr>
        <w:t xml:space="preserve">on the temporally blocked archive with the primary configuration’s protocol (Supplementary</w:t>
      </w:r>
      <w:r>
        <w:rPr>
          <w:sz w:val="22"/>
        </w:rPr>
        <w:t xml:space="preserve"> </w:t>
      </w:r>
      <w:r>
        <w:rPr>
          <w:sz w:val="22"/>
        </w:rPr>
        <w:t xml:space="preserve">Fig. S3; component scores in Supplementary Table S2).</w:t>
      </w:r>
    </w:p>
    <w:bookmarkEnd w:id="58"/>
    <w:bookmarkStart w:id="59" w:name="X3794f7a08ed25326c5c278fbb7a0ecbddb76bee"/>
    <w:p>
      <w:pPr>
        <w:pStyle w:val="Heading3"/>
        <w:spacing w:before="160" w:after="80" w:line="480" w:lineRule="auto"/>
      </w:pPr>
      <w:r>
        <w:t xml:space="preserve">4.8 TEMPO chronological stress test and independence controls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sz w:val="22"/>
        </w:rPr>
        <w:t xml:space="preserve">The chronological tail stress test is a separate training experiment, not a rescore of the</w:t>
      </w:r>
      <w:r>
        <w:rPr>
          <w:sz w:val="22"/>
        </w:rPr>
        <w:t xml:space="preserve"> </w:t>
      </w:r>
      <w:r>
        <w:rPr>
          <w:sz w:val="22"/>
        </w:rPr>
        <w:t xml:space="preserve">interspersed model. It sorts the same 14,286 scans by acquisition time and assigns the first</w:t>
      </w:r>
      <w:r>
        <w:rPr>
          <w:sz w:val="22"/>
        </w:rPr>
        <w:t xml:space="preserve"> </w:t>
      </w:r>
      <w:r>
        <w:rPr>
          <w:sz w:val="22"/>
        </w:rPr>
        <w:t xml:space="preserve">10,002 scans (2 August 2023–26 July 2025) to training, the next 2,142 (26 July 2025–6 January</w:t>
      </w:r>
      <w:r>
        <w:rPr>
          <w:sz w:val="22"/>
        </w:rPr>
        <w:t xml:space="preserve"> </w:t>
      </w:r>
      <w:r>
        <w:rPr>
          <w:sz w:val="22"/>
        </w:rPr>
        <w:t xml:space="preserve">2026) to validation and the final 2,142 (6 January–21 May 2026) to testing; this partition is</w:t>
      </w:r>
      <w:r>
        <w:rPr>
          <w:sz w:val="22"/>
        </w:rPr>
        <w:t xml:space="preserve"> </w:t>
      </w:r>
      <w:r>
        <w:rPr>
          <w:sz w:val="22"/>
        </w:rPr>
        <w:t xml:space="preserve">fixed for the reported seed-0 training realisation. The twelve input channels, network architecture, optimisation and</w:t>
      </w:r>
      <w:r>
        <w:rPr>
          <w:sz w:val="22"/>
        </w:rPr>
        <w:t xml:space="preserve"> </w:t>
      </w:r>
      <w:r>
        <w:rPr>
          <w:sz w:val="22"/>
        </w:rPr>
        <w:t xml:space="preserve">60-epoch budget otherwise match the primary TEMPO configuration. Input-normalisation statistics</w:t>
      </w:r>
      <w:r>
        <w:rPr>
          <w:sz w:val="22"/>
        </w:rPr>
        <w:t xml:space="preserve"> </w:t>
      </w:r>
      <w:r>
        <w:rPr>
          <w:sz w:val="22"/>
        </w:rPr>
        <w:t xml:space="preserve">and the static per-cell anomaly reference are recomputed from the chronological training segment,</w:t>
      </w:r>
      <w:r>
        <w:rPr>
          <w:sz w:val="22"/>
        </w:rPr>
        <w:t xml:space="preserve"> </w:t>
      </w:r>
      <w:r>
        <w:rPr>
          <w:sz w:val="22"/>
        </w:rPr>
        <w:t xml:space="preserve">and checkpoint selection uses only the chronological validation segment. The reported pooled ACCs</w:t>
      </w:r>
      <w:r>
        <w:rPr>
          <w:sz w:val="22"/>
        </w:rPr>
        <w:t xml:space="preserve"> </w:t>
      </w:r>
      <w:r>
        <w:rPr>
          <w:sz w:val="22"/>
        </w:rPr>
        <w:t xml:space="preserve">of 0.23, 0.32 and 0.40 use the best validation-loss checkpoint at epoch 39. The score difference</w:t>
      </w:r>
      <w:r>
        <w:rPr>
          <w:sz w:val="22"/>
        </w:rPr>
        <w:t xml:space="preserve"> </w:t>
      </w:r>
      <w:r>
        <w:rPr>
          <w:sz w:val="22"/>
        </w:rPr>
        <w:t xml:space="preserve">from the interspersed experiment therefore combines temporal distance with a smaller and</w:t>
      </w:r>
      <w:r>
        <w:rPr>
          <w:sz w:val="22"/>
        </w:rPr>
        <w:t xml:space="preserve"> </w:t>
      </w:r>
      <w:r>
        <w:rPr>
          <w:sz w:val="22"/>
        </w:rPr>
        <w:t xml:space="preserve">temporally different training record; the complete TEMPO record also spans the V03–V04 product</w:t>
      </w:r>
      <w:r>
        <w:rPr>
          <w:sz w:val="22"/>
        </w:rPr>
        <w:t xml:space="preserve"> </w:t>
      </w:r>
      <w:r>
        <w:rPr>
          <w:sz w:val="22"/>
        </w:rPr>
        <w:t xml:space="preserve">reprocessing.</w:t>
      </w:r>
    </w:p>
    <w:p>
      <w:pPr>
        <w:pStyle w:val="BodyText"/>
        <w:spacing w:before="40" w:after="200" w:line="480" w:lineRule="auto"/>
        <w:rPr>
          <w:sz w:val="22"/>
        </w:rPr>
      </w:pPr>
      <w:r>
        <w:rPr>
          <w:sz w:val="22"/>
        </w:rPr>
        <w:t xml:space="preserve">Three neural-network configurations probe sensitivity to composition and non-composition inputs</w:t>
      </w:r>
      <w:r>
        <w:rPr>
          <w:sz w:val="22"/>
        </w:rPr>
        <w:t xml:space="preserve"> </w:t>
      </w:r>
      <w:r>
        <w:rPr>
          <w:sz w:val="22"/>
        </w:rPr>
        <w:t xml:space="preserve">on the primary configuration’s interspersed split, with the same model capacity and 60-epoch</w:t>
      </w:r>
      <w:r>
        <w:rPr>
          <w:sz w:val="22"/>
        </w:rPr>
        <w:t xml:space="preserve"> </w:t>
      </w:r>
      <w:r>
        <w:rPr>
          <w:sz w:val="22"/>
        </w:rPr>
        <w:t xml:space="preserve">schedule. The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gas-products-plus-context configuration</w:t>
      </w:r>
      <w:r>
        <w:rPr>
          <w:sz w:val="22"/>
        </w:rPr>
        <w:t xml:space="preserve"> </w:t>
      </w:r>
      <w:r>
        <w:rPr>
          <w:sz w:val="22"/>
        </w:rPr>
        <w:t xml:space="preserve">retrains on the four trace-gas products</w:t>
      </w:r>
      <w:r>
        <w:rPr>
          <w:sz w:val="22"/>
        </w:rPr>
        <w:t xml:space="preserve"> </w:t>
      </w:r>
      <w:r>
        <w:rPr>
          <w:sz w:val="22"/>
        </w:rPr>
        <w:t xml:space="preserve">plus the validity mask and static fields, withholding the ultraviolet aerosol index and both</w:t>
      </w:r>
      <w:r>
        <w:rPr>
          <w:sz w:val="22"/>
        </w:rPr>
        <w:t xml:space="preserve"> </w:t>
      </w:r>
      <w:r>
        <w:rPr>
          <w:sz w:val="22"/>
        </w:rPr>
        <w:t xml:space="preserve">O₂–O₂ cloud channels. The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no-cloud configuration</w:t>
      </w:r>
      <w:r>
        <w:rPr>
          <w:sz w:val="22"/>
        </w:rPr>
        <w:t xml:space="preserve"> </w:t>
      </w:r>
      <w:r>
        <w:rPr>
          <w:sz w:val="22"/>
        </w:rPr>
        <w:t xml:space="preserve">retrains without the two O₂–O₂ cloud</w:t>
      </w:r>
      <w:r>
        <w:rPr>
          <w:sz w:val="22"/>
        </w:rPr>
        <w:t xml:space="preserve"> </w:t>
      </w:r>
      <w:r>
        <w:rPr>
          <w:sz w:val="22"/>
        </w:rPr>
        <w:t xml:space="preserve">channels only. The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mask-only control</w:t>
      </w:r>
      <w:r>
        <w:rPr>
          <w:sz w:val="22"/>
        </w:rPr>
        <w:t xml:space="preserve"> </w:t>
      </w:r>
      <w:r>
        <w:rPr>
          <w:sz w:val="22"/>
        </w:rPr>
        <w:t xml:space="preserve">receives the validity-mask pattern, static fields and</w:t>
      </w:r>
      <w:r>
        <w:rPr>
          <w:sz w:val="22"/>
        </w:rPr>
        <w:t xml:space="preserve"> </w:t>
      </w:r>
      <w:r>
        <w:rPr>
          <w:sz w:val="22"/>
        </w:rPr>
        <w:t xml:space="preserve">coordinate channels but none of the TEMPO measurement values. The primary, no-cloud, mask-only</w:t>
      </w:r>
      <w:r>
        <w:rPr>
          <w:sz w:val="22"/>
        </w:rPr>
        <w:t xml:space="preserve"> </w:t>
      </w:r>
      <w:r>
        <w:rPr>
          <w:sz w:val="22"/>
        </w:rPr>
        <w:t xml:space="preserve">and gas-products-plus-context results use their validation-loss-selected checkpoints at epochs</w:t>
      </w:r>
      <w:r>
        <w:rPr>
          <w:sz w:val="22"/>
        </w:rPr>
        <w:t xml:space="preserve"> </w:t>
      </w:r>
      <w:r>
        <w:rPr>
          <w:sz w:val="22"/>
        </w:rPr>
        <w:t xml:space="preserve">34, 31, 31 and 39, respectively. Day-block bootstrap intervals for the</w:t>
      </w:r>
      <w:r>
        <w:rPr>
          <w:sz w:val="22"/>
        </w:rPr>
        <w:t xml:space="preserve"> </w:t>
      </w:r>
      <w:r>
        <w:rPr>
          <w:sz w:val="22"/>
        </w:rPr>
        <w:t xml:space="preserve">gas-products-plus-context pooled ACC are 0.34–0.40, 0.34–0.39 and 0.62–0.68 for u</w:t>
      </w:r>
      <w:r>
        <w:rPr>
          <w:sz w:val="22"/>
          <w:vertAlign w:val="subscript"/>
        </w:rPr>
        <w:t xml:space="preserve">10</w:t>
      </w:r>
      <w:r>
        <w:rPr>
          <w:sz w:val="22"/>
        </w:rPr>
        <w:t xml:space="preserve">, v</w:t>
      </w:r>
      <w:r>
        <w:rPr>
          <w:sz w:val="22"/>
          <w:vertAlign w:val="subscript"/>
        </w:rPr>
        <w:t xml:space="preserve">10</w:t>
      </w:r>
      <w:r>
        <w:rPr>
          <w:sz w:val="22"/>
        </w:rPr>
        <w:t xml:space="preserve"> </w:t>
      </w:r>
      <w:r>
        <w:rPr>
          <w:sz w:val="22"/>
        </w:rPr>
        <w:t xml:space="preserve">and PBLH. Two additional comparisons are not trained networks. The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clock baseline</w:t>
      </w:r>
      <w:r>
        <w:rPr>
          <w:sz w:val="22"/>
        </w:rPr>
        <w:t xml:space="preserve"> </w:t>
      </w:r>
      <w:r>
        <w:rPr>
          <w:sz w:val="22"/>
        </w:rPr>
        <w:t xml:space="preserve">uses an</w:t>
      </w:r>
      <w:r>
        <w:rPr>
          <w:sz w:val="22"/>
        </w:rPr>
        <w:t xml:space="preserve"> </w:t>
      </w:r>
      <w:r>
        <w:rPr>
          <w:sz w:val="22"/>
        </w:rPr>
        <w:t xml:space="preserve">hour-resolved climatology — the per-pixel, per-scan-hour</w:t>
      </w:r>
      <w:r>
        <w:rPr>
          <w:sz w:val="22"/>
        </w:rPr>
        <w:t xml:space="preserve"> </w:t>
      </w:r>
      <w:r>
        <w:rPr>
          <w:sz w:val="22"/>
        </w:rPr>
        <w:t xml:space="preserve">mean training-split anomaly, where scan-hour is the UTC hour of the paired HRRR analysis</w:t>
      </w:r>
      <w:r>
        <w:rPr>
          <w:sz w:val="22"/>
        </w:rPr>
        <w:t xml:space="preserve"> </w:t>
      </w:r>
      <w:r>
        <w:rPr>
          <w:sz w:val="22"/>
        </w:rPr>
        <w:t xml:space="preserve">(equivalently, the TEMPO scan-start time rounded to the nearest hour) — as the prediction.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Scan-hour-conditioned scoring</w:t>
      </w:r>
      <w:r>
        <w:rPr>
          <w:sz w:val="22"/>
        </w:rPr>
        <w:t xml:space="preserve"> </w:t>
      </w:r>
      <w:r>
        <w:rPr>
          <w:sz w:val="22"/>
        </w:rPr>
        <w:t xml:space="preserve">subtracts that hour-resolved climatology from both prediction</w:t>
      </w:r>
      <w:r>
        <w:rPr>
          <w:sz w:val="22"/>
        </w:rPr>
        <w:t xml:space="preserve"> </w:t>
      </w:r>
      <w:r>
        <w:rPr>
          <w:sz w:val="22"/>
        </w:rPr>
        <w:t xml:space="preserve">and truth before scoring. These nonlinear configurations and comparisons test whether predictive</w:t>
      </w:r>
      <w:r>
        <w:rPr>
          <w:sz w:val="22"/>
        </w:rPr>
        <w:t xml:space="preserve"> </w:t>
      </w:r>
      <w:r>
        <w:rPr>
          <w:sz w:val="22"/>
        </w:rPr>
        <w:t xml:space="preserve">information is retained after specific inputs or scan-hour structure are removed; they do not</w:t>
      </w:r>
      <w:r>
        <w:rPr>
          <w:sz w:val="22"/>
        </w:rPr>
        <w:t xml:space="preserve"> </w:t>
      </w:r>
      <w:r>
        <w:rPr>
          <w:sz w:val="22"/>
        </w:rPr>
        <w:t xml:space="preserve">uniquely partition correlated pathways. The three retrained configurations are reported in</w:t>
      </w:r>
      <w:r>
        <w:rPr>
          <w:sz w:val="22"/>
        </w:rPr>
        <w:t xml:space="preserve"> </w:t>
      </w:r>
      <w:r>
        <w:rPr>
          <w:sz w:val="22"/>
        </w:rPr>
        <w:t xml:space="preserve">Supplementary Fig. S6; the clock baseline and scan-hour-conditioned scores appear in Fig. 5a.</w:t>
      </w:r>
    </w:p>
    <w:bookmarkEnd w:id="59"/>
    <w:bookmarkEnd w:id="60"/>
    <w:bookmarkStart w:id="61" w:name="supplementary-tables"/>
    <w:p>
      <w:pPr>
        <w:pStyle w:val="Heading2"/>
        <w:spacing w:before="160" w:after="80" w:line="480" w:lineRule="auto"/>
      </w:pPr>
      <w:r>
        <w:t xml:space="preserve">5. Supplementary Tables</w:t>
      </w:r>
    </w:p>
    <w:p>
      <w:pPr>
        <w:pStyle w:val="FirstParagraph"/>
        <w:spacing w:before="40" w:after="200" w:line="480" w:lineRule="auto"/>
        <w:rPr>
          <w:sz w:val="22"/>
        </w:rPr>
      </w:pPr>
      <w:r>
        <w:rPr>
          <w:b/>
          <w:bCs/>
          <w:sz w:val="22"/>
        </w:rPr>
        <w:t xml:space="preserve">Supplementary Table S1 | Datasets, inputs and evaluation protocols.</w:t>
      </w:r>
      <w:r>
        <w:rPr>
          <w:sz w:val="22"/>
        </w:rPr>
        <w:t xml:space="preserve"> </w:t>
      </w:r>
      <w:r>
        <w:rPr>
          <w:sz w:val="22"/>
        </w:rPr>
        <w:t xml:space="preserve">One row per experiment;</w:t>
      </w:r>
      <w:r>
        <w:rPr>
          <w:sz w:val="22"/>
        </w:rPr>
        <w:t xml:space="preserve"> </w:t>
      </w:r>
      <w:r>
        <w:rPr>
          <w:sz w:val="22"/>
        </w:rPr>
        <w:t xml:space="preserve">full protocols in the main Methods and Supplementary Methods 4.1–4.8.</w:t>
      </w:r>
    </w:p>
    <w:tbl>
      <w:tblPr>
        <w:tblStyle w:val="Table"/>
        <w:jc w:val="center"/>
        <w:tblLayout w:type="fixed"/>
        <w:tblLook w:firstRow="1" w:lastRow="0" w:firstColumn="0" w:lastColumn="0" w:noHBand="0" w:noVBand="0" w:val="0020"/>
        <w:tblW w:w="5000" w:type="pct"/>
        <w:tblCellMar>
          <w:top w:w="15" w:type="dxa"/>
          <w:bottom w:w="15" w:type="dxa"/>
          <w:left w:w="40" w:type="dxa"/>
          <w:right w:w="40" w:type="dxa"/>
        </w:tblCellMar>
        <w:tblBorders>
          <w:top w:val="single" w:sz="6" w:color="000000"/>
          <w:bottom w:val="single" w:sz="6" w:color="000000"/>
          <w:left w:val="none"/>
          <w:right w:val="none"/>
          <w:insideH w:val="none"/>
          <w:insideV w:val="none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>
            <w:tcBorders>
              <w:bottom w:val="single" w:sz="6" w:color="000000"/>
            </w:tcBorders>
          </w:tcPr>
          <w:p>
            <w:pPr>
              <w:pStyle w:val="Compact"/>
              <w:spacing w:before="20" w:after="20" w:line="240" w:lineRule="auto"/>
              <w:jc w:val="left"/>
            </w:pPr>
            <w:r>
              <w:rPr>
                <w:b/>
                <w:color w:val="000000"/>
                <w:sz w:val="16"/>
              </w:rPr>
              <w:t xml:space="preserve">Experiment</w:t>
            </w:r>
          </w:p>
        </w:tc>
        <w:tc>
          <w:tcPr>
            <w:tcBorders>
              <w:bottom w:val="single" w:sz="6" w:color="000000"/>
            </w:tcBorders>
          </w:tcPr>
          <w:p>
            <w:pPr>
              <w:pStyle w:val="Compact"/>
              <w:spacing w:before="20" w:after="20" w:line="240" w:lineRule="auto"/>
              <w:jc w:val="left"/>
            </w:pPr>
            <w:r>
              <w:rPr>
                <w:b/>
                <w:color w:val="000000"/>
                <w:sz w:val="16"/>
              </w:rPr>
              <w:t xml:space="preserve">Composition inputs</w:t>
            </w:r>
          </w:p>
        </w:tc>
        <w:tc>
          <w:tcPr>
            <w:tcBorders>
              <w:bottom w:val="single" w:sz="6" w:color="000000"/>
            </w:tcBorders>
          </w:tcPr>
          <w:p>
            <w:pPr>
              <w:pStyle w:val="Compact"/>
              <w:spacing w:before="20" w:after="20" w:line="240" w:lineRule="auto"/>
              <w:jc w:val="left"/>
            </w:pPr>
            <w:r>
              <w:rPr>
                <w:b/>
                <w:color w:val="000000"/>
                <w:sz w:val="16"/>
              </w:rPr>
              <w:t xml:space="preserve">Targets</w:t>
            </w:r>
          </w:p>
        </w:tc>
        <w:tc>
          <w:tcPr>
            <w:tcBorders>
              <w:bottom w:val="single" w:sz="6" w:color="000000"/>
            </w:tcBorders>
          </w:tcPr>
          <w:p>
            <w:pPr>
              <w:pStyle w:val="Compact"/>
              <w:spacing w:before="20" w:after="20" w:line="240" w:lineRule="auto"/>
              <w:jc w:val="left"/>
            </w:pPr>
            <w:r>
              <w:rPr>
                <w:b/>
                <w:color w:val="000000"/>
                <w:sz w:val="16"/>
              </w:rPr>
              <w:t xml:space="preserve">Training and evaluation</w:t>
            </w:r>
          </w:p>
        </w:tc>
        <w:tc>
          <w:tcPr>
            <w:tcBorders>
              <w:bottom w:val="single" w:sz="6" w:color="000000"/>
            </w:tcBorders>
          </w:tcPr>
          <w:p>
            <w:pPr>
              <w:pStyle w:val="Compact"/>
              <w:spacing w:before="20" w:after="20" w:line="240" w:lineRule="auto"/>
              <w:jc w:val="left"/>
            </w:pPr>
            <w:r>
              <w:rPr>
                <w:b/>
                <w:color w:val="000000"/>
                <w:sz w:val="16"/>
              </w:rPr>
              <w:t xml:space="preserve">Metric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GEOS-CF primary (Figs. 1–3)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CH₄, CO, O₃, NO₂ columns + near-surface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10-m and 500-hPa winds; PBLH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70/15/15 split of the 495-snapshot 2020 archive; evaluated on month-held-out Aug/Oct/Dec 2020 (738 snapshots)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snapshot spatial correlation; pooled + per-pixel ACC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GEOS-CF column-only (Fig. S3)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trace-gas columns only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as primary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identical protocol; evaluated on the same blocked archive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pooled ACC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CAMS CO₂-only (Fig. S4)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CO₂ tropospheric column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surface and 500-hPa wind speed; PBLH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2019 excluding Jan (validation) and Jul; evaluated on Jul 2019 (80 snapshots)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pooled + per-pixel ACC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CAMS winner maps (Fig. S5)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one gas per model (6 common gases + CO₂)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surface and 500-hPa wind speed; PBLH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trained on 2019 (810 snapshots); evaluated on the 2020 holdout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per-pixel ACC (argmax)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TEMPO primary (Figs. 5, S6)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4 trace-gas products + 4 retrieval by-products + 4 static fields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HRRR u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10</w:t>
            </w:r>
            <w:r>
              <w:rPr>
                <w:b w:val="0"/>
                <w:color w:val="000000"/>
                <w:sz w:val="16"/>
              </w:rPr>
              <w:t xml:space="preserve">, v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10</w:t>
            </w:r>
            <w:r>
              <w:rPr>
                <w:b w:val="0"/>
                <w:color w:val="000000"/>
                <w:sz w:val="16"/>
              </w:rPr>
              <w:t xml:space="preserve">, PBLH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interspersed split with 11,798 training scans; tested in Jul 2024, Feb 2025 and Oct 2025 (1,227 scans)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pooled + per-pixel ACC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TEMPO chronological-tail stress test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as TEMPO primary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as TEMPO primary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chronological 70/15/15 split with 10,002 training, 2,142 validation and 2,142 Jan–May 2026 test scans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pooled ACC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TEMPO no-cloud (Fig. S6)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primary minus two O₂–O₂ cloud channels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as TEMPO primary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identical interspersed split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pooled + per-pixel ACC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TEMPO gas-products-plus-context (Fig. S6)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4 trace-gas products + validity mask + 4 static fields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as TEMPO primary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identical interspersed split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pooled + per-pixel ACC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TEMPO mask-only (Fig. S6)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validity mask + static fields only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as TEMPO primary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identical interspersed split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pooled + per-pixel ACC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CAMS humidity comparison (Fig. S7)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9-level specific humidity vs 6 gases (columns + near-surface)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near-surface and 500-hPa wind speed; PBLH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trained on 2019; evaluated on the 2020 holdout (732 snapshots)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per-pixel ACC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WRF-Chem passive tracer (Fig. S8)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single-plume patches (tracer only)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10-m wind speed; PBLH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trained on 35 sources; evaluated on 15 held-out sources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per-patch spatial correlation; held-source patch-mean temporal correlation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CAMS virtual stations (Fig. S9)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1000-hPa concentrations of 7 tracers (single cell, 24-h history, 3 × 3 neighbourhood, N ≤ 32; 441-cell reference)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same-site u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10</w:t>
            </w:r>
            <w:r>
              <w:rPr>
                <w:b w:val="0"/>
                <w:color w:val="000000"/>
                <w:sz w:val="16"/>
              </w:rPr>
              <w:t xml:space="preserve">, v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10</w:t>
            </w:r>
            <w:r>
              <w:rPr>
                <w:b w:val="0"/>
                <w:color w:val="000000"/>
                <w:sz w:val="16"/>
              </w:rPr>
              <w:t xml:space="preserve">, PBLH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trained on 2019; evaluated on 2020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per-site temporal ACC</w:t>
            </w:r>
          </w:p>
        </w:tc>
      </w:tr>
    </w:tbl>
    <w:p>
      <w:pPr>
        <w:pStyle w:val="BodyText"/>
        <w:spacing w:before="40" w:after="200" w:line="480" w:lineRule="auto"/>
        <w:rPr>
          <w:sz w:val="22"/>
        </w:rPr>
      </w:pPr>
      <w:r>
        <w:rPr>
          <w:b/>
          <w:bCs/>
          <w:sz w:val="22"/>
        </w:rPr>
        <w:t xml:space="preserve">Supplementary Table S2 | Extended performance and selected control statistics.</w:t>
      </w:r>
      <w:r>
        <w:rPr>
          <w:sz w:val="22"/>
        </w:rPr>
        <w:t xml:space="preserve"> </w:t>
      </w:r>
      <w:r>
        <w:rPr>
          <w:sz w:val="22"/>
        </w:rPr>
        <w:t xml:space="preserve">Selected score sets</w:t>
      </w:r>
      <w:r>
        <w:rPr>
          <w:sz w:val="22"/>
        </w:rPr>
        <w:t xml:space="preserve"> </w:t>
      </w:r>
      <w:r>
        <w:rPr>
          <w:sz w:val="22"/>
        </w:rPr>
        <w:t xml:space="preserve">for the supplementary experiments; protocols in Supplementary Methods 4.1–4.8. u</w:t>
      </w:r>
      <w:r>
        <w:rPr>
          <w:sz w:val="22"/>
          <w:vertAlign w:val="subscript"/>
        </w:rPr>
        <w:t xml:space="preserve">10</w:t>
      </w:r>
      <w:r>
        <w:rPr>
          <w:sz w:val="22"/>
        </w:rPr>
        <w:t xml:space="preserve">/v</w:t>
      </w:r>
      <w:r>
        <w:rPr>
          <w:sz w:val="22"/>
          <w:vertAlign w:val="subscript"/>
        </w:rPr>
        <w:t xml:space="preserve">10</w:t>
      </w:r>
      <w:r>
        <w:rPr>
          <w:sz w:val="22"/>
        </w:rPr>
        <w:t xml:space="preserve"> </w:t>
      </w:r>
      <w:r>
        <w:rPr>
          <w:sz w:val="22"/>
        </w:rPr>
        <w:t xml:space="preserve">denote</w:t>
      </w:r>
      <w:r>
        <w:rPr>
          <w:sz w:val="22"/>
        </w:rPr>
        <w:t xml:space="preserve"> </w:t>
      </w:r>
      <w:r>
        <w:rPr>
          <w:sz w:val="22"/>
        </w:rPr>
        <w:t xml:space="preserve">10-m wind components, u</w:t>
      </w:r>
      <w:r>
        <w:rPr>
          <w:sz w:val="22"/>
          <w:vertAlign w:val="subscript"/>
        </w:rPr>
        <w:t xml:space="preserve">500</w:t>
      </w:r>
      <w:r>
        <w:rPr>
          <w:sz w:val="22"/>
        </w:rPr>
        <w:t xml:space="preserve">/v</w:t>
      </w:r>
      <w:r>
        <w:rPr>
          <w:sz w:val="22"/>
          <w:vertAlign w:val="subscript"/>
        </w:rPr>
        <w:t xml:space="preserve">500</w:t>
      </w:r>
      <w:r>
        <w:rPr>
          <w:sz w:val="22"/>
        </w:rPr>
        <w:t xml:space="preserve"> </w:t>
      </w:r>
      <w:r>
        <w:rPr>
          <w:sz w:val="22"/>
        </w:rPr>
        <w:t xml:space="preserve">500-hPa wind components and WS wind speed. CAMS CO₂-only values</w:t>
      </w:r>
      <w:r>
        <w:rPr>
          <w:sz w:val="22"/>
        </w:rPr>
        <w:t xml:space="preserve"> </w:t>
      </w:r>
      <w:r>
        <w:rPr>
          <w:sz w:val="22"/>
        </w:rPr>
        <w:t xml:space="preserve">are ordered as surface WS/500-hPa WS/PBLH; TEMPO and virtual-station values are ordered as</w:t>
      </w:r>
      <w:r>
        <w:rPr>
          <w:sz w:val="22"/>
        </w:rPr>
        <w:t xml:space="preserve"> </w:t>
      </w:r>
      <w:r>
        <w:rPr>
          <w:sz w:val="22"/>
        </w:rPr>
        <w:t xml:space="preserve">u</w:t>
      </w:r>
      <w:r>
        <w:rPr>
          <w:sz w:val="22"/>
          <w:vertAlign w:val="subscript"/>
        </w:rPr>
        <w:t xml:space="preserve">10</w:t>
      </w:r>
      <w:r>
        <w:rPr>
          <w:sz w:val="22"/>
        </w:rPr>
        <w:t xml:space="preserve">/v</w:t>
      </w:r>
      <w:r>
        <w:rPr>
          <w:sz w:val="22"/>
          <w:vertAlign w:val="subscript"/>
        </w:rPr>
        <w:t xml:space="preserve">10</w:t>
      </w:r>
      <w:r>
        <w:rPr>
          <w:sz w:val="22"/>
        </w:rPr>
        <w:t xml:space="preserve">/PBLH unless targets are named individually.</w:t>
      </w:r>
    </w:p>
    <w:tbl>
      <w:tblPr>
        <w:tblStyle w:val="Table"/>
        <w:jc w:val="center"/>
        <w:tblLayout w:type="fixed"/>
        <w:tblLook w:firstRow="1" w:lastRow="0" w:firstColumn="0" w:lastColumn="0" w:noHBand="0" w:noVBand="0" w:val="0020"/>
        <w:tblW w:w="5000" w:type="pct"/>
        <w:tblCellMar>
          <w:top w:w="15" w:type="dxa"/>
          <w:bottom w:w="15" w:type="dxa"/>
          <w:left w:w="40" w:type="dxa"/>
          <w:right w:w="40" w:type="dxa"/>
        </w:tblCellMar>
        <w:tblBorders>
          <w:top w:val="single" w:sz="6" w:color="000000"/>
          <w:bottom w:val="single" w:sz="6" w:color="000000"/>
          <w:left w:val="none"/>
          <w:right w:val="none"/>
          <w:insideH w:val="none"/>
          <w:insideV w:val="none"/>
        </w:tblBorders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tcBorders>
              <w:bottom w:val="single" w:sz="6" w:color="000000"/>
            </w:tcBorders>
          </w:tcPr>
          <w:p>
            <w:pPr>
              <w:pStyle w:val="Compact"/>
              <w:spacing w:before="20" w:after="20" w:line="240" w:lineRule="auto"/>
              <w:jc w:val="left"/>
            </w:pPr>
            <w:r>
              <w:rPr>
                <w:b/>
                <w:color w:val="000000"/>
                <w:sz w:val="16"/>
              </w:rPr>
              <w:t xml:space="preserve">Experiment</w:t>
            </w:r>
          </w:p>
        </w:tc>
        <w:tc>
          <w:tcPr>
            <w:tcBorders>
              <w:bottom w:val="single" w:sz="6" w:color="000000"/>
            </w:tcBorders>
          </w:tcPr>
          <w:p>
            <w:pPr>
              <w:pStyle w:val="Compact"/>
              <w:spacing w:before="20" w:after="20" w:line="240" w:lineRule="auto"/>
              <w:jc w:val="left"/>
            </w:pPr>
            <w:r>
              <w:rPr>
                <w:b/>
                <w:color w:val="000000"/>
                <w:sz w:val="16"/>
              </w:rPr>
              <w:t xml:space="preserve">Quantity</w:t>
            </w:r>
          </w:p>
        </w:tc>
        <w:tc>
          <w:tcPr>
            <w:tcBorders>
              <w:bottom w:val="single" w:sz="6" w:color="000000"/>
            </w:tcBorders>
          </w:tcPr>
          <w:p>
            <w:pPr>
              <w:pStyle w:val="Compact"/>
              <w:spacing w:before="20" w:after="20" w:line="240" w:lineRule="auto"/>
              <w:jc w:val="left"/>
            </w:pPr>
            <w:r>
              <w:rPr>
                <w:b/>
                <w:color w:val="000000"/>
                <w:sz w:val="16"/>
              </w:rPr>
              <w:t xml:space="preserve">Values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GEOS-CF blocked, primary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pooled component ACC (3-seed range)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u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10</w:t>
            </w:r>
            <w:r>
              <w:rPr>
                <w:b w:val="0"/>
                <w:color w:val="000000"/>
                <w:sz w:val="16"/>
              </w:rPr>
              <w:t xml:space="preserve"> </w:t>
            </w:r>
            <w:r>
              <w:rPr>
                <w:b w:val="0"/>
                <w:color w:val="000000"/>
                <w:sz w:val="16"/>
              </w:rPr>
              <w:t xml:space="preserve">0.73–0.75; v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10</w:t>
            </w:r>
            <w:r>
              <w:rPr>
                <w:b w:val="0"/>
                <w:color w:val="000000"/>
                <w:sz w:val="16"/>
              </w:rPr>
              <w:t xml:space="preserve"> </w:t>
            </w:r>
            <w:r>
              <w:rPr>
                <w:b w:val="0"/>
                <w:color w:val="000000"/>
                <w:sz w:val="16"/>
              </w:rPr>
              <w:t xml:space="preserve">0.78–0.79; u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500</w:t>
            </w:r>
            <w:r>
              <w:rPr>
                <w:b w:val="0"/>
                <w:color w:val="000000"/>
                <w:sz w:val="16"/>
              </w:rPr>
              <w:t xml:space="preserve"> </w:t>
            </w:r>
            <w:r>
              <w:rPr>
                <w:b w:val="0"/>
                <w:color w:val="000000"/>
                <w:sz w:val="16"/>
              </w:rPr>
              <w:t xml:space="preserve">0.76; v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500</w:t>
            </w:r>
            <w:r>
              <w:rPr>
                <w:b w:val="0"/>
                <w:color w:val="000000"/>
                <w:sz w:val="16"/>
              </w:rPr>
              <w:t xml:space="preserve"> </w:t>
            </w:r>
            <w:r>
              <w:rPr>
                <w:b w:val="0"/>
                <w:color w:val="000000"/>
                <w:sz w:val="16"/>
              </w:rPr>
              <w:t xml:space="preserve">0.81; PBLH 0.71–0.72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GEOS-CF blocked, column-only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pooled component ACC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u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10</w:t>
            </w:r>
            <w:r>
              <w:rPr>
                <w:b w:val="0"/>
                <w:color w:val="000000"/>
                <w:sz w:val="16"/>
              </w:rPr>
              <w:t xml:space="preserve"> </w:t>
            </w:r>
            <w:r>
              <w:rPr>
                <w:b w:val="0"/>
                <w:color w:val="000000"/>
                <w:sz w:val="16"/>
              </w:rPr>
              <w:t xml:space="preserve">0.63–0.64; v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10</w:t>
            </w:r>
            <w:r>
              <w:rPr>
                <w:b w:val="0"/>
                <w:color w:val="000000"/>
                <w:sz w:val="16"/>
              </w:rPr>
              <w:t xml:space="preserve"> </w:t>
            </w:r>
            <w:r>
              <w:rPr>
                <w:b w:val="0"/>
                <w:color w:val="000000"/>
                <w:sz w:val="16"/>
              </w:rPr>
              <w:t xml:space="preserve">0.69; u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500</w:t>
            </w:r>
            <w:r>
              <w:rPr>
                <w:b w:val="0"/>
                <w:color w:val="000000"/>
                <w:sz w:val="16"/>
              </w:rPr>
              <w:t xml:space="preserve"> </w:t>
            </w:r>
            <w:r>
              <w:rPr>
                <w:b w:val="0"/>
                <w:color w:val="000000"/>
                <w:sz w:val="16"/>
              </w:rPr>
              <w:t xml:space="preserve">0.76; v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500</w:t>
            </w:r>
            <w:r>
              <w:rPr>
                <w:b w:val="0"/>
                <w:color w:val="000000"/>
                <w:sz w:val="16"/>
              </w:rPr>
              <w:t xml:space="preserve"> </w:t>
            </w:r>
            <w:r>
              <w:rPr>
                <w:b w:val="0"/>
                <w:color w:val="000000"/>
                <w:sz w:val="16"/>
              </w:rPr>
              <w:t xml:space="preserve">0.81; PBLH 0.57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GEOS-CF blocked (Fig. S3, plotted)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pooled component ACC, primary compared with column-only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u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10</w:t>
            </w:r>
            <w:r>
              <w:rPr>
                <w:b w:val="0"/>
                <w:color w:val="000000"/>
                <w:sz w:val="16"/>
              </w:rPr>
              <w:t xml:space="preserve">: 0.74 primary, 0.64 column-only; v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10</w:t>
            </w:r>
            <w:r>
              <w:rPr>
                <w:b w:val="0"/>
                <w:color w:val="000000"/>
                <w:sz w:val="16"/>
              </w:rPr>
              <w:t xml:space="preserve">: 0.79, 0.69; u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500</w:t>
            </w:r>
            <w:r>
              <w:rPr>
                <w:b w:val="0"/>
                <w:color w:val="000000"/>
                <w:sz w:val="16"/>
              </w:rPr>
              <w:t xml:space="preserve">: 0.76, 0.76; v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500</w:t>
            </w:r>
            <w:r>
              <w:rPr>
                <w:b w:val="0"/>
                <w:color w:val="000000"/>
                <w:sz w:val="16"/>
              </w:rPr>
              <w:t xml:space="preserve">: 0.81, 0.81; PBLH: 0.72, 0.57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GEOS-CF blocked, primary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RMSE (physical units)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u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10</w:t>
            </w:r>
            <w:r>
              <w:rPr>
                <w:b w:val="0"/>
                <w:color w:val="000000"/>
                <w:sz w:val="16"/>
              </w:rPr>
              <w:t xml:space="preserve"> </w:t>
            </w:r>
            <w:r>
              <w:rPr>
                <w:b w:val="0"/>
                <w:color w:val="000000"/>
                <w:sz w:val="16"/>
              </w:rPr>
              <w:t xml:space="preserve">2.82, v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10</w:t>
            </w:r>
            <w:r>
              <w:rPr>
                <w:b w:val="0"/>
                <w:color w:val="000000"/>
                <w:sz w:val="16"/>
              </w:rPr>
              <w:t xml:space="preserve"> </w:t>
            </w:r>
            <w:r>
              <w:rPr>
                <w:b w:val="0"/>
                <w:color w:val="000000"/>
                <w:sz w:val="16"/>
              </w:rPr>
              <w:t xml:space="preserve">2.63, u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500</w:t>
            </w:r>
            <w:r>
              <w:rPr>
                <w:b w:val="0"/>
                <w:color w:val="000000"/>
                <w:sz w:val="16"/>
              </w:rPr>
              <w:t xml:space="preserve"> </w:t>
            </w:r>
            <w:r>
              <w:rPr>
                <w:b w:val="0"/>
                <w:color w:val="000000"/>
                <w:sz w:val="16"/>
              </w:rPr>
              <w:t xml:space="preserve">6.26, v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500</w:t>
            </w:r>
            <w:r>
              <w:rPr>
                <w:b w:val="0"/>
                <w:color w:val="000000"/>
                <w:sz w:val="16"/>
              </w:rPr>
              <w:t xml:space="preserve"> </w:t>
            </w:r>
            <w:r>
              <w:rPr>
                <w:b w:val="0"/>
                <w:color w:val="000000"/>
                <w:sz w:val="16"/>
              </w:rPr>
              <w:t xml:space="preserve">5.14 m s⁻¹; PBLH 321 m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GEOS-CF blocked, primary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bias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winds ≤ 0.31 m s⁻¹; PBLH −1.1 m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GEOS-CF blocked, primary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prediction:truth variance ratio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0.85 / 0.74 / 0.82 / 0.73 / 0.73 (u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10</w:t>
            </w:r>
            <w:r>
              <w:rPr>
                <w:b w:val="0"/>
                <w:color w:val="000000"/>
                <w:sz w:val="16"/>
              </w:rPr>
              <w:t xml:space="preserve">/v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10</w:t>
            </w:r>
            <w:r>
              <w:rPr>
                <w:b w:val="0"/>
                <w:color w:val="000000"/>
                <w:sz w:val="16"/>
              </w:rPr>
              <w:t xml:space="preserve">/u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500</w:t>
            </w:r>
            <w:r>
              <w:rPr>
                <w:b w:val="0"/>
                <w:color w:val="000000"/>
                <w:sz w:val="16"/>
              </w:rPr>
              <w:t xml:space="preserve">/v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500</w:t>
            </w:r>
            <w:r>
              <w:rPr>
                <w:b w:val="0"/>
                <w:color w:val="000000"/>
                <w:sz w:val="16"/>
              </w:rPr>
              <w:t xml:space="preserve">/PBLH)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GEOS-CF blocked, primary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seasonal decline, 500-hPa zonal-wind pooled ACC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0.80 in August and 0.72 in December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GEOS-CF development holdout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within-record pooled ACC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500-hPa WS 0.84; meridional component 0.88; per-pixel medians 0.74–0.83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GEOS-CF development holdout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column-only ablation, pooled ACC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surface winds: 0.87 primary and 0.77–0.79 column-only; PBLH: 0.81 primary and 0.61–0.63 column-only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CAMS CO₂-only (July 2019)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pooled ACC, network (80 snapshots)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surface WS 0.61; 500-hPa WS 0.71; PBLH 0.77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CAMS CO₂-only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pooled ACC, 24-h same-time-of-day persistence (77 valid pairs)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surface WS 0.32; 500-hPa WS 0.46; PBLH 0.70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CAMS CO₂-only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per-pixel temporal-ACC medians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0.57 / 0.55 / 0.57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Winner shares, matched six gases (CAMS vs GEOS-CF)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O₃ share, 500-hPa wind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68% vs 48%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Winner shares, matched six gases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NO₂ share, 500-hPa wind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≈1% in both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Winner shares, matched six gases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NO₂ share, PBLH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26% vs 30%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Winner shares, matched six gases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HCHO share, surface wind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30% vs 46%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CAMS seven-candidate shares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CO₂ share and leading comparison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surface wind: CO₂ 25%, HCHO 23%; 500 hPa: CO₂ 5%, O₃ 66%; PBLH: CO₂ 25%, O₃ 25% (O₃ narrowly larger)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GEOS-CF O₃ column-definition sensitivity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single-species 500-hPa zonal-wind ACC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0.69 with the stratosphere-inclusive column and 0.83 with the matched tropospheric column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TEMPO interspersed, primary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pooled ACC (day-block bootstrap 95% CI)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0.45 (0.42–0.47) / 0.43 (0.41–0.46) / 0.77 (0.74–0.79)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TEMPO chronological-tail stress test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pooled ACC; change from interspersed primary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0.23 / 0.32 / 0.40; −0.22 / −0.11 / −0.37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TEMPO interspersed, no-cloud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pooled ACC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0.39 / 0.39 / 0.69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TEMPO interspersed, gas-products-plus-context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pooled ACC (day-block bootstrap 95% CI)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0.37 (0.34–0.40) / 0.36 (0.34–0.39) / 0.66 (0.62–0.68)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TEMPO interspersed, mask-only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pooled ACC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0.14 / 0.17 / 0.38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TEMPO interspersed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clock baseline ACC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0.21 / 0.17 / 0.68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TEMPO interspersed, primary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scan-hour-conditioned pooled ACC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0.41 / 0.41 / 0.57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TEMPO interspersed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per-pixel temporal-ACC medians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primary 0.48/0.50/0.79; no-cloud 0.42/0.45/0.71; gas-products-plus-context 0.38/0.42/0.64; mask-only 0.14/0.19/0.27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CAMS humidity comparison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PBLH lead shares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trace gases 78% of land (median 0.81 vs 0.73); water vapour 84% of ocean (0.79 vs 0.75)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CAMS humidity comparison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near-surface wind lead shares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water vapour 81% of land / 75% global / 73% of ocean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CAMS humidity comparison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500-hPa wind lead share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water vapour 96% of pixels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WRF-Chem plume control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patch-mean temporal correlation, held-out source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PBLH 0.96; wind speed 0.84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Virtual stations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single-station mean temporal ACC (7 sites)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0.28 / 0.32 / 0.54 (u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10</w:t>
            </w:r>
            <w:r>
              <w:rPr>
                <w:b w:val="0"/>
                <w:color w:val="000000"/>
                <w:sz w:val="16"/>
              </w:rPr>
              <w:t xml:space="preserve">/v</w:t>
            </w:r>
            <w:r>
              <w:rPr>
                <w:b w:val="0"/>
                <w:color w:val="000000"/>
                <w:sz w:val="16"/>
                <w:vertAlign w:val="subscript"/>
              </w:rPr>
              <w:t xml:space="preserve">10</w:t>
            </w:r>
            <w:r>
              <w:rPr>
                <w:b w:val="0"/>
                <w:color w:val="000000"/>
                <w:sz w:val="16"/>
              </w:rPr>
              <w:t xml:space="preserve">/PBLH)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Virtual stations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24-h target-anomaly persistence, station-mean ACC (2,920 matched pairs per site)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0.47 / 0.38 / 0.46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Virtual stations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3×3-neighbourhood change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+0.12 / +0.20 / −0.02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Virtual stations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adding own 24-h concentration record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≤ 0.05 change on every target</w:t>
            </w:r>
          </w:p>
        </w:tc>
      </w:tr>
      <w:tr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Virtual stations</w:t>
            </w:r>
          </w:p>
        </w:tc>
        <w:tc>
          <w:tcPr/>
          <w:p>
            <w:pPr>
              <w:pStyle w:val="Compact"/>
              <w:spacing w:before="0" w:after="0" w:line="240" w:lineRule="auto"/>
            </w:pPr>
            <w:r>
              <w:rPr>
                <w:b w:val="0"/>
                <w:color w:val="000000"/>
                <w:sz w:val="16"/>
              </w:rPr>
              <w:t xml:space="preserve">station-count ladder</w:t>
            </w:r>
          </w:p>
        </w:tc>
        <w:tc>
          <w:tcPr/>
          <w:p>
            <w:pPr>
              <w:pStyle w:val="Compact"/>
              <w:spacing w:before="0" w:after="0" w:line="240" w:lineRule="auto"/>
              <w:jc w:val="right"/>
            </w:pPr>
            <w:r>
              <w:rPr>
                <w:b w:val="0"/>
                <w:color w:val="000000"/>
                <w:sz w:val="16"/>
              </w:rPr>
              <w:t xml:space="preserve">wind skill meets or exceeds the separate dense-grid reference by N ≈ 32</w:t>
            </w:r>
          </w:p>
        </w:tc>
      </w:tr>
    </w:tbl>
    <w:p>
      <w:pPr>
        <w:spacing w:before="40" w:after="200" w:line="480" w:lineRule="auto"/>
        <w:rPr>
          <w:sz w:val="22"/>
        </w:rPr>
      </w:pPr>
      <w:r>
        <w:rPr>
          <w:sz w:val="22"/>
        </w:rPr>
        <w:pict>
          <v:rect style="width:0;height:1.5pt" o:hralign="center" o:hrstd="t" o:hr="t"/>
        </w:pict>
      </w:r>
    </w:p>
    <w:bookmarkEnd w:id="61"/>
    <w:bookmarkStart w:id="67" w:name="supplementary-references"/>
    <w:p>
      <w:pPr>
        <w:pStyle w:val="Heading2"/>
        <w:spacing w:before="160" w:after="80" w:line="480" w:lineRule="auto"/>
      </w:pPr>
      <w:r>
        <w:t xml:space="preserve">Supplementary References</w:t>
      </w:r>
    </w:p>
    <w:bookmarkStart w:id="66" w:name="refs"/>
    <w:bookmarkStart w:id="63" w:name="ref-Grell2005WRFChem"/>
    <w:p>
      <w:pPr>
        <w:pStyle w:val="Bibliography"/>
        <w:spacing w:before="40" w:after="200" w:line="480" w:lineRule="auto"/>
        <w:rPr>
          <w:sz w:val="22"/>
        </w:rPr>
      </w:pPr>
      <w:r>
        <w:rPr>
          <w:sz w:val="22"/>
        </w:rPr>
        <w:t xml:space="preserve">1.</w:t>
      </w:r>
      <w:r>
        <w:rPr>
          <w:sz w:val="22"/>
        </w:rPr>
        <w:t xml:space="preserve"> </w:t>
      </w:r>
      <w:r>
        <w:rPr>
          <w:sz w:val="22"/>
        </w:rPr>
        <w:t xml:space="preserve">	</w:t>
      </w:r>
      <w:r>
        <w:rPr>
          <w:sz w:val="22"/>
        </w:rPr>
        <w:t xml:space="preserve">Grell, G. A.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et al.</w:t>
      </w:r>
      <w:r>
        <w:rPr>
          <w:sz w:val="22"/>
        </w:rPr>
        <w:t xml:space="preserve"> </w:t>
      </w:r>
      <w:hyperlink r:id="rId62">
        <w:r>
          <w:rPr>
            <w:rStyle w:val="Hyperlink"/>
          </w:rPr>
          <w:t xml:space="preserve">Fully coupled "online" chemistry within the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WRF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model</w:t>
        </w:r>
      </w:hyperlink>
      <w:r>
        <w:rPr>
          <w:sz w:val="22"/>
        </w:rPr>
        <w:t xml:space="preserve">.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Atmospheric Environment</w:t>
      </w:r>
      <w:r>
        <w:rPr>
          <w:sz w:val="22"/>
        </w:rPr>
        <w:t xml:space="preserve"> </w:t>
      </w:r>
      <w:r>
        <w:rPr>
          <w:b/>
          <w:bCs/>
          <w:sz w:val="22"/>
        </w:rPr>
        <w:t xml:space="preserve">39</w:t>
      </w:r>
      <w:r>
        <w:rPr>
          <w:sz w:val="22"/>
        </w:rPr>
        <w:t xml:space="preserve">, 6957–6975 (2005).</w:t>
      </w:r>
    </w:p>
    <w:bookmarkEnd w:id="63"/>
    <w:bookmarkStart w:id="65" w:name="ref-Hersbach2020ERA5"/>
    <w:p>
      <w:pPr>
        <w:pStyle w:val="Bibliography"/>
        <w:spacing w:before="40" w:after="200" w:line="480" w:lineRule="auto"/>
        <w:rPr>
          <w:sz w:val="22"/>
        </w:rPr>
      </w:pPr>
      <w:r>
        <w:rPr>
          <w:sz w:val="22"/>
        </w:rPr>
        <w:t xml:space="preserve">2.</w:t>
      </w:r>
      <w:r>
        <w:rPr>
          <w:sz w:val="22"/>
        </w:rPr>
        <w:t xml:space="preserve"> </w:t>
      </w:r>
      <w:r>
        <w:rPr>
          <w:sz w:val="22"/>
        </w:rPr>
        <w:t xml:space="preserve">	</w:t>
      </w:r>
      <w:r>
        <w:rPr>
          <w:sz w:val="22"/>
        </w:rPr>
        <w:t xml:space="preserve">Hersbach, H.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et al.</w:t>
      </w:r>
      <w:r>
        <w:rPr>
          <w:sz w:val="22"/>
        </w:rPr>
        <w:t xml:space="preserve"> </w:t>
      </w:r>
      <w:hyperlink r:id="rId64">
        <w:r>
          <w:rPr>
            <w:rStyle w:val="Hyperlink"/>
          </w:rPr>
          <w:t xml:space="preserve">The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ERA5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global reanalysis</w:t>
        </w:r>
      </w:hyperlink>
      <w:r>
        <w:rPr>
          <w:sz w:val="22"/>
        </w:rPr>
        <w:t xml:space="preserve">.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Quarterly Journal of the Royal Meteorological Society</w:t>
      </w:r>
      <w:r>
        <w:rPr>
          <w:sz w:val="22"/>
        </w:rPr>
        <w:t xml:space="preserve"> </w:t>
      </w:r>
      <w:r>
        <w:rPr>
          <w:b/>
          <w:bCs/>
          <w:sz w:val="22"/>
        </w:rPr>
        <w:t xml:space="preserve">146</w:t>
      </w:r>
      <w:r>
        <w:rPr>
          <w:sz w:val="22"/>
        </w:rPr>
        <w:t xml:space="preserve">, 1999–2049 (2020).</w:t>
      </w:r>
    </w:p>
    <w:bookmarkEnd w:id="65"/>
    <w:bookmarkEnd w:id="66"/>
    <w:bookmarkEnd w:id="67"/>
    <w:bookmarkEnd w:id="68"/>
    <w:sectPr>
      <w:footerReference w:type="default" r:id="rId9"/>
      <w:footnotePr>
        <w:numRestart w:val="eachSect"/>
      </w:footnotePr>
      <w:pgMar w:top="1134" w:bottom="1134" w:left="1134" w:right="1134"/>
      <w:lnNumType w:countBy="1" w:restart="continuous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separate"/>
      <w:t>1</w: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20" Type="http://schemas.openxmlformats.org/officeDocument/2006/relationships/image" Target="media/rId20.png"/><Relationship Id="rId28" Type="http://schemas.openxmlformats.org/officeDocument/2006/relationships/image" Target="media/rId28.png"/><Relationship Id="rId24" Type="http://schemas.openxmlformats.org/officeDocument/2006/relationships/image" Target="media/rId24.png"/><Relationship Id="rId44" Type="http://schemas.openxmlformats.org/officeDocument/2006/relationships/image" Target="media/rId44.png"/><Relationship Id="rId11" Type="http://schemas.openxmlformats.org/officeDocument/2006/relationships/image" Target="media/rId11.png"/><Relationship Id="rId32" Type="http://schemas.openxmlformats.org/officeDocument/2006/relationships/image" Target="media/rId32.png"/><Relationship Id="rId15" Type="http://schemas.openxmlformats.org/officeDocument/2006/relationships/image" Target="media/rId15.png"/><Relationship Id="rId40" Type="http://schemas.openxmlformats.org/officeDocument/2006/relationships/image" Target="media/rId40.png"/><Relationship Id="rId36" Type="http://schemas.openxmlformats.org/officeDocument/2006/relationships/image" Target="media/rId36.png"/><Relationship Id="rId64" Type="http://schemas.openxmlformats.org/officeDocument/2006/relationships/hyperlink" Target="https://doi.org/10.1002/qj.3803" TargetMode="External"/><Relationship Id="rId62" Type="http://schemas.openxmlformats.org/officeDocument/2006/relationships/hyperlink" Target="https://doi.org/10.1016/j.atmosenv.2005.04.027" TargetMode="External"/><Relationship Id="rId9" Type="http://schemas.openxmlformats.org/officeDocument/2006/relationships/footer" Target="footer1.xml"/></Relationships>
</file>

<file path=word/_rels/footnotes.xml.rels><?xml version='1.0' encoding='UTF-8' standalone='yes'?>
<Relationships xmlns="http://schemas.openxmlformats.org/package/2006/relationships"><Relationship Id="rId64" Type="http://schemas.openxmlformats.org/officeDocument/2006/relationships/hyperlink" Target="https://doi.org/10.1002/qj.3803" TargetMode="External"/><Relationship Id="rId62" Type="http://schemas.openxmlformats.org/officeDocument/2006/relationships/hyperlink" Target="https://doi.org/10.1016/j.atmosenv.2005.04.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2026-08-21T23:37:52Z</dcterms:created>
  <dcterms:modified xsi:type="dcterms:W3CDTF">2026-08-21T23:37:52Z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graphy">
    <vt:lpwstr>../../references.bib</vt:lpwstr>
  </property>
  <property fmtid="{D5CDD505-2E9C-101B-9397-08002B2CF9AE}" pid="3" name="csl">
    <vt:lpwstr>nature.csl</vt:lpwstr>
  </property>
</Properties>
</file>