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96C91" w14:textId="77777777" w:rsidR="00D94EAC" w:rsidRPr="00AB43F4" w:rsidRDefault="00D94EAC" w:rsidP="00D94EAC">
      <w:pPr>
        <w:spacing w:after="0"/>
        <w:jc w:val="both"/>
        <w:rPr>
          <w:rFonts w:cs="Times New Roman"/>
          <w:szCs w:val="24"/>
        </w:rPr>
      </w:pPr>
      <w:r>
        <w:rPr>
          <w:rFonts w:cs="Times New Roman"/>
          <w:b/>
          <w:szCs w:val="24"/>
          <w:lang w:val="en-US"/>
        </w:rPr>
        <w:t>Table S1</w:t>
      </w:r>
      <w:r w:rsidRPr="00AB43F4">
        <w:rPr>
          <w:rFonts w:cs="Times New Roman"/>
          <w:szCs w:val="24"/>
          <w:lang w:val="en-US"/>
        </w:rPr>
        <w:t>: Qualitative phytochemical screening</w:t>
      </w:r>
      <w:r>
        <w:rPr>
          <w:rFonts w:cs="Times New Roman"/>
          <w:szCs w:val="24"/>
          <w:lang w:val="en-US"/>
        </w:rPr>
        <w:t xml:space="preserve"> of methanol extract</w:t>
      </w:r>
    </w:p>
    <w:tbl>
      <w:tblPr>
        <w:tblStyle w:val="TableGrid"/>
        <w:tblW w:w="90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4500"/>
        <w:gridCol w:w="1080"/>
      </w:tblGrid>
      <w:tr w:rsidR="00D94EAC" w:rsidRPr="00FC4CA3" w14:paraId="6B9DF162" w14:textId="77777777" w:rsidTr="0036346B">
        <w:trPr>
          <w:trHeight w:val="458"/>
        </w:trPr>
        <w:tc>
          <w:tcPr>
            <w:tcW w:w="3510" w:type="dxa"/>
            <w:tcBorders>
              <w:top w:val="single" w:sz="4" w:space="0" w:color="auto"/>
              <w:bottom w:val="single" w:sz="4" w:space="0" w:color="auto"/>
            </w:tcBorders>
          </w:tcPr>
          <w:p w14:paraId="3536C5E0" w14:textId="77777777" w:rsidR="00D94EAC" w:rsidRPr="00FC4CA3" w:rsidRDefault="00D94EAC" w:rsidP="0036346B">
            <w:pPr>
              <w:jc w:val="both"/>
              <w:rPr>
                <w:rFonts w:cs="Times New Roman"/>
                <w:b/>
                <w:bCs/>
                <w:sz w:val="20"/>
                <w:szCs w:val="20"/>
              </w:rPr>
            </w:pPr>
            <w:r w:rsidRPr="00FC4CA3">
              <w:rPr>
                <w:rFonts w:cs="Times New Roman"/>
                <w:b/>
                <w:bCs/>
                <w:sz w:val="20"/>
                <w:szCs w:val="20"/>
              </w:rPr>
              <w:t>Test</w:t>
            </w:r>
          </w:p>
        </w:tc>
        <w:tc>
          <w:tcPr>
            <w:tcW w:w="4500" w:type="dxa"/>
            <w:tcBorders>
              <w:top w:val="single" w:sz="4" w:space="0" w:color="auto"/>
              <w:bottom w:val="single" w:sz="4" w:space="0" w:color="auto"/>
            </w:tcBorders>
          </w:tcPr>
          <w:p w14:paraId="1151FBFE" w14:textId="77777777" w:rsidR="00D94EAC" w:rsidRPr="00FC4CA3" w:rsidRDefault="00D94EAC" w:rsidP="0036346B">
            <w:pPr>
              <w:jc w:val="both"/>
              <w:rPr>
                <w:rFonts w:cs="Times New Roman"/>
                <w:b/>
                <w:bCs/>
                <w:sz w:val="20"/>
                <w:szCs w:val="20"/>
              </w:rPr>
            </w:pPr>
            <w:r w:rsidRPr="00FC4CA3">
              <w:rPr>
                <w:rFonts w:cs="Times New Roman"/>
                <w:b/>
                <w:bCs/>
                <w:sz w:val="20"/>
                <w:szCs w:val="20"/>
              </w:rPr>
              <w:t>Observation</w:t>
            </w:r>
          </w:p>
        </w:tc>
        <w:tc>
          <w:tcPr>
            <w:tcW w:w="1080" w:type="dxa"/>
            <w:tcBorders>
              <w:top w:val="single" w:sz="4" w:space="0" w:color="auto"/>
              <w:bottom w:val="single" w:sz="4" w:space="0" w:color="auto"/>
            </w:tcBorders>
          </w:tcPr>
          <w:p w14:paraId="113CFC0B" w14:textId="77777777" w:rsidR="00D94EAC" w:rsidRPr="00FC4CA3" w:rsidRDefault="00D94EAC" w:rsidP="0036346B">
            <w:pPr>
              <w:jc w:val="both"/>
              <w:rPr>
                <w:rFonts w:cs="Times New Roman"/>
                <w:b/>
                <w:bCs/>
                <w:sz w:val="20"/>
                <w:szCs w:val="20"/>
              </w:rPr>
            </w:pPr>
            <w:r w:rsidRPr="00FC4CA3">
              <w:rPr>
                <w:rFonts w:cs="Times New Roman"/>
                <w:b/>
                <w:bCs/>
                <w:sz w:val="20"/>
                <w:szCs w:val="20"/>
              </w:rPr>
              <w:t>Inference</w:t>
            </w:r>
          </w:p>
        </w:tc>
      </w:tr>
      <w:tr w:rsidR="00D94EAC" w:rsidRPr="00FC4CA3" w14:paraId="535C830B" w14:textId="77777777" w:rsidTr="0036346B">
        <w:trPr>
          <w:trHeight w:val="510"/>
        </w:trPr>
        <w:tc>
          <w:tcPr>
            <w:tcW w:w="3510" w:type="dxa"/>
            <w:tcBorders>
              <w:top w:val="single" w:sz="4" w:space="0" w:color="auto"/>
              <w:bottom w:val="nil"/>
            </w:tcBorders>
          </w:tcPr>
          <w:p w14:paraId="25423011" w14:textId="77777777" w:rsidR="00D94EAC" w:rsidRPr="00B9744D" w:rsidRDefault="00D94EAC" w:rsidP="0036346B">
            <w:pPr>
              <w:jc w:val="both"/>
              <w:rPr>
                <w:rFonts w:cs="Times New Roman"/>
                <w:b/>
                <w:bCs/>
                <w:sz w:val="20"/>
                <w:szCs w:val="20"/>
                <w:lang w:val="en-MY"/>
              </w:rPr>
            </w:pPr>
            <w:r w:rsidRPr="00EE213E">
              <w:rPr>
                <w:rFonts w:cs="Times New Roman"/>
                <w:b/>
                <w:bCs/>
                <w:sz w:val="20"/>
                <w:szCs w:val="20"/>
                <w:lang w:val="en-MY"/>
              </w:rPr>
              <w:t>Carbohydrates (</w:t>
            </w:r>
            <w:r>
              <w:rPr>
                <w:rFonts w:cs="Times New Roman"/>
                <w:b/>
                <w:bCs/>
                <w:sz w:val="20"/>
                <w:szCs w:val="20"/>
                <w:lang w:val="en-MY"/>
              </w:rPr>
              <w:t>Molisch’s</w:t>
            </w:r>
            <w:r w:rsidRPr="00EE213E">
              <w:rPr>
                <w:rFonts w:cs="Times New Roman"/>
                <w:b/>
                <w:bCs/>
                <w:sz w:val="20"/>
                <w:szCs w:val="20"/>
                <w:lang w:val="en-MY"/>
              </w:rPr>
              <w:t xml:space="preserve">) </w:t>
            </w:r>
          </w:p>
        </w:tc>
        <w:tc>
          <w:tcPr>
            <w:tcW w:w="4500" w:type="dxa"/>
            <w:tcBorders>
              <w:top w:val="single" w:sz="4" w:space="0" w:color="auto"/>
              <w:bottom w:val="nil"/>
            </w:tcBorders>
          </w:tcPr>
          <w:p w14:paraId="773AD291" w14:textId="77777777" w:rsidR="00D94EAC" w:rsidRPr="00FC4CA3" w:rsidRDefault="00D94EAC" w:rsidP="0036346B">
            <w:pPr>
              <w:jc w:val="both"/>
              <w:rPr>
                <w:rFonts w:cs="Times New Roman"/>
                <w:sz w:val="20"/>
                <w:szCs w:val="20"/>
              </w:rPr>
            </w:pPr>
            <w:r>
              <w:rPr>
                <w:rFonts w:cs="Times New Roman"/>
                <w:sz w:val="20"/>
                <w:szCs w:val="20"/>
                <w:lang w:val="en-MY"/>
              </w:rPr>
              <w:t>P</w:t>
            </w:r>
            <w:r w:rsidRPr="00EE213E">
              <w:rPr>
                <w:rFonts w:cs="Times New Roman"/>
                <w:sz w:val="20"/>
                <w:szCs w:val="20"/>
                <w:lang w:val="en-MY"/>
              </w:rPr>
              <w:t>urple interfacial ring</w:t>
            </w:r>
            <w:r>
              <w:rPr>
                <w:rFonts w:cs="Times New Roman"/>
                <w:sz w:val="20"/>
                <w:szCs w:val="20"/>
                <w:lang w:val="en-MY"/>
              </w:rPr>
              <w:t xml:space="preserve"> observed</w:t>
            </w:r>
          </w:p>
        </w:tc>
        <w:tc>
          <w:tcPr>
            <w:tcW w:w="1080" w:type="dxa"/>
            <w:tcBorders>
              <w:top w:val="single" w:sz="4" w:space="0" w:color="auto"/>
              <w:bottom w:val="nil"/>
            </w:tcBorders>
          </w:tcPr>
          <w:p w14:paraId="26ACEF13" w14:textId="77777777" w:rsidR="00D94EAC" w:rsidRPr="00FC4CA3" w:rsidRDefault="00D94EAC" w:rsidP="0036346B">
            <w:pPr>
              <w:jc w:val="both"/>
              <w:rPr>
                <w:rFonts w:cs="Times New Roman"/>
                <w:sz w:val="20"/>
                <w:szCs w:val="20"/>
              </w:rPr>
            </w:pPr>
            <w:r>
              <w:t xml:space="preserve">   +</w:t>
            </w:r>
          </w:p>
        </w:tc>
      </w:tr>
      <w:tr w:rsidR="00D94EAC" w:rsidRPr="00FC4CA3" w14:paraId="60CEA788" w14:textId="77777777" w:rsidTr="0036346B">
        <w:trPr>
          <w:trHeight w:val="495"/>
        </w:trPr>
        <w:tc>
          <w:tcPr>
            <w:tcW w:w="3510" w:type="dxa"/>
            <w:tcBorders>
              <w:top w:val="nil"/>
              <w:bottom w:val="nil"/>
            </w:tcBorders>
          </w:tcPr>
          <w:p w14:paraId="1F1C205A" w14:textId="77777777" w:rsidR="00D94EAC" w:rsidRPr="00B9744D" w:rsidRDefault="00D94EAC" w:rsidP="0036346B">
            <w:pPr>
              <w:spacing w:line="480" w:lineRule="auto"/>
              <w:jc w:val="both"/>
              <w:rPr>
                <w:b/>
                <w:szCs w:val="24"/>
              </w:rPr>
            </w:pPr>
            <w:r w:rsidRPr="00DC3BDC">
              <w:rPr>
                <w:b/>
                <w:szCs w:val="24"/>
              </w:rPr>
              <w:t xml:space="preserve">Glycosides </w:t>
            </w:r>
          </w:p>
        </w:tc>
        <w:tc>
          <w:tcPr>
            <w:tcW w:w="4500" w:type="dxa"/>
            <w:tcBorders>
              <w:top w:val="nil"/>
              <w:bottom w:val="nil"/>
            </w:tcBorders>
          </w:tcPr>
          <w:p w14:paraId="1511F0FE" w14:textId="77777777" w:rsidR="00D94EAC" w:rsidRDefault="00D94EAC" w:rsidP="0036346B">
            <w:pPr>
              <w:jc w:val="both"/>
              <w:rPr>
                <w:rFonts w:cs="Times New Roman"/>
                <w:sz w:val="20"/>
                <w:szCs w:val="20"/>
                <w:lang w:val="en-MY"/>
              </w:rPr>
            </w:pPr>
            <w:r w:rsidRPr="00B9744D">
              <w:rPr>
                <w:rFonts w:cs="Times New Roman"/>
                <w:sz w:val="20"/>
                <w:szCs w:val="20"/>
                <w:lang w:val="en-MY"/>
              </w:rPr>
              <w:t>Brick red colour was observed</w:t>
            </w:r>
          </w:p>
        </w:tc>
        <w:tc>
          <w:tcPr>
            <w:tcW w:w="1080" w:type="dxa"/>
            <w:tcBorders>
              <w:top w:val="nil"/>
              <w:bottom w:val="nil"/>
            </w:tcBorders>
          </w:tcPr>
          <w:p w14:paraId="6C570102" w14:textId="77777777" w:rsidR="00D94EAC" w:rsidRPr="00FC4CA3" w:rsidRDefault="00D94EAC" w:rsidP="0036346B">
            <w:pPr>
              <w:jc w:val="both"/>
              <w:rPr>
                <w:rFonts w:cs="Times New Roman"/>
                <w:sz w:val="20"/>
                <w:szCs w:val="20"/>
              </w:rPr>
            </w:pPr>
            <w:r>
              <w:t xml:space="preserve">   +</w:t>
            </w:r>
          </w:p>
        </w:tc>
      </w:tr>
      <w:tr w:rsidR="00D94EAC" w:rsidRPr="00FC4CA3" w14:paraId="0362F025" w14:textId="77777777" w:rsidTr="0036346B">
        <w:trPr>
          <w:trHeight w:val="510"/>
        </w:trPr>
        <w:tc>
          <w:tcPr>
            <w:tcW w:w="3510" w:type="dxa"/>
            <w:tcBorders>
              <w:top w:val="nil"/>
              <w:bottom w:val="nil"/>
            </w:tcBorders>
          </w:tcPr>
          <w:p w14:paraId="72FDE558" w14:textId="77777777" w:rsidR="00D94EAC" w:rsidRPr="00FC4CA3" w:rsidRDefault="00D94EAC" w:rsidP="0036346B">
            <w:pPr>
              <w:jc w:val="both"/>
              <w:rPr>
                <w:rFonts w:cs="Times New Roman"/>
                <w:sz w:val="20"/>
                <w:szCs w:val="20"/>
              </w:rPr>
            </w:pPr>
            <w:r w:rsidRPr="00FC4CA3">
              <w:rPr>
                <w:rFonts w:cs="Times New Roman"/>
                <w:b/>
                <w:bCs/>
                <w:sz w:val="20"/>
                <w:szCs w:val="20"/>
              </w:rPr>
              <w:t>Cardiac glycosides (Keller-Killiani</w:t>
            </w:r>
            <w:r>
              <w:rPr>
                <w:rFonts w:cs="Times New Roman"/>
                <w:b/>
                <w:bCs/>
                <w:sz w:val="20"/>
                <w:szCs w:val="20"/>
              </w:rPr>
              <w:t>’s</w:t>
            </w:r>
            <w:r w:rsidRPr="00FC4CA3">
              <w:rPr>
                <w:rFonts w:cs="Times New Roman"/>
                <w:b/>
                <w:bCs/>
                <w:sz w:val="20"/>
                <w:szCs w:val="20"/>
              </w:rPr>
              <w:t xml:space="preserve">)                             </w:t>
            </w:r>
          </w:p>
        </w:tc>
        <w:tc>
          <w:tcPr>
            <w:tcW w:w="4500" w:type="dxa"/>
            <w:tcBorders>
              <w:top w:val="nil"/>
              <w:bottom w:val="nil"/>
            </w:tcBorders>
          </w:tcPr>
          <w:p w14:paraId="1154521D" w14:textId="77777777" w:rsidR="00D94EAC" w:rsidRPr="00FC4CA3" w:rsidRDefault="00D94EAC" w:rsidP="0036346B">
            <w:pPr>
              <w:jc w:val="both"/>
              <w:rPr>
                <w:rFonts w:cs="Times New Roman"/>
                <w:sz w:val="20"/>
                <w:szCs w:val="20"/>
              </w:rPr>
            </w:pPr>
            <w:r w:rsidRPr="00FC4CA3">
              <w:rPr>
                <w:rFonts w:cs="Times New Roman"/>
                <w:sz w:val="20"/>
                <w:szCs w:val="20"/>
              </w:rPr>
              <w:t>Purple</w:t>
            </w:r>
            <w:r>
              <w:rPr>
                <w:rFonts w:cs="Times New Roman"/>
                <w:sz w:val="20"/>
                <w:szCs w:val="20"/>
              </w:rPr>
              <w:t>-</w:t>
            </w:r>
            <w:r w:rsidRPr="00FC4CA3">
              <w:rPr>
                <w:rFonts w:cs="Times New Roman"/>
                <w:sz w:val="20"/>
                <w:szCs w:val="20"/>
              </w:rPr>
              <w:t>brown ring formed at interphase</w:t>
            </w:r>
          </w:p>
        </w:tc>
        <w:tc>
          <w:tcPr>
            <w:tcW w:w="1080" w:type="dxa"/>
            <w:tcBorders>
              <w:top w:val="nil"/>
              <w:bottom w:val="nil"/>
            </w:tcBorders>
          </w:tcPr>
          <w:p w14:paraId="6ADEE0CC" w14:textId="77777777" w:rsidR="00D94EAC" w:rsidRPr="00FC4CA3" w:rsidRDefault="00D94EAC" w:rsidP="0036346B">
            <w:pPr>
              <w:jc w:val="both"/>
              <w:rPr>
                <w:rFonts w:cs="Times New Roman"/>
                <w:sz w:val="20"/>
                <w:szCs w:val="20"/>
              </w:rPr>
            </w:pPr>
            <w:r>
              <w:t xml:space="preserve">   +</w:t>
            </w:r>
          </w:p>
        </w:tc>
      </w:tr>
      <w:tr w:rsidR="00D94EAC" w:rsidRPr="00FC4CA3" w14:paraId="173A8761" w14:textId="77777777" w:rsidTr="0036346B">
        <w:trPr>
          <w:trHeight w:val="900"/>
        </w:trPr>
        <w:tc>
          <w:tcPr>
            <w:tcW w:w="3510" w:type="dxa"/>
            <w:tcBorders>
              <w:top w:val="nil"/>
              <w:bottom w:val="nil"/>
            </w:tcBorders>
          </w:tcPr>
          <w:p w14:paraId="05A35CA3" w14:textId="77777777" w:rsidR="00D94EAC" w:rsidRPr="00481188" w:rsidRDefault="00D94EAC" w:rsidP="0036346B">
            <w:pPr>
              <w:jc w:val="both"/>
              <w:rPr>
                <w:rFonts w:cs="Times New Roman"/>
                <w:b/>
                <w:bCs/>
                <w:sz w:val="20"/>
                <w:szCs w:val="20"/>
              </w:rPr>
            </w:pPr>
            <w:r>
              <w:rPr>
                <w:rFonts w:cs="Times New Roman"/>
                <w:b/>
                <w:bCs/>
                <w:sz w:val="20"/>
                <w:szCs w:val="20"/>
              </w:rPr>
              <w:t xml:space="preserve">Flavonoids </w:t>
            </w:r>
            <w:r w:rsidRPr="00FC4CA3">
              <w:rPr>
                <w:rFonts w:cs="Times New Roman"/>
                <w:b/>
                <w:bCs/>
                <w:sz w:val="20"/>
                <w:szCs w:val="20"/>
              </w:rPr>
              <w:t>(a) Sodium Hydroxide</w:t>
            </w:r>
          </w:p>
          <w:p w14:paraId="67259E99" w14:textId="77777777" w:rsidR="00D94EAC" w:rsidRPr="00FC4CA3" w:rsidRDefault="00D94EAC" w:rsidP="0036346B">
            <w:pPr>
              <w:jc w:val="both"/>
              <w:rPr>
                <w:rFonts w:cs="Times New Roman"/>
                <w:sz w:val="20"/>
                <w:szCs w:val="20"/>
              </w:rPr>
            </w:pPr>
            <w:r>
              <w:rPr>
                <w:rFonts w:cs="Times New Roman"/>
                <w:sz w:val="20"/>
                <w:szCs w:val="20"/>
              </w:rPr>
              <w:t xml:space="preserve">                   </w:t>
            </w:r>
            <w:r w:rsidRPr="00FC4CA3">
              <w:rPr>
                <w:rFonts w:cs="Times New Roman"/>
                <w:sz w:val="20"/>
                <w:szCs w:val="20"/>
              </w:rPr>
              <w:t xml:space="preserve">(b) </w:t>
            </w:r>
            <w:r w:rsidRPr="00FC4CA3">
              <w:rPr>
                <w:rFonts w:cs="Times New Roman"/>
                <w:b/>
                <w:sz w:val="20"/>
                <w:szCs w:val="20"/>
              </w:rPr>
              <w:t>Shinoda</w:t>
            </w:r>
            <w:r>
              <w:rPr>
                <w:rFonts w:cs="Times New Roman"/>
                <w:b/>
                <w:sz w:val="20"/>
                <w:szCs w:val="20"/>
              </w:rPr>
              <w:t>’</w:t>
            </w:r>
            <w:r w:rsidRPr="00FC4CA3">
              <w:rPr>
                <w:rFonts w:cs="Times New Roman"/>
                <w:b/>
                <w:sz w:val="20"/>
                <w:szCs w:val="20"/>
              </w:rPr>
              <w:t>s</w:t>
            </w:r>
          </w:p>
        </w:tc>
        <w:tc>
          <w:tcPr>
            <w:tcW w:w="4500" w:type="dxa"/>
            <w:tcBorders>
              <w:top w:val="nil"/>
              <w:bottom w:val="nil"/>
            </w:tcBorders>
          </w:tcPr>
          <w:p w14:paraId="29423511" w14:textId="77777777" w:rsidR="00D94EAC" w:rsidRPr="00FC4CA3" w:rsidRDefault="00D94EAC" w:rsidP="0036346B">
            <w:pPr>
              <w:jc w:val="both"/>
              <w:rPr>
                <w:rFonts w:cs="Times New Roman"/>
                <w:sz w:val="20"/>
                <w:szCs w:val="20"/>
              </w:rPr>
            </w:pPr>
            <w:r w:rsidRPr="00FC4CA3">
              <w:rPr>
                <w:rFonts w:cs="Times New Roman"/>
                <w:sz w:val="20"/>
                <w:szCs w:val="20"/>
              </w:rPr>
              <w:t>Yellow solution formed</w:t>
            </w:r>
          </w:p>
          <w:p w14:paraId="6BFA8CB6" w14:textId="77777777" w:rsidR="00D94EAC" w:rsidRPr="00FC4CA3" w:rsidRDefault="00D94EAC" w:rsidP="0036346B">
            <w:pPr>
              <w:jc w:val="both"/>
              <w:rPr>
                <w:rFonts w:cs="Times New Roman"/>
                <w:sz w:val="20"/>
                <w:szCs w:val="20"/>
              </w:rPr>
            </w:pPr>
            <w:r w:rsidRPr="00FC4CA3">
              <w:rPr>
                <w:rFonts w:cs="Times New Roman"/>
                <w:sz w:val="20"/>
                <w:szCs w:val="20"/>
              </w:rPr>
              <w:t xml:space="preserve">Orange Colour slowly forms </w:t>
            </w:r>
          </w:p>
        </w:tc>
        <w:tc>
          <w:tcPr>
            <w:tcW w:w="1080" w:type="dxa"/>
            <w:tcBorders>
              <w:top w:val="nil"/>
              <w:bottom w:val="nil"/>
            </w:tcBorders>
          </w:tcPr>
          <w:p w14:paraId="05F52386" w14:textId="77777777" w:rsidR="00D94EAC" w:rsidRPr="00FC4CA3" w:rsidRDefault="00D94EAC" w:rsidP="0036346B">
            <w:pPr>
              <w:jc w:val="both"/>
              <w:rPr>
                <w:rFonts w:cs="Times New Roman"/>
                <w:sz w:val="20"/>
                <w:szCs w:val="20"/>
              </w:rPr>
            </w:pPr>
            <w:r>
              <w:t xml:space="preserve">   +</w:t>
            </w:r>
          </w:p>
          <w:p w14:paraId="28607378" w14:textId="77777777" w:rsidR="00D94EAC" w:rsidRPr="00FC4CA3" w:rsidRDefault="00D94EAC" w:rsidP="0036346B">
            <w:pPr>
              <w:jc w:val="both"/>
              <w:rPr>
                <w:rFonts w:cs="Times New Roman"/>
                <w:sz w:val="20"/>
                <w:szCs w:val="20"/>
              </w:rPr>
            </w:pPr>
            <w:r>
              <w:t xml:space="preserve">   +</w:t>
            </w:r>
          </w:p>
        </w:tc>
      </w:tr>
      <w:tr w:rsidR="00D94EAC" w:rsidRPr="00FC4CA3" w14:paraId="12F247A2" w14:textId="77777777" w:rsidTr="0036346B">
        <w:trPr>
          <w:trHeight w:val="510"/>
        </w:trPr>
        <w:tc>
          <w:tcPr>
            <w:tcW w:w="3510" w:type="dxa"/>
            <w:tcBorders>
              <w:top w:val="nil"/>
              <w:bottom w:val="nil"/>
            </w:tcBorders>
          </w:tcPr>
          <w:p w14:paraId="3B686456" w14:textId="77777777" w:rsidR="00D94EAC" w:rsidRPr="00FC4CA3" w:rsidRDefault="00D94EAC" w:rsidP="0036346B">
            <w:pPr>
              <w:jc w:val="both"/>
              <w:rPr>
                <w:rFonts w:cs="Times New Roman"/>
                <w:sz w:val="20"/>
                <w:szCs w:val="20"/>
              </w:rPr>
            </w:pPr>
            <w:r w:rsidRPr="00FC4CA3">
              <w:rPr>
                <w:rFonts w:cs="Times New Roman"/>
                <w:b/>
                <w:bCs/>
                <w:sz w:val="20"/>
                <w:szCs w:val="20"/>
              </w:rPr>
              <w:t>Tannins (Ferric Chloride)</w:t>
            </w:r>
          </w:p>
        </w:tc>
        <w:tc>
          <w:tcPr>
            <w:tcW w:w="4500" w:type="dxa"/>
            <w:tcBorders>
              <w:top w:val="nil"/>
              <w:bottom w:val="nil"/>
            </w:tcBorders>
          </w:tcPr>
          <w:p w14:paraId="2EDE17C0" w14:textId="77777777" w:rsidR="00D94EAC" w:rsidRPr="00FC4CA3" w:rsidRDefault="00D94EAC" w:rsidP="0036346B">
            <w:pPr>
              <w:jc w:val="both"/>
              <w:rPr>
                <w:rFonts w:cs="Times New Roman"/>
                <w:sz w:val="20"/>
                <w:szCs w:val="20"/>
              </w:rPr>
            </w:pPr>
            <w:r w:rsidRPr="00FC4CA3">
              <w:rPr>
                <w:rFonts w:cs="Times New Roman"/>
                <w:sz w:val="20"/>
                <w:szCs w:val="20"/>
              </w:rPr>
              <w:t>Blue black precipitate</w:t>
            </w:r>
          </w:p>
        </w:tc>
        <w:tc>
          <w:tcPr>
            <w:tcW w:w="1080" w:type="dxa"/>
            <w:tcBorders>
              <w:top w:val="nil"/>
              <w:bottom w:val="nil"/>
            </w:tcBorders>
          </w:tcPr>
          <w:p w14:paraId="1941F8CB" w14:textId="77777777" w:rsidR="00D94EAC" w:rsidRPr="00FC4CA3" w:rsidRDefault="00D94EAC" w:rsidP="0036346B">
            <w:pPr>
              <w:jc w:val="both"/>
              <w:rPr>
                <w:rFonts w:cs="Times New Roman"/>
                <w:sz w:val="20"/>
                <w:szCs w:val="20"/>
              </w:rPr>
            </w:pPr>
            <w:r>
              <w:t xml:space="preserve">    +</w:t>
            </w:r>
          </w:p>
        </w:tc>
      </w:tr>
      <w:tr w:rsidR="00D94EAC" w:rsidRPr="00FC4CA3" w14:paraId="1383910C" w14:textId="77777777" w:rsidTr="0036346B">
        <w:trPr>
          <w:trHeight w:val="510"/>
        </w:trPr>
        <w:tc>
          <w:tcPr>
            <w:tcW w:w="3510" w:type="dxa"/>
            <w:tcBorders>
              <w:top w:val="nil"/>
              <w:bottom w:val="nil"/>
            </w:tcBorders>
          </w:tcPr>
          <w:p w14:paraId="73B2DB0E" w14:textId="77777777" w:rsidR="00D94EAC" w:rsidRPr="00FC4CA3" w:rsidRDefault="00D94EAC" w:rsidP="0036346B">
            <w:pPr>
              <w:jc w:val="both"/>
              <w:rPr>
                <w:rFonts w:cs="Times New Roman"/>
                <w:sz w:val="20"/>
                <w:szCs w:val="20"/>
              </w:rPr>
            </w:pPr>
            <w:r w:rsidRPr="00FC4CA3">
              <w:rPr>
                <w:rFonts w:cs="Times New Roman"/>
                <w:b/>
                <w:bCs/>
                <w:sz w:val="20"/>
                <w:szCs w:val="20"/>
              </w:rPr>
              <w:t>Anthraquinones (Bontranger’s)</w:t>
            </w:r>
          </w:p>
        </w:tc>
        <w:tc>
          <w:tcPr>
            <w:tcW w:w="4500" w:type="dxa"/>
            <w:tcBorders>
              <w:top w:val="nil"/>
              <w:bottom w:val="nil"/>
            </w:tcBorders>
          </w:tcPr>
          <w:p w14:paraId="2F8A93AF" w14:textId="77777777" w:rsidR="00D94EAC" w:rsidRPr="00FC4CA3" w:rsidRDefault="00D94EAC" w:rsidP="0036346B">
            <w:pPr>
              <w:jc w:val="both"/>
              <w:rPr>
                <w:rFonts w:cs="Times New Roman"/>
                <w:sz w:val="20"/>
                <w:szCs w:val="20"/>
              </w:rPr>
            </w:pPr>
            <w:r w:rsidRPr="00FC4CA3">
              <w:rPr>
                <w:rFonts w:cs="Times New Roman"/>
                <w:sz w:val="20"/>
                <w:szCs w:val="20"/>
              </w:rPr>
              <w:t>No bright pink colour formed at upper aqueous layer</w:t>
            </w:r>
          </w:p>
        </w:tc>
        <w:tc>
          <w:tcPr>
            <w:tcW w:w="1080" w:type="dxa"/>
            <w:tcBorders>
              <w:top w:val="nil"/>
              <w:bottom w:val="nil"/>
            </w:tcBorders>
          </w:tcPr>
          <w:p w14:paraId="7250741E" w14:textId="77777777" w:rsidR="00D94EAC" w:rsidRPr="00FC4CA3" w:rsidRDefault="00D94EAC" w:rsidP="0036346B">
            <w:pPr>
              <w:jc w:val="both"/>
              <w:rPr>
                <w:rFonts w:cs="Times New Roman"/>
                <w:sz w:val="20"/>
                <w:szCs w:val="20"/>
              </w:rPr>
            </w:pPr>
            <w:r>
              <w:t xml:space="preserve">    -</w:t>
            </w:r>
          </w:p>
        </w:tc>
      </w:tr>
      <w:tr w:rsidR="00D94EAC" w:rsidRPr="00FC4CA3" w14:paraId="16794A88" w14:textId="77777777" w:rsidTr="0036346B">
        <w:trPr>
          <w:trHeight w:val="510"/>
        </w:trPr>
        <w:tc>
          <w:tcPr>
            <w:tcW w:w="3510" w:type="dxa"/>
            <w:tcBorders>
              <w:top w:val="nil"/>
              <w:bottom w:val="nil"/>
            </w:tcBorders>
          </w:tcPr>
          <w:p w14:paraId="39602D6F" w14:textId="77777777" w:rsidR="00D94EAC" w:rsidRPr="00FC4CA3" w:rsidRDefault="00D94EAC" w:rsidP="0036346B">
            <w:pPr>
              <w:jc w:val="both"/>
              <w:rPr>
                <w:rFonts w:cs="Times New Roman"/>
                <w:b/>
                <w:bCs/>
                <w:sz w:val="20"/>
                <w:szCs w:val="20"/>
              </w:rPr>
            </w:pPr>
            <w:r w:rsidRPr="00FC4CA3">
              <w:rPr>
                <w:rFonts w:cs="Times New Roman"/>
                <w:b/>
                <w:bCs/>
                <w:sz w:val="20"/>
                <w:szCs w:val="20"/>
              </w:rPr>
              <w:t xml:space="preserve">Saponins </w:t>
            </w:r>
            <w:r>
              <w:rPr>
                <w:rFonts w:cs="Times New Roman"/>
                <w:b/>
                <w:bCs/>
                <w:sz w:val="20"/>
                <w:szCs w:val="20"/>
              </w:rPr>
              <w:t xml:space="preserve">   </w:t>
            </w:r>
            <w:r w:rsidRPr="00FC4CA3">
              <w:rPr>
                <w:rFonts w:cs="Times New Roman"/>
                <w:b/>
                <w:bCs/>
                <w:sz w:val="20"/>
                <w:szCs w:val="20"/>
              </w:rPr>
              <w:t>(a) Frothing Test</w:t>
            </w:r>
          </w:p>
          <w:p w14:paraId="39BBDE61" w14:textId="77777777" w:rsidR="00D94EAC" w:rsidRPr="00FC4CA3" w:rsidRDefault="00D94EAC" w:rsidP="0036346B">
            <w:pPr>
              <w:jc w:val="both"/>
              <w:rPr>
                <w:rFonts w:cs="Times New Roman"/>
                <w:sz w:val="20"/>
                <w:szCs w:val="20"/>
              </w:rPr>
            </w:pPr>
            <w:r w:rsidRPr="00FC4CA3">
              <w:rPr>
                <w:rFonts w:cs="Times New Roman"/>
                <w:sz w:val="20"/>
                <w:szCs w:val="20"/>
              </w:rPr>
              <w:t xml:space="preserve">               </w:t>
            </w:r>
            <w:r>
              <w:rPr>
                <w:rFonts w:cs="Times New Roman"/>
                <w:sz w:val="20"/>
                <w:szCs w:val="20"/>
              </w:rPr>
              <w:t xml:space="preserve">      </w:t>
            </w:r>
            <w:r w:rsidRPr="00FC4CA3">
              <w:rPr>
                <w:rFonts w:cs="Times New Roman"/>
                <w:sz w:val="20"/>
                <w:szCs w:val="20"/>
              </w:rPr>
              <w:t>(b)</w:t>
            </w:r>
            <w:r w:rsidRPr="00FC4CA3">
              <w:rPr>
                <w:rFonts w:cs="Times New Roman"/>
                <w:b/>
                <w:sz w:val="20"/>
                <w:szCs w:val="20"/>
              </w:rPr>
              <w:t>Haemolysis Test</w:t>
            </w:r>
          </w:p>
        </w:tc>
        <w:tc>
          <w:tcPr>
            <w:tcW w:w="4500" w:type="dxa"/>
            <w:tcBorders>
              <w:top w:val="nil"/>
              <w:bottom w:val="nil"/>
            </w:tcBorders>
          </w:tcPr>
          <w:p w14:paraId="774F0E05" w14:textId="77777777" w:rsidR="00D94EAC" w:rsidRPr="00FC4CA3" w:rsidRDefault="00D94EAC" w:rsidP="0036346B">
            <w:pPr>
              <w:jc w:val="both"/>
              <w:rPr>
                <w:rFonts w:cs="Times New Roman"/>
                <w:sz w:val="20"/>
                <w:szCs w:val="20"/>
              </w:rPr>
            </w:pPr>
            <w:r w:rsidRPr="00FC4CA3">
              <w:rPr>
                <w:rFonts w:cs="Times New Roman"/>
                <w:sz w:val="20"/>
                <w:szCs w:val="20"/>
              </w:rPr>
              <w:t>Honeycomb froth formed persist after 15 minutes</w:t>
            </w:r>
          </w:p>
          <w:p w14:paraId="2ED9CD67" w14:textId="77777777" w:rsidR="00D94EAC" w:rsidRPr="00FC4CA3" w:rsidRDefault="00D94EAC" w:rsidP="0036346B">
            <w:pPr>
              <w:jc w:val="both"/>
              <w:rPr>
                <w:rFonts w:cs="Times New Roman"/>
                <w:sz w:val="20"/>
                <w:szCs w:val="20"/>
              </w:rPr>
            </w:pPr>
            <w:r w:rsidRPr="00FC4CA3">
              <w:rPr>
                <w:rFonts w:cs="Times New Roman"/>
                <w:sz w:val="20"/>
                <w:szCs w:val="20"/>
              </w:rPr>
              <w:t>Erythrocytes settle at the base of test tubes</w:t>
            </w:r>
          </w:p>
        </w:tc>
        <w:tc>
          <w:tcPr>
            <w:tcW w:w="1080" w:type="dxa"/>
            <w:tcBorders>
              <w:top w:val="nil"/>
              <w:bottom w:val="nil"/>
            </w:tcBorders>
          </w:tcPr>
          <w:p w14:paraId="74A9BE5C" w14:textId="77777777" w:rsidR="00D94EAC" w:rsidRPr="00FC4CA3" w:rsidRDefault="00D94EAC" w:rsidP="0036346B">
            <w:pPr>
              <w:jc w:val="both"/>
              <w:rPr>
                <w:rFonts w:cs="Times New Roman"/>
                <w:sz w:val="20"/>
                <w:szCs w:val="20"/>
              </w:rPr>
            </w:pPr>
            <w:r>
              <w:t xml:space="preserve">    +</w:t>
            </w:r>
          </w:p>
          <w:p w14:paraId="2EF8B660" w14:textId="77777777" w:rsidR="00D94EAC" w:rsidRPr="00FC4CA3" w:rsidRDefault="00D94EAC" w:rsidP="0036346B">
            <w:pPr>
              <w:jc w:val="both"/>
              <w:rPr>
                <w:rFonts w:cs="Times New Roman"/>
                <w:sz w:val="20"/>
                <w:szCs w:val="20"/>
              </w:rPr>
            </w:pPr>
            <w:r>
              <w:t xml:space="preserve">    +</w:t>
            </w:r>
          </w:p>
        </w:tc>
      </w:tr>
      <w:tr w:rsidR="00D94EAC" w:rsidRPr="00FC4CA3" w14:paraId="7A293006" w14:textId="77777777" w:rsidTr="0036346B">
        <w:trPr>
          <w:trHeight w:val="510"/>
        </w:trPr>
        <w:tc>
          <w:tcPr>
            <w:tcW w:w="3510" w:type="dxa"/>
            <w:vMerge w:val="restart"/>
            <w:tcBorders>
              <w:top w:val="nil"/>
            </w:tcBorders>
            <w:hideMark/>
          </w:tcPr>
          <w:p w14:paraId="462D0C16" w14:textId="77777777" w:rsidR="00D94EAC" w:rsidRPr="00FC4CA3" w:rsidRDefault="00D94EAC" w:rsidP="0036346B">
            <w:pPr>
              <w:jc w:val="both"/>
              <w:rPr>
                <w:rFonts w:cs="Times New Roman"/>
                <w:sz w:val="20"/>
                <w:szCs w:val="20"/>
              </w:rPr>
            </w:pPr>
            <w:r w:rsidRPr="00FC4CA3">
              <w:rPr>
                <w:rFonts w:cs="Times New Roman"/>
                <w:b/>
                <w:bCs/>
                <w:sz w:val="20"/>
                <w:szCs w:val="20"/>
              </w:rPr>
              <w:t>Alkaloid (a) Mayer’s</w:t>
            </w:r>
          </w:p>
          <w:p w14:paraId="4935892D" w14:textId="77777777" w:rsidR="00D94EAC" w:rsidRPr="00FC4CA3" w:rsidRDefault="00D94EAC" w:rsidP="0036346B">
            <w:pPr>
              <w:jc w:val="both"/>
              <w:rPr>
                <w:rFonts w:cs="Times New Roman"/>
                <w:sz w:val="20"/>
                <w:szCs w:val="20"/>
              </w:rPr>
            </w:pPr>
            <w:r w:rsidRPr="00FC4CA3">
              <w:rPr>
                <w:rFonts w:cs="Times New Roman"/>
                <w:b/>
                <w:bCs/>
                <w:sz w:val="20"/>
                <w:szCs w:val="20"/>
              </w:rPr>
              <w:t xml:space="preserve">               (b) Dragendoff</w:t>
            </w:r>
            <w:r>
              <w:rPr>
                <w:rFonts w:cs="Times New Roman"/>
                <w:b/>
                <w:bCs/>
                <w:sz w:val="20"/>
                <w:szCs w:val="20"/>
              </w:rPr>
              <w:t>’s</w:t>
            </w:r>
          </w:p>
          <w:p w14:paraId="25DC4D61" w14:textId="77777777" w:rsidR="00D94EAC" w:rsidRDefault="00D94EAC" w:rsidP="0036346B">
            <w:pPr>
              <w:jc w:val="both"/>
              <w:rPr>
                <w:rFonts w:cs="Times New Roman"/>
                <w:b/>
                <w:bCs/>
                <w:sz w:val="20"/>
                <w:szCs w:val="20"/>
              </w:rPr>
            </w:pPr>
            <w:r w:rsidRPr="00FC4CA3">
              <w:rPr>
                <w:rFonts w:cs="Times New Roman"/>
                <w:b/>
                <w:bCs/>
                <w:sz w:val="20"/>
                <w:szCs w:val="20"/>
              </w:rPr>
              <w:t xml:space="preserve">               </w:t>
            </w:r>
          </w:p>
          <w:p w14:paraId="0F914766" w14:textId="77777777" w:rsidR="00D94EAC" w:rsidRPr="00FC4CA3" w:rsidRDefault="00D94EAC" w:rsidP="0036346B">
            <w:pPr>
              <w:jc w:val="both"/>
              <w:rPr>
                <w:rFonts w:cs="Times New Roman"/>
                <w:sz w:val="20"/>
                <w:szCs w:val="20"/>
              </w:rPr>
            </w:pPr>
            <w:r>
              <w:rPr>
                <w:rFonts w:cs="Times New Roman"/>
                <w:b/>
                <w:bCs/>
                <w:sz w:val="20"/>
                <w:szCs w:val="20"/>
              </w:rPr>
              <w:t xml:space="preserve">               </w:t>
            </w:r>
            <w:r w:rsidRPr="00FC4CA3">
              <w:rPr>
                <w:rFonts w:cs="Times New Roman"/>
                <w:b/>
                <w:bCs/>
                <w:sz w:val="20"/>
                <w:szCs w:val="20"/>
              </w:rPr>
              <w:t>(c) Wagner’s</w:t>
            </w:r>
          </w:p>
        </w:tc>
        <w:tc>
          <w:tcPr>
            <w:tcW w:w="4500" w:type="dxa"/>
            <w:tcBorders>
              <w:top w:val="nil"/>
            </w:tcBorders>
          </w:tcPr>
          <w:p w14:paraId="536CE0A1" w14:textId="77777777" w:rsidR="00D94EAC" w:rsidRPr="00FC4CA3" w:rsidRDefault="00D94EAC" w:rsidP="0036346B">
            <w:pPr>
              <w:jc w:val="both"/>
              <w:rPr>
                <w:rFonts w:cs="Times New Roman"/>
                <w:sz w:val="20"/>
                <w:szCs w:val="20"/>
              </w:rPr>
            </w:pPr>
            <w:r>
              <w:rPr>
                <w:rFonts w:cs="Times New Roman"/>
                <w:sz w:val="20"/>
                <w:szCs w:val="20"/>
              </w:rPr>
              <w:t>P</w:t>
            </w:r>
            <w:r w:rsidRPr="00FC4CA3">
              <w:rPr>
                <w:rFonts w:cs="Times New Roman"/>
                <w:sz w:val="20"/>
                <w:szCs w:val="20"/>
              </w:rPr>
              <w:t xml:space="preserve">recipitate </w:t>
            </w:r>
            <w:r>
              <w:rPr>
                <w:rFonts w:cs="Times New Roman"/>
                <w:sz w:val="20"/>
                <w:szCs w:val="20"/>
              </w:rPr>
              <w:t>formed</w:t>
            </w:r>
          </w:p>
        </w:tc>
        <w:tc>
          <w:tcPr>
            <w:tcW w:w="1080" w:type="dxa"/>
            <w:tcBorders>
              <w:top w:val="nil"/>
            </w:tcBorders>
          </w:tcPr>
          <w:p w14:paraId="12F272C2" w14:textId="77777777" w:rsidR="00D94EAC" w:rsidRPr="00FC4CA3" w:rsidRDefault="00D94EAC" w:rsidP="0036346B">
            <w:pPr>
              <w:jc w:val="both"/>
              <w:rPr>
                <w:rFonts w:cs="Times New Roman"/>
                <w:sz w:val="20"/>
                <w:szCs w:val="20"/>
              </w:rPr>
            </w:pPr>
            <w:r>
              <w:t xml:space="preserve">    +</w:t>
            </w:r>
          </w:p>
        </w:tc>
      </w:tr>
      <w:tr w:rsidR="00D94EAC" w:rsidRPr="00FC4CA3" w14:paraId="3BA6E229" w14:textId="77777777" w:rsidTr="0036346B">
        <w:trPr>
          <w:trHeight w:val="510"/>
        </w:trPr>
        <w:tc>
          <w:tcPr>
            <w:tcW w:w="3510" w:type="dxa"/>
            <w:vMerge/>
            <w:hideMark/>
          </w:tcPr>
          <w:p w14:paraId="19245530" w14:textId="77777777" w:rsidR="00D94EAC" w:rsidRPr="00FC4CA3" w:rsidRDefault="00D94EAC" w:rsidP="0036346B">
            <w:pPr>
              <w:jc w:val="both"/>
              <w:rPr>
                <w:rFonts w:cs="Times New Roman"/>
                <w:sz w:val="20"/>
                <w:szCs w:val="20"/>
              </w:rPr>
            </w:pPr>
          </w:p>
        </w:tc>
        <w:tc>
          <w:tcPr>
            <w:tcW w:w="4500" w:type="dxa"/>
          </w:tcPr>
          <w:p w14:paraId="21E4C16B" w14:textId="77777777" w:rsidR="00D94EAC" w:rsidRPr="00FC4CA3" w:rsidRDefault="00D94EAC" w:rsidP="0036346B">
            <w:pPr>
              <w:jc w:val="both"/>
              <w:rPr>
                <w:rFonts w:cs="Times New Roman"/>
                <w:sz w:val="20"/>
                <w:szCs w:val="20"/>
              </w:rPr>
            </w:pPr>
            <w:r>
              <w:rPr>
                <w:rFonts w:cs="Times New Roman"/>
                <w:sz w:val="20"/>
                <w:szCs w:val="20"/>
              </w:rPr>
              <w:t>P</w:t>
            </w:r>
            <w:r w:rsidRPr="00FC4CA3">
              <w:rPr>
                <w:rFonts w:cs="Times New Roman"/>
                <w:sz w:val="20"/>
                <w:szCs w:val="20"/>
              </w:rPr>
              <w:t xml:space="preserve">recipitate </w:t>
            </w:r>
            <w:r>
              <w:rPr>
                <w:rFonts w:cs="Times New Roman"/>
                <w:sz w:val="20"/>
                <w:szCs w:val="20"/>
              </w:rPr>
              <w:t>formed</w:t>
            </w:r>
          </w:p>
        </w:tc>
        <w:tc>
          <w:tcPr>
            <w:tcW w:w="1080" w:type="dxa"/>
          </w:tcPr>
          <w:p w14:paraId="5FDCFB70" w14:textId="77777777" w:rsidR="00D94EAC" w:rsidRPr="00FC4CA3" w:rsidRDefault="00D94EAC" w:rsidP="0036346B">
            <w:pPr>
              <w:jc w:val="both"/>
              <w:rPr>
                <w:rFonts w:cs="Times New Roman"/>
                <w:sz w:val="20"/>
                <w:szCs w:val="20"/>
              </w:rPr>
            </w:pPr>
            <w:r>
              <w:t xml:space="preserve">    +</w:t>
            </w:r>
          </w:p>
        </w:tc>
      </w:tr>
      <w:tr w:rsidR="00D94EAC" w:rsidRPr="00FC4CA3" w14:paraId="4DAD72FB" w14:textId="77777777" w:rsidTr="0036346B">
        <w:trPr>
          <w:trHeight w:val="573"/>
        </w:trPr>
        <w:tc>
          <w:tcPr>
            <w:tcW w:w="3510" w:type="dxa"/>
            <w:vMerge/>
            <w:hideMark/>
          </w:tcPr>
          <w:p w14:paraId="0C3F1D02" w14:textId="77777777" w:rsidR="00D94EAC" w:rsidRPr="00FC4CA3" w:rsidRDefault="00D94EAC" w:rsidP="0036346B">
            <w:pPr>
              <w:jc w:val="both"/>
              <w:rPr>
                <w:rFonts w:cs="Times New Roman"/>
                <w:sz w:val="20"/>
                <w:szCs w:val="20"/>
              </w:rPr>
            </w:pPr>
          </w:p>
        </w:tc>
        <w:tc>
          <w:tcPr>
            <w:tcW w:w="4500" w:type="dxa"/>
          </w:tcPr>
          <w:p w14:paraId="6C488E98" w14:textId="77777777" w:rsidR="00D94EAC" w:rsidRPr="00FC4CA3" w:rsidRDefault="00D94EAC" w:rsidP="0036346B">
            <w:pPr>
              <w:jc w:val="both"/>
              <w:rPr>
                <w:rFonts w:cs="Times New Roman"/>
                <w:sz w:val="20"/>
                <w:szCs w:val="20"/>
              </w:rPr>
            </w:pPr>
            <w:r>
              <w:rPr>
                <w:rFonts w:cs="Times New Roman"/>
                <w:sz w:val="20"/>
                <w:szCs w:val="20"/>
              </w:rPr>
              <w:t>P</w:t>
            </w:r>
            <w:r w:rsidRPr="00FC4CA3">
              <w:rPr>
                <w:rFonts w:cs="Times New Roman"/>
                <w:sz w:val="20"/>
                <w:szCs w:val="20"/>
              </w:rPr>
              <w:t xml:space="preserve">recipitate </w:t>
            </w:r>
            <w:r>
              <w:rPr>
                <w:rFonts w:cs="Times New Roman"/>
                <w:sz w:val="20"/>
                <w:szCs w:val="20"/>
              </w:rPr>
              <w:t>formed</w:t>
            </w:r>
          </w:p>
        </w:tc>
        <w:tc>
          <w:tcPr>
            <w:tcW w:w="1080" w:type="dxa"/>
          </w:tcPr>
          <w:p w14:paraId="36935840" w14:textId="77777777" w:rsidR="00D94EAC" w:rsidRPr="00FC4CA3" w:rsidRDefault="00D94EAC" w:rsidP="0036346B">
            <w:pPr>
              <w:jc w:val="both"/>
              <w:rPr>
                <w:rFonts w:cs="Times New Roman"/>
                <w:sz w:val="20"/>
                <w:szCs w:val="20"/>
              </w:rPr>
            </w:pPr>
            <w:r>
              <w:t xml:space="preserve">    +</w:t>
            </w:r>
          </w:p>
        </w:tc>
      </w:tr>
      <w:tr w:rsidR="00D94EAC" w:rsidRPr="00FC4CA3" w14:paraId="60A61F3B" w14:textId="77777777" w:rsidTr="0036346B">
        <w:trPr>
          <w:trHeight w:val="1792"/>
        </w:trPr>
        <w:tc>
          <w:tcPr>
            <w:tcW w:w="3510" w:type="dxa"/>
          </w:tcPr>
          <w:p w14:paraId="1220D7F6" w14:textId="77777777" w:rsidR="00D94EAC" w:rsidRPr="00FC4CA3" w:rsidRDefault="00D94EAC" w:rsidP="0036346B">
            <w:pPr>
              <w:jc w:val="both"/>
              <w:rPr>
                <w:rFonts w:cs="Times New Roman"/>
                <w:b/>
                <w:bCs/>
                <w:sz w:val="20"/>
                <w:szCs w:val="20"/>
              </w:rPr>
            </w:pPr>
            <w:r w:rsidRPr="00FC4CA3">
              <w:rPr>
                <w:rFonts w:cs="Times New Roman"/>
                <w:b/>
                <w:bCs/>
                <w:sz w:val="20"/>
                <w:szCs w:val="20"/>
              </w:rPr>
              <w:t>Terpenoid</w:t>
            </w:r>
            <w:r>
              <w:rPr>
                <w:rFonts w:cs="Times New Roman"/>
                <w:b/>
                <w:bCs/>
                <w:sz w:val="20"/>
                <w:szCs w:val="20"/>
              </w:rPr>
              <w:t>s</w:t>
            </w:r>
            <w:r w:rsidRPr="00FC4CA3">
              <w:rPr>
                <w:rFonts w:cs="Times New Roman"/>
                <w:b/>
                <w:bCs/>
                <w:sz w:val="20"/>
                <w:szCs w:val="20"/>
              </w:rPr>
              <w:t>/Steroid</w:t>
            </w:r>
            <w:r>
              <w:rPr>
                <w:rFonts w:cs="Times New Roman"/>
                <w:b/>
                <w:bCs/>
                <w:sz w:val="20"/>
                <w:szCs w:val="20"/>
              </w:rPr>
              <w:t>s</w:t>
            </w:r>
          </w:p>
          <w:p w14:paraId="1109A481" w14:textId="77777777" w:rsidR="00D94EAC" w:rsidRPr="00FC4CA3" w:rsidRDefault="00D94EAC" w:rsidP="00D94EAC">
            <w:pPr>
              <w:numPr>
                <w:ilvl w:val="0"/>
                <w:numId w:val="1"/>
              </w:numPr>
              <w:jc w:val="both"/>
              <w:rPr>
                <w:rFonts w:cs="Times New Roman"/>
                <w:b/>
                <w:bCs/>
                <w:sz w:val="20"/>
                <w:szCs w:val="20"/>
              </w:rPr>
            </w:pPr>
            <w:r w:rsidRPr="00FC4CA3">
              <w:rPr>
                <w:rFonts w:cs="Times New Roman"/>
                <w:b/>
                <w:bCs/>
                <w:sz w:val="20"/>
                <w:szCs w:val="20"/>
              </w:rPr>
              <w:t>Lieberman Buckard</w:t>
            </w:r>
            <w:r>
              <w:rPr>
                <w:rFonts w:cs="Times New Roman"/>
                <w:b/>
                <w:bCs/>
                <w:sz w:val="20"/>
                <w:szCs w:val="20"/>
              </w:rPr>
              <w:t>’s</w:t>
            </w:r>
          </w:p>
          <w:p w14:paraId="39F89BD1" w14:textId="77777777" w:rsidR="00D94EAC" w:rsidRPr="008E52E7" w:rsidRDefault="00D94EAC" w:rsidP="00D94EAC">
            <w:pPr>
              <w:numPr>
                <w:ilvl w:val="0"/>
                <w:numId w:val="1"/>
              </w:numPr>
              <w:jc w:val="both"/>
              <w:rPr>
                <w:rFonts w:cs="Times New Roman"/>
                <w:b/>
                <w:bCs/>
                <w:sz w:val="20"/>
                <w:szCs w:val="20"/>
              </w:rPr>
            </w:pPr>
            <w:r>
              <w:rPr>
                <w:rFonts w:cs="Times New Roman"/>
                <w:b/>
                <w:bCs/>
                <w:sz w:val="20"/>
                <w:szCs w:val="20"/>
              </w:rPr>
              <w:t>Salkowski’s</w:t>
            </w:r>
          </w:p>
        </w:tc>
        <w:tc>
          <w:tcPr>
            <w:tcW w:w="4500" w:type="dxa"/>
          </w:tcPr>
          <w:p w14:paraId="117E6830" w14:textId="77777777" w:rsidR="00D94EAC" w:rsidRPr="00FC4CA3" w:rsidRDefault="00D94EAC" w:rsidP="0036346B">
            <w:pPr>
              <w:jc w:val="both"/>
              <w:rPr>
                <w:rFonts w:cs="Times New Roman"/>
                <w:sz w:val="20"/>
                <w:szCs w:val="20"/>
              </w:rPr>
            </w:pPr>
          </w:p>
          <w:p w14:paraId="396FA2F3" w14:textId="77777777" w:rsidR="00D94EAC" w:rsidRPr="00FC4CA3" w:rsidRDefault="00D94EAC" w:rsidP="0036346B">
            <w:pPr>
              <w:jc w:val="both"/>
              <w:rPr>
                <w:rFonts w:cs="Times New Roman"/>
                <w:sz w:val="20"/>
                <w:szCs w:val="20"/>
              </w:rPr>
            </w:pPr>
            <w:r w:rsidRPr="00FC4CA3">
              <w:rPr>
                <w:rFonts w:cs="Times New Roman"/>
                <w:sz w:val="20"/>
                <w:szCs w:val="20"/>
              </w:rPr>
              <w:t>Brownish colour at interphase</w:t>
            </w:r>
          </w:p>
          <w:p w14:paraId="0ACB0FE2" w14:textId="77777777" w:rsidR="00D94EAC" w:rsidRPr="00FC4CA3" w:rsidRDefault="00D94EAC" w:rsidP="0036346B">
            <w:pPr>
              <w:jc w:val="both"/>
              <w:rPr>
                <w:rFonts w:cs="Times New Roman"/>
                <w:sz w:val="20"/>
                <w:szCs w:val="20"/>
              </w:rPr>
            </w:pPr>
            <w:r w:rsidRPr="00FC4CA3">
              <w:rPr>
                <w:rFonts w:cs="Times New Roman"/>
                <w:sz w:val="20"/>
                <w:szCs w:val="20"/>
              </w:rPr>
              <w:t>Brownish colour at interphase</w:t>
            </w:r>
          </w:p>
        </w:tc>
        <w:tc>
          <w:tcPr>
            <w:tcW w:w="1080" w:type="dxa"/>
          </w:tcPr>
          <w:p w14:paraId="2B2D0F25" w14:textId="77777777" w:rsidR="00D94EAC" w:rsidRPr="00FC4CA3" w:rsidRDefault="00D94EAC" w:rsidP="0036346B">
            <w:pPr>
              <w:jc w:val="both"/>
              <w:rPr>
                <w:rFonts w:cs="Times New Roman"/>
                <w:sz w:val="20"/>
                <w:szCs w:val="20"/>
              </w:rPr>
            </w:pPr>
          </w:p>
          <w:p w14:paraId="7AAAC133" w14:textId="77777777" w:rsidR="00D94EAC" w:rsidRPr="00FC4CA3" w:rsidRDefault="00D94EAC" w:rsidP="0036346B">
            <w:pPr>
              <w:jc w:val="both"/>
              <w:rPr>
                <w:rFonts w:cs="Times New Roman"/>
                <w:sz w:val="20"/>
                <w:szCs w:val="20"/>
              </w:rPr>
            </w:pPr>
            <w:r>
              <w:t xml:space="preserve">    +</w:t>
            </w:r>
          </w:p>
          <w:p w14:paraId="03C2BBAA" w14:textId="77777777" w:rsidR="00D94EAC" w:rsidRPr="00FC4CA3" w:rsidRDefault="00D94EAC" w:rsidP="0036346B">
            <w:pPr>
              <w:jc w:val="both"/>
              <w:rPr>
                <w:rFonts w:cs="Times New Roman"/>
                <w:sz w:val="20"/>
                <w:szCs w:val="20"/>
              </w:rPr>
            </w:pPr>
            <w:r>
              <w:t xml:space="preserve">    +</w:t>
            </w:r>
          </w:p>
        </w:tc>
      </w:tr>
    </w:tbl>
    <w:p w14:paraId="6008F64B" w14:textId="77777777" w:rsidR="00D94EAC" w:rsidRDefault="00D94EAC" w:rsidP="00D94EAC">
      <w:pPr>
        <w:jc w:val="both"/>
      </w:pPr>
      <w:r>
        <w:t>Key: + (present), - (Absent)</w:t>
      </w:r>
    </w:p>
    <w:p w14:paraId="10A29CD0" w14:textId="21EBBA3F" w:rsidR="00D94EAC" w:rsidRPr="00706A10" w:rsidRDefault="00D94EAC" w:rsidP="00D94EAC">
      <w:pPr>
        <w:jc w:val="both"/>
        <w:rPr>
          <w:rFonts w:cs="Times New Roman"/>
          <w:bCs/>
          <w:szCs w:val="24"/>
        </w:rPr>
      </w:pPr>
      <w:r w:rsidRPr="00FD3D29">
        <w:rPr>
          <w:rFonts w:cs="Times New Roman"/>
          <w:bCs/>
          <w:szCs w:val="24"/>
        </w:rPr>
        <w:t xml:space="preserve">Table S1. Phytochemical Screening of </w:t>
      </w:r>
      <w:r w:rsidRPr="00FD3D29">
        <w:rPr>
          <w:rFonts w:cs="Times New Roman"/>
          <w:bCs/>
          <w:i/>
          <w:iCs/>
          <w:szCs w:val="24"/>
        </w:rPr>
        <w:t>D. microcarpum</w:t>
      </w:r>
      <w:r w:rsidRPr="00FD3D29">
        <w:rPr>
          <w:rFonts w:cs="Times New Roman"/>
          <w:bCs/>
          <w:szCs w:val="24"/>
        </w:rPr>
        <w:t xml:space="preserve"> Methanol Extract. The table summarizes qualitative tests performed to detect major classes of secondary metabolites in the methanol extract. Positive reactions were observed for carbohydrates (Molisch’s test), glycosides, cardiac glycosides (Keller–Killiani’s test), flavonoids (both sodium hydroxide and Shinoda’s tests), tannins (Ferric chloride test), saponins (frothing and haemolysis tests), alkaloids (Mayer’s, Dragendorff’s, and Wagner’s tests), and terpenoids/steroids (Liebermann–Burchard and Salkowski’s tests). Anthraquinones tested negative (Bontrager’s test). Observations included characteristic color changes or precipitate formation, confirming the presence (+) or absence (–) of each phytochemical group.</w:t>
      </w:r>
    </w:p>
    <w:sectPr w:rsidR="00D94EAC" w:rsidRPr="00706A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73D32"/>
    <w:multiLevelType w:val="hybridMultilevel"/>
    <w:tmpl w:val="DF101FBE"/>
    <w:lvl w:ilvl="0" w:tplc="DBFA9A66">
      <w:start w:val="1"/>
      <w:numFmt w:val="lowerLetter"/>
      <w:lvlText w:val="(%1)"/>
      <w:lvlJc w:val="lef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num w:numId="1" w16cid:durableId="133583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AC"/>
    <w:rsid w:val="00261A49"/>
    <w:rsid w:val="002942D8"/>
    <w:rsid w:val="00460FAC"/>
    <w:rsid w:val="0046467B"/>
    <w:rsid w:val="004A2B05"/>
    <w:rsid w:val="00545C99"/>
    <w:rsid w:val="005A0EF2"/>
    <w:rsid w:val="005D0BF9"/>
    <w:rsid w:val="00706A10"/>
    <w:rsid w:val="0073705C"/>
    <w:rsid w:val="00756BF3"/>
    <w:rsid w:val="008D00A2"/>
    <w:rsid w:val="009B7CBC"/>
    <w:rsid w:val="00A20727"/>
    <w:rsid w:val="00B36594"/>
    <w:rsid w:val="00BB6DC8"/>
    <w:rsid w:val="00C23539"/>
    <w:rsid w:val="00C75F34"/>
    <w:rsid w:val="00D056CB"/>
    <w:rsid w:val="00D939DE"/>
    <w:rsid w:val="00D94EAC"/>
    <w:rsid w:val="00DF7B21"/>
    <w:rsid w:val="00E52118"/>
    <w:rsid w:val="00E5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9597C"/>
  <w15:chartTrackingRefBased/>
  <w15:docId w15:val="{9EB105F7-FBEC-4A90-9C57-BF33BBF5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EAC"/>
    <w:pPr>
      <w:spacing w:after="200" w:line="276" w:lineRule="auto"/>
    </w:pPr>
    <w:rPr>
      <w:rFonts w:ascii="Times New Roman" w:hAnsi="Times New Roman"/>
      <w:kern w:val="0"/>
      <w:szCs w:val="22"/>
      <w:lang w:val="en-GB"/>
      <w14:ligatures w14:val="none"/>
    </w:rPr>
  </w:style>
  <w:style w:type="paragraph" w:styleId="Heading1">
    <w:name w:val="heading 1"/>
    <w:basedOn w:val="Normal"/>
    <w:next w:val="Normal"/>
    <w:link w:val="Heading1Char"/>
    <w:uiPriority w:val="9"/>
    <w:qFormat/>
    <w:rsid w:val="00D94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EAC"/>
    <w:rPr>
      <w:rFonts w:eastAsiaTheme="majorEastAsia" w:cstheme="majorBidi"/>
      <w:color w:val="272727" w:themeColor="text1" w:themeTint="D8"/>
    </w:rPr>
  </w:style>
  <w:style w:type="paragraph" w:styleId="Title">
    <w:name w:val="Title"/>
    <w:basedOn w:val="Normal"/>
    <w:next w:val="Normal"/>
    <w:link w:val="TitleChar"/>
    <w:uiPriority w:val="10"/>
    <w:qFormat/>
    <w:rsid w:val="00D94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EAC"/>
    <w:pPr>
      <w:spacing w:before="160"/>
      <w:jc w:val="center"/>
    </w:pPr>
    <w:rPr>
      <w:i/>
      <w:iCs/>
      <w:color w:val="404040" w:themeColor="text1" w:themeTint="BF"/>
    </w:rPr>
  </w:style>
  <w:style w:type="character" w:customStyle="1" w:styleId="QuoteChar">
    <w:name w:val="Quote Char"/>
    <w:basedOn w:val="DefaultParagraphFont"/>
    <w:link w:val="Quote"/>
    <w:uiPriority w:val="29"/>
    <w:rsid w:val="00D94EAC"/>
    <w:rPr>
      <w:i/>
      <w:iCs/>
      <w:color w:val="404040" w:themeColor="text1" w:themeTint="BF"/>
    </w:rPr>
  </w:style>
  <w:style w:type="paragraph" w:styleId="ListParagraph">
    <w:name w:val="List Paragraph"/>
    <w:basedOn w:val="Normal"/>
    <w:uiPriority w:val="34"/>
    <w:qFormat/>
    <w:rsid w:val="00D94EAC"/>
    <w:pPr>
      <w:ind w:left="720"/>
      <w:contextualSpacing/>
    </w:pPr>
  </w:style>
  <w:style w:type="character" w:styleId="IntenseEmphasis">
    <w:name w:val="Intense Emphasis"/>
    <w:basedOn w:val="DefaultParagraphFont"/>
    <w:uiPriority w:val="21"/>
    <w:qFormat/>
    <w:rsid w:val="00D94EAC"/>
    <w:rPr>
      <w:i/>
      <w:iCs/>
      <w:color w:val="0F4761" w:themeColor="accent1" w:themeShade="BF"/>
    </w:rPr>
  </w:style>
  <w:style w:type="paragraph" w:styleId="IntenseQuote">
    <w:name w:val="Intense Quote"/>
    <w:basedOn w:val="Normal"/>
    <w:next w:val="Normal"/>
    <w:link w:val="IntenseQuoteChar"/>
    <w:uiPriority w:val="30"/>
    <w:qFormat/>
    <w:rsid w:val="00D94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EAC"/>
    <w:rPr>
      <w:i/>
      <w:iCs/>
      <w:color w:val="0F4761" w:themeColor="accent1" w:themeShade="BF"/>
    </w:rPr>
  </w:style>
  <w:style w:type="character" w:styleId="IntenseReference">
    <w:name w:val="Intense Reference"/>
    <w:basedOn w:val="DefaultParagraphFont"/>
    <w:uiPriority w:val="32"/>
    <w:qFormat/>
    <w:rsid w:val="00D94EAC"/>
    <w:rPr>
      <w:b/>
      <w:bCs/>
      <w:smallCaps/>
      <w:color w:val="0F4761" w:themeColor="accent1" w:themeShade="BF"/>
      <w:spacing w:val="5"/>
    </w:rPr>
  </w:style>
  <w:style w:type="table" w:styleId="TableGrid">
    <w:name w:val="Table Grid"/>
    <w:basedOn w:val="TableNormal"/>
    <w:uiPriority w:val="39"/>
    <w:qFormat/>
    <w:rsid w:val="00D94EAC"/>
    <w:pPr>
      <w:spacing w:after="0" w:line="240" w:lineRule="auto"/>
    </w:pPr>
    <w:rPr>
      <w:kern w:val="0"/>
      <w:sz w:val="22"/>
      <w:szCs w:val="22"/>
      <w:lang w:val="en-M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ae38917-37e7-42d9-ba8d-4cbb63471716"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8AEC0DC788C4EA987BAE90C8503E9" ma:contentTypeVersion="12" ma:contentTypeDescription="Create a new document." ma:contentTypeScope="" ma:versionID="a3616f7169c638a32cf4f89a74a996a9">
  <xsd:schema xmlns:xsd="http://www.w3.org/2001/XMLSchema" xmlns:xs="http://www.w3.org/2001/XMLSchema" xmlns:p="http://schemas.microsoft.com/office/2006/metadata/properties" xmlns:ns1="http://schemas.microsoft.com/sharepoint/v3" xmlns:ns3="3ae38917-37e7-42d9-ba8d-4cbb63471716" targetNamespace="http://schemas.microsoft.com/office/2006/metadata/properties" ma:root="true" ma:fieldsID="d21eece25e4da14b2dbf0dc2eaeb4f74" ns1:_="" ns3:_="">
    <xsd:import namespace="http://schemas.microsoft.com/sharepoint/v3"/>
    <xsd:import namespace="3ae38917-37e7-42d9-ba8d-4cbb6347171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38917-37e7-42d9-ba8d-4cbb634717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50E59-4A23-4C06-AE74-85CD301ADEF0}">
  <ds:schemaRefs>
    <ds:schemaRef ds:uri="http://schemas.microsoft.com/office/2006/metadata/properties"/>
    <ds:schemaRef ds:uri="http://schemas.microsoft.com/office/infopath/2007/PartnerControls"/>
    <ds:schemaRef ds:uri="http://schemas.microsoft.com/sharepoint/v3"/>
    <ds:schemaRef ds:uri="3ae38917-37e7-42d9-ba8d-4cbb63471716"/>
  </ds:schemaRefs>
</ds:datastoreItem>
</file>

<file path=customXml/itemProps2.xml><?xml version="1.0" encoding="utf-8"?>
<ds:datastoreItem xmlns:ds="http://schemas.openxmlformats.org/officeDocument/2006/customXml" ds:itemID="{EDE9AED2-A16F-4978-A92A-A8016EDFD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38917-37e7-42d9-ba8d-4cbb63471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D7E4F-5E57-4384-A9B1-41192604D490}">
  <ds:schemaRefs>
    <ds:schemaRef ds:uri="http://schemas.microsoft.com/sharepoint/v3/contenttype/forms"/>
  </ds:schemaRefs>
</ds:datastoreItem>
</file>

<file path=docMetadata/LabelInfo.xml><?xml version="1.0" encoding="utf-8"?>
<clbl:labelList xmlns:clbl="http://schemas.microsoft.com/office/2020/mipLabelMetadata">
  <clbl:label id="{83ff14a6-eb6b-4250-b745-21bea66253dc}" enabled="0" method="" siteId="{83ff14a6-eb6b-4250-b745-21bea66253d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UT Health San Antonio</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Adamu, Yau</dc:creator>
  <cp:keywords/>
  <dc:description/>
  <cp:lastModifiedBy>Adamu, Yau</cp:lastModifiedBy>
  <cp:revision>3</cp:revision>
  <dcterms:created xsi:type="dcterms:W3CDTF">2026-08-21T15:19:00Z</dcterms:created>
  <dcterms:modified xsi:type="dcterms:W3CDTF">2026-08-21T15:24:00Z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0x0101005118AEC0DC788C4EA987BAE90C8503E9</vt:lpwstr>
  </property>
</Properties>
</file>