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809B0" w14:textId="77777777" w:rsidR="00E52119" w:rsidRPr="0093616B" w:rsidRDefault="00000000" w:rsidP="0093616B">
      <w:pPr>
        <w:spacing w:after="80"/>
        <w:jc w:val="both"/>
        <w:rPr>
          <w:rFonts w:ascii="Times New Roman" w:hAnsi="Times New Roman" w:cs="Times New Roman"/>
        </w:rPr>
      </w:pPr>
      <w:r w:rsidRPr="0093616B">
        <w:rPr>
          <w:rFonts w:ascii="Times New Roman" w:hAnsi="Times New Roman" w:cs="Times New Roman"/>
          <w:b/>
          <w:color w:val="1B365D"/>
          <w:sz w:val="44"/>
        </w:rPr>
        <w:t>SUPPLEMENTARY MATERIAL</w:t>
      </w:r>
    </w:p>
    <w:p w14:paraId="5C388359" w14:textId="77777777" w:rsidR="00E52119" w:rsidRPr="0093616B" w:rsidRDefault="00000000" w:rsidP="0093616B">
      <w:pPr>
        <w:spacing w:after="280"/>
        <w:jc w:val="both"/>
        <w:rPr>
          <w:rFonts w:ascii="Times New Roman" w:hAnsi="Times New Roman" w:cs="Times New Roman"/>
        </w:rPr>
      </w:pPr>
      <w:r w:rsidRPr="0093616B">
        <w:rPr>
          <w:rFonts w:ascii="Times New Roman" w:hAnsi="Times New Roman" w:cs="Times New Roman"/>
          <w:i/>
          <w:color w:val="4A5568"/>
          <w:sz w:val="24"/>
        </w:rPr>
        <w:t>Intraoperative versus Postoperative Bile Duct Injury Detection Following Cholecystectomy: A 15-year Propensity-Matched Cohort Study</w:t>
      </w:r>
    </w:p>
    <w:p w14:paraId="7F13C213" w14:textId="77777777" w:rsidR="00E52119" w:rsidRPr="0093616B" w:rsidRDefault="00000000" w:rsidP="0093616B">
      <w:pPr>
        <w:spacing w:after="320"/>
        <w:jc w:val="both"/>
        <w:rPr>
          <w:rFonts w:ascii="Times New Roman" w:hAnsi="Times New Roman" w:cs="Times New Roman"/>
        </w:rPr>
      </w:pPr>
      <w:r w:rsidRPr="0093616B">
        <w:rPr>
          <w:rFonts w:ascii="Times New Roman" w:hAnsi="Times New Roman" w:cs="Times New Roman"/>
          <w:b/>
          <w:color w:val="1B365D"/>
        </w:rPr>
        <w:t xml:space="preserve">Contents: </w:t>
      </w:r>
      <w:r w:rsidRPr="0093616B">
        <w:rPr>
          <w:rFonts w:ascii="Times New Roman" w:hAnsi="Times New Roman" w:cs="Times New Roman"/>
          <w:color w:val="2D3748"/>
          <w:sz w:val="19"/>
        </w:rPr>
        <w:t>Supplementary Methods (S1–S5), Supplementary Tables (S1–S7), Markov Model Architecture, and Cohort Data Codebook Verification Details.</w:t>
      </w:r>
    </w:p>
    <w:p w14:paraId="34093D74" w14:textId="77777777" w:rsidR="00E52119" w:rsidRPr="0093616B" w:rsidRDefault="00000000" w:rsidP="0093616B">
      <w:pPr>
        <w:keepNext/>
        <w:spacing w:before="360" w:after="120"/>
        <w:jc w:val="both"/>
        <w:rPr>
          <w:rFonts w:ascii="Times New Roman" w:hAnsi="Times New Roman" w:cs="Times New Roman"/>
        </w:rPr>
      </w:pPr>
      <w:r w:rsidRPr="0093616B">
        <w:rPr>
          <w:rFonts w:ascii="Times New Roman" w:hAnsi="Times New Roman" w:cs="Times New Roman"/>
          <w:b/>
          <w:color w:val="1B365D"/>
          <w:sz w:val="30"/>
        </w:rPr>
        <w:t>Supplementary Methods</w:t>
      </w:r>
    </w:p>
    <w:p w14:paraId="61874A01"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Method S1: Detailed Propensity Score Matching &amp; IPTW Algorithm</w:t>
      </w:r>
    </w:p>
    <w:p w14:paraId="1E2EF16A"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To mitigate confounding by indication inherent to observational BDI series, propensity scores representing the predicted probability of intraoperative BDI detection were generated via multivariable logistic regression. Covariates entered into the model included age, sex, BMI, ASA physical status (Class III/IV vs. I/II), surgical indication (acute vs. elective cholecystectomy), surgical approach (laparoscopic vs. open/converted), presence of difficult anatomy (gallbladder wall thickness &gt;5 mm or severe dense fibrosis), and prior abdominal surgery. Matching was performed using 1:1 nearest-neighbor matching without replacement, enforcing a tight caliper width of 0.2 standard deviations of the logit of the propensity score. Balance across all baseline covariates was evaluated using Standardized Mean Differences (SMD), where SMD &lt;0.10 indicated optimal balance. To ensure robust inference across the full cohort without sample loss, Inverse Probability of Treatment Weighting (IPTW) was conducted as a primary sensitivity analysis with stabilized weights.</w:t>
      </w:r>
    </w:p>
    <w:p w14:paraId="09F03C50"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Method S2: Multiple Imputation by Chained Equations (MICE)</w:t>
      </w:r>
    </w:p>
    <w:p w14:paraId="60468381"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Missing data patterns across the 102-patient dataset were thoroughly mapped. Overall missingness was low (&lt;10% across all clinical variables). Missing values occurred in 5 patients for long-term biliary stricture status (due to loss to follow-up), 8 patients for 3-month SF-36 scores, 4 patients for 24-month SF-36 scores, 6 patients for peak C-reactive protein, and 3 patients for duration of bile leak. Assuming Missing at Random (MAR) mechanisms, Multiple Imputation by Chained Equations (MICE) was executed producing 20 imputed datasets over 50 iterations each. Predictive mean matching was utilized for continuous quality-of-life and biochemical parameters, while binary logistic regression was applied for categorical outcomes. Pooled estimates were calculated using Rubin's rules and compared against complete-case analyses.</w:t>
      </w:r>
    </w:p>
    <w:p w14:paraId="0C2FDFC8"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Method S3: Quantitative Bias Analysis &amp; E-Value Calculation</w:t>
      </w:r>
    </w:p>
    <w:p w14:paraId="23A8AF0F"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To assess the susceptibility of the observed protective association between intraoperative detection and long-term stricture prevention (Adjusted Odds Ratio = 0.35; 95% CI: 0.14–0.85) to unmeasured confounding (e.g., individual surgeon volume or intraoperative subspecialty consultation availability), we calculated the E-value. The E-value defines the minimum strength of association, on the risk ratio scale, that an unmeasured confounder would need to have with both the exposure (detection timing) and the outcome (biliary stricture) to fully explain away the observed effect. The calculated E-value was 4.8 (lower 95% confidence limit = 2.1). This indicates that an unmeasured confounder would need to be associated with both detection timing and stricture formation by a risk ratio of at least 4.8-fold each, above and beyond the measured covariates, to invalidate the findings.</w:t>
      </w:r>
    </w:p>
    <w:p w14:paraId="19509D28"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lastRenderedPageBreak/>
        <w:t>Supplementary Method S4: Decision-Analytic Markov Model Structure &amp; Health Economics</w:t>
      </w:r>
    </w:p>
    <w:p w14:paraId="44A9BEAE"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A state-transition Markov decision model was constructed to evaluate the long-term cost-effectiveness and cumulative financial burden of intraoperative versus postoperative BDI detection over a 10-year horizon from a health system perspective. The model incorporated six discrete health states: (1) Post-Repair Recovery (Uneventful), (2) Chronic Bile Duct Stricture, (3) Recurrent Cholangitis / Hepaticojejunostomy Revision, (4) Secondary Biliary Cirrhosis, (5) Liver Transplantation, and (6) All-Cause / BDI-Related Mortality. Transition probabilities were derived from our 15-year empirical follow-up dataset and supplemented by published literature. Direct medical costs (index hospitalization, re-operations, interventional radiology procedures, ERCPs, outpatient surveillance, and readmissions) were calculated using standardized regional healthcare reimbursement tariffs. Costs and Quality-Adjusted Life Years (QALYs) were discounted at 3% annually.</w:t>
      </w:r>
    </w:p>
    <w:p w14:paraId="3F04E710"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Method S5: Multi-center Transfer Filter Bias Adjustment</w:t>
      </w:r>
    </w:p>
    <w:p w14:paraId="3A212016"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Because 55.9% (n=57) of the cohort represented tertiary transfers from district hospitals, referral filter bias was systematically assessed. Transferred patients inherently presented with higher rates of delayed diagnosis, uncontrolled bilomas, and established sepsis compared to index institution cases. To isolate the intrinsic effect of detection timing from transfer delays, sensitivity analyses were performed stratified by referral source, and multivariable models adjusted for time-elapsed between index surgery and tertiary hepatobiliary presentation.</w:t>
      </w:r>
    </w:p>
    <w:p w14:paraId="23D8CC9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rPr>
        <w:br w:type="page"/>
      </w:r>
    </w:p>
    <w:p w14:paraId="4F2D0269" w14:textId="77777777" w:rsidR="00E52119" w:rsidRPr="0093616B" w:rsidRDefault="00000000" w:rsidP="0093616B">
      <w:pPr>
        <w:keepNext/>
        <w:spacing w:before="360" w:after="120"/>
        <w:jc w:val="both"/>
        <w:rPr>
          <w:rFonts w:ascii="Times New Roman" w:hAnsi="Times New Roman" w:cs="Times New Roman"/>
        </w:rPr>
      </w:pPr>
      <w:r w:rsidRPr="0093616B">
        <w:rPr>
          <w:rFonts w:ascii="Times New Roman" w:hAnsi="Times New Roman" w:cs="Times New Roman"/>
          <w:b/>
          <w:color w:val="1B365D"/>
          <w:sz w:val="30"/>
        </w:rPr>
        <w:lastRenderedPageBreak/>
        <w:t>Supplementary Tables</w:t>
      </w:r>
    </w:p>
    <w:p w14:paraId="0CC25C46"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Table S1: Sensitivity Analysis Excluding Transferred Patients (Index Institution Cohort, n=45)</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3168"/>
        <w:gridCol w:w="1728"/>
        <w:gridCol w:w="1728"/>
        <w:gridCol w:w="2592"/>
        <w:gridCol w:w="1152"/>
      </w:tblGrid>
      <w:tr w:rsidR="00E52119" w:rsidRPr="0093616B" w14:paraId="0300B131" w14:textId="77777777">
        <w:trPr>
          <w:cantSplit/>
          <w:tblHeader/>
          <w:jc w:val="center"/>
        </w:trPr>
        <w:tc>
          <w:tcPr>
            <w:tcW w:w="3168" w:type="dxa"/>
            <w:shd w:val="clear" w:color="auto" w:fill="1B365D"/>
            <w:tcMar>
              <w:top w:w="80" w:type="dxa"/>
              <w:left w:w="80" w:type="dxa"/>
              <w:bottom w:w="80" w:type="dxa"/>
              <w:right w:w="80" w:type="dxa"/>
            </w:tcMar>
          </w:tcPr>
          <w:p w14:paraId="175AB30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Outcome / Metric</w:t>
            </w:r>
          </w:p>
        </w:tc>
        <w:tc>
          <w:tcPr>
            <w:tcW w:w="1728" w:type="dxa"/>
            <w:shd w:val="clear" w:color="auto" w:fill="1B365D"/>
            <w:tcMar>
              <w:top w:w="80" w:type="dxa"/>
              <w:left w:w="80" w:type="dxa"/>
              <w:bottom w:w="80" w:type="dxa"/>
              <w:right w:w="80" w:type="dxa"/>
            </w:tcMar>
          </w:tcPr>
          <w:p w14:paraId="0D923BC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Intraoperative (n=21)</w:t>
            </w:r>
          </w:p>
        </w:tc>
        <w:tc>
          <w:tcPr>
            <w:tcW w:w="1728" w:type="dxa"/>
            <w:shd w:val="clear" w:color="auto" w:fill="1B365D"/>
            <w:tcMar>
              <w:top w:w="80" w:type="dxa"/>
              <w:left w:w="80" w:type="dxa"/>
              <w:bottom w:w="80" w:type="dxa"/>
              <w:right w:w="80" w:type="dxa"/>
            </w:tcMar>
          </w:tcPr>
          <w:p w14:paraId="3E0D0CC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Postoperative (n=24)</w:t>
            </w:r>
          </w:p>
        </w:tc>
        <w:tc>
          <w:tcPr>
            <w:tcW w:w="2592" w:type="dxa"/>
            <w:shd w:val="clear" w:color="auto" w:fill="1B365D"/>
            <w:tcMar>
              <w:top w:w="80" w:type="dxa"/>
              <w:left w:w="80" w:type="dxa"/>
              <w:bottom w:w="80" w:type="dxa"/>
              <w:right w:w="80" w:type="dxa"/>
            </w:tcMar>
          </w:tcPr>
          <w:p w14:paraId="15AFF7F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Adjusted OR / Diff (95% CI)</w:t>
            </w:r>
          </w:p>
        </w:tc>
        <w:tc>
          <w:tcPr>
            <w:tcW w:w="1152" w:type="dxa"/>
            <w:shd w:val="clear" w:color="auto" w:fill="1B365D"/>
            <w:tcMar>
              <w:top w:w="80" w:type="dxa"/>
              <w:left w:w="80" w:type="dxa"/>
              <w:bottom w:w="80" w:type="dxa"/>
              <w:right w:w="80" w:type="dxa"/>
            </w:tcMar>
          </w:tcPr>
          <w:p w14:paraId="1AC7EDF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p-value</w:t>
            </w:r>
          </w:p>
        </w:tc>
      </w:tr>
      <w:tr w:rsidR="00E52119" w:rsidRPr="0093616B" w14:paraId="7090DBB9" w14:textId="77777777">
        <w:trPr>
          <w:cantSplit/>
          <w:jc w:val="center"/>
        </w:trPr>
        <w:tc>
          <w:tcPr>
            <w:tcW w:w="3168" w:type="dxa"/>
            <w:shd w:val="clear" w:color="auto" w:fill="F8FAFC"/>
            <w:tcMar>
              <w:top w:w="80" w:type="dxa"/>
              <w:left w:w="80" w:type="dxa"/>
              <w:bottom w:w="80" w:type="dxa"/>
              <w:right w:w="80" w:type="dxa"/>
            </w:tcMar>
          </w:tcPr>
          <w:p w14:paraId="4C9A487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30-Day Major Morbidity (CD III-V)</w:t>
            </w:r>
          </w:p>
        </w:tc>
        <w:tc>
          <w:tcPr>
            <w:tcW w:w="1728" w:type="dxa"/>
            <w:shd w:val="clear" w:color="auto" w:fill="F8FAFC"/>
            <w:tcMar>
              <w:top w:w="80" w:type="dxa"/>
              <w:left w:w="80" w:type="dxa"/>
              <w:bottom w:w="80" w:type="dxa"/>
              <w:right w:w="80" w:type="dxa"/>
            </w:tcMar>
          </w:tcPr>
          <w:p w14:paraId="55DAE8C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14.3% (3/21)</w:t>
            </w:r>
          </w:p>
        </w:tc>
        <w:tc>
          <w:tcPr>
            <w:tcW w:w="1728" w:type="dxa"/>
            <w:shd w:val="clear" w:color="auto" w:fill="F8FAFC"/>
            <w:tcMar>
              <w:top w:w="80" w:type="dxa"/>
              <w:left w:w="80" w:type="dxa"/>
              <w:bottom w:w="80" w:type="dxa"/>
              <w:right w:w="80" w:type="dxa"/>
            </w:tcMar>
          </w:tcPr>
          <w:p w14:paraId="4A2017B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37.5% (9/24)</w:t>
            </w:r>
          </w:p>
        </w:tc>
        <w:tc>
          <w:tcPr>
            <w:tcW w:w="2592" w:type="dxa"/>
            <w:shd w:val="clear" w:color="auto" w:fill="F8FAFC"/>
            <w:tcMar>
              <w:top w:w="80" w:type="dxa"/>
              <w:left w:w="80" w:type="dxa"/>
              <w:bottom w:w="80" w:type="dxa"/>
              <w:right w:w="80" w:type="dxa"/>
            </w:tcMar>
          </w:tcPr>
          <w:p w14:paraId="4C39CA8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aOR = 0.28 (0.06 to 0.98)</w:t>
            </w:r>
          </w:p>
        </w:tc>
        <w:tc>
          <w:tcPr>
            <w:tcW w:w="1152" w:type="dxa"/>
            <w:shd w:val="clear" w:color="auto" w:fill="F8FAFC"/>
            <w:tcMar>
              <w:top w:w="80" w:type="dxa"/>
              <w:left w:w="80" w:type="dxa"/>
              <w:bottom w:w="80" w:type="dxa"/>
              <w:right w:w="80" w:type="dxa"/>
            </w:tcMar>
          </w:tcPr>
          <w:p w14:paraId="601A6B3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0.041</w:t>
            </w:r>
          </w:p>
        </w:tc>
      </w:tr>
      <w:tr w:rsidR="00E52119" w:rsidRPr="0093616B" w14:paraId="3D981D25" w14:textId="77777777">
        <w:trPr>
          <w:cantSplit/>
          <w:jc w:val="center"/>
        </w:trPr>
        <w:tc>
          <w:tcPr>
            <w:tcW w:w="3168" w:type="dxa"/>
            <w:shd w:val="clear" w:color="auto" w:fill="FFFFFF"/>
            <w:tcMar>
              <w:top w:w="80" w:type="dxa"/>
              <w:left w:w="80" w:type="dxa"/>
              <w:bottom w:w="80" w:type="dxa"/>
              <w:right w:w="80" w:type="dxa"/>
            </w:tcMar>
          </w:tcPr>
          <w:p w14:paraId="004A3CE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Biliary Stricture Formation</w:t>
            </w:r>
          </w:p>
        </w:tc>
        <w:tc>
          <w:tcPr>
            <w:tcW w:w="1728" w:type="dxa"/>
            <w:shd w:val="clear" w:color="auto" w:fill="FFFFFF"/>
            <w:tcMar>
              <w:top w:w="80" w:type="dxa"/>
              <w:left w:w="80" w:type="dxa"/>
              <w:bottom w:w="80" w:type="dxa"/>
              <w:right w:w="80" w:type="dxa"/>
            </w:tcMar>
          </w:tcPr>
          <w:p w14:paraId="3B0E09C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19.0% (4/21)</w:t>
            </w:r>
          </w:p>
        </w:tc>
        <w:tc>
          <w:tcPr>
            <w:tcW w:w="1728" w:type="dxa"/>
            <w:shd w:val="clear" w:color="auto" w:fill="FFFFFF"/>
            <w:tcMar>
              <w:top w:w="80" w:type="dxa"/>
              <w:left w:w="80" w:type="dxa"/>
              <w:bottom w:w="80" w:type="dxa"/>
              <w:right w:w="80" w:type="dxa"/>
            </w:tcMar>
          </w:tcPr>
          <w:p w14:paraId="249B190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45.8% (11/24)</w:t>
            </w:r>
          </w:p>
        </w:tc>
        <w:tc>
          <w:tcPr>
            <w:tcW w:w="2592" w:type="dxa"/>
            <w:shd w:val="clear" w:color="auto" w:fill="FFFFFF"/>
            <w:tcMar>
              <w:top w:w="80" w:type="dxa"/>
              <w:left w:w="80" w:type="dxa"/>
              <w:bottom w:w="80" w:type="dxa"/>
              <w:right w:w="80" w:type="dxa"/>
            </w:tcMar>
          </w:tcPr>
          <w:p w14:paraId="6D1BE6B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aOR = 0.27 (0.07 to 0.92)</w:t>
            </w:r>
          </w:p>
        </w:tc>
        <w:tc>
          <w:tcPr>
            <w:tcW w:w="1152" w:type="dxa"/>
            <w:shd w:val="clear" w:color="auto" w:fill="FFFFFF"/>
            <w:tcMar>
              <w:top w:w="80" w:type="dxa"/>
              <w:left w:w="80" w:type="dxa"/>
              <w:bottom w:w="80" w:type="dxa"/>
              <w:right w:w="80" w:type="dxa"/>
            </w:tcMar>
          </w:tcPr>
          <w:p w14:paraId="626E53F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0.034</w:t>
            </w:r>
          </w:p>
        </w:tc>
      </w:tr>
      <w:tr w:rsidR="00E52119" w:rsidRPr="0093616B" w14:paraId="1DD24D2B" w14:textId="77777777">
        <w:trPr>
          <w:cantSplit/>
          <w:jc w:val="center"/>
        </w:trPr>
        <w:tc>
          <w:tcPr>
            <w:tcW w:w="3168" w:type="dxa"/>
            <w:shd w:val="clear" w:color="auto" w:fill="F8FAFC"/>
            <w:tcMar>
              <w:top w:w="80" w:type="dxa"/>
              <w:left w:w="80" w:type="dxa"/>
              <w:bottom w:w="80" w:type="dxa"/>
              <w:right w:w="80" w:type="dxa"/>
            </w:tcMar>
          </w:tcPr>
          <w:p w14:paraId="0FA2FC4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Hospital Length of Stay (days)</w:t>
            </w:r>
          </w:p>
        </w:tc>
        <w:tc>
          <w:tcPr>
            <w:tcW w:w="1728" w:type="dxa"/>
            <w:shd w:val="clear" w:color="auto" w:fill="F8FAFC"/>
            <w:tcMar>
              <w:top w:w="80" w:type="dxa"/>
              <w:left w:w="80" w:type="dxa"/>
              <w:bottom w:w="80" w:type="dxa"/>
              <w:right w:w="80" w:type="dxa"/>
            </w:tcMar>
          </w:tcPr>
          <w:p w14:paraId="7AB599A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6.5 [5.0 - 9.0]</w:t>
            </w:r>
          </w:p>
        </w:tc>
        <w:tc>
          <w:tcPr>
            <w:tcW w:w="1728" w:type="dxa"/>
            <w:shd w:val="clear" w:color="auto" w:fill="F8FAFC"/>
            <w:tcMar>
              <w:top w:w="80" w:type="dxa"/>
              <w:left w:w="80" w:type="dxa"/>
              <w:bottom w:w="80" w:type="dxa"/>
              <w:right w:w="80" w:type="dxa"/>
            </w:tcMar>
          </w:tcPr>
          <w:p w14:paraId="23D424F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11.0 [7.5 - 16.0]</w:t>
            </w:r>
          </w:p>
        </w:tc>
        <w:tc>
          <w:tcPr>
            <w:tcW w:w="2592" w:type="dxa"/>
            <w:shd w:val="clear" w:color="auto" w:fill="F8FAFC"/>
            <w:tcMar>
              <w:top w:w="80" w:type="dxa"/>
              <w:left w:w="80" w:type="dxa"/>
              <w:bottom w:w="80" w:type="dxa"/>
              <w:right w:w="80" w:type="dxa"/>
            </w:tcMar>
          </w:tcPr>
          <w:p w14:paraId="1C9AB8E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-4.5 days (-7.2 to -1.8)</w:t>
            </w:r>
          </w:p>
        </w:tc>
        <w:tc>
          <w:tcPr>
            <w:tcW w:w="1152" w:type="dxa"/>
            <w:shd w:val="clear" w:color="auto" w:fill="F8FAFC"/>
            <w:tcMar>
              <w:top w:w="80" w:type="dxa"/>
              <w:left w:w="80" w:type="dxa"/>
              <w:bottom w:w="80" w:type="dxa"/>
              <w:right w:w="80" w:type="dxa"/>
            </w:tcMar>
          </w:tcPr>
          <w:p w14:paraId="76B5217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&lt;0.001</w:t>
            </w:r>
          </w:p>
        </w:tc>
      </w:tr>
      <w:tr w:rsidR="00E52119" w:rsidRPr="0093616B" w14:paraId="272184FF" w14:textId="77777777">
        <w:trPr>
          <w:cantSplit/>
          <w:jc w:val="center"/>
        </w:trPr>
        <w:tc>
          <w:tcPr>
            <w:tcW w:w="3168" w:type="dxa"/>
            <w:shd w:val="clear" w:color="auto" w:fill="FFFFFF"/>
            <w:tcMar>
              <w:top w:w="80" w:type="dxa"/>
              <w:left w:w="80" w:type="dxa"/>
              <w:bottom w:w="80" w:type="dxa"/>
              <w:right w:w="80" w:type="dxa"/>
            </w:tcMar>
          </w:tcPr>
          <w:p w14:paraId="27E72A3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SF-36 Physical Component (24 mo)</w:t>
            </w:r>
          </w:p>
        </w:tc>
        <w:tc>
          <w:tcPr>
            <w:tcW w:w="1728" w:type="dxa"/>
            <w:shd w:val="clear" w:color="auto" w:fill="FFFFFF"/>
            <w:tcMar>
              <w:top w:w="80" w:type="dxa"/>
              <w:left w:w="80" w:type="dxa"/>
              <w:bottom w:w="80" w:type="dxa"/>
              <w:right w:w="80" w:type="dxa"/>
            </w:tcMar>
          </w:tcPr>
          <w:p w14:paraId="6A4C21C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80.2 ± 11.1</w:t>
            </w:r>
          </w:p>
        </w:tc>
        <w:tc>
          <w:tcPr>
            <w:tcW w:w="1728" w:type="dxa"/>
            <w:shd w:val="clear" w:color="auto" w:fill="FFFFFF"/>
            <w:tcMar>
              <w:top w:w="80" w:type="dxa"/>
              <w:left w:w="80" w:type="dxa"/>
              <w:bottom w:w="80" w:type="dxa"/>
              <w:right w:w="80" w:type="dxa"/>
            </w:tcMar>
          </w:tcPr>
          <w:p w14:paraId="05B9A5C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73.1 ± 14.2</w:t>
            </w:r>
          </w:p>
        </w:tc>
        <w:tc>
          <w:tcPr>
            <w:tcW w:w="2592" w:type="dxa"/>
            <w:shd w:val="clear" w:color="auto" w:fill="FFFFFF"/>
            <w:tcMar>
              <w:top w:w="80" w:type="dxa"/>
              <w:left w:w="80" w:type="dxa"/>
              <w:bottom w:w="80" w:type="dxa"/>
              <w:right w:w="80" w:type="dxa"/>
            </w:tcMar>
          </w:tcPr>
          <w:p w14:paraId="3E1A1AF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+7.1 points (1.2 to 13.0)</w:t>
            </w:r>
          </w:p>
        </w:tc>
        <w:tc>
          <w:tcPr>
            <w:tcW w:w="1152" w:type="dxa"/>
            <w:shd w:val="clear" w:color="auto" w:fill="FFFFFF"/>
            <w:tcMar>
              <w:top w:w="80" w:type="dxa"/>
              <w:left w:w="80" w:type="dxa"/>
              <w:bottom w:w="80" w:type="dxa"/>
              <w:right w:w="80" w:type="dxa"/>
            </w:tcMar>
          </w:tcPr>
          <w:p w14:paraId="0A8839E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0.021</w:t>
            </w:r>
          </w:p>
        </w:tc>
      </w:tr>
    </w:tbl>
    <w:p w14:paraId="4BF7E1B5" w14:textId="77777777" w:rsidR="00E52119" w:rsidRPr="0093616B" w:rsidRDefault="00E52119" w:rsidP="0093616B">
      <w:pPr>
        <w:spacing w:after="80"/>
        <w:jc w:val="both"/>
        <w:rPr>
          <w:rFonts w:ascii="Times New Roman" w:hAnsi="Times New Roman" w:cs="Times New Roman"/>
        </w:rPr>
      </w:pPr>
    </w:p>
    <w:p w14:paraId="7F9AC9FF"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Table S2: Covariate Balance Before and After Propensity Score Matching (34 Pairs)</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2304"/>
        <w:gridCol w:w="1440"/>
        <w:gridCol w:w="1440"/>
        <w:gridCol w:w="1008"/>
        <w:gridCol w:w="1440"/>
        <w:gridCol w:w="1440"/>
        <w:gridCol w:w="1008"/>
      </w:tblGrid>
      <w:tr w:rsidR="00E52119" w:rsidRPr="0093616B" w14:paraId="04B771B9" w14:textId="77777777">
        <w:trPr>
          <w:cantSplit/>
          <w:tblHeader/>
          <w:jc w:val="center"/>
        </w:trPr>
        <w:tc>
          <w:tcPr>
            <w:tcW w:w="2304" w:type="dxa"/>
            <w:shd w:val="clear" w:color="auto" w:fill="1B365D"/>
            <w:tcMar>
              <w:top w:w="60" w:type="dxa"/>
              <w:left w:w="50" w:type="dxa"/>
              <w:bottom w:w="60" w:type="dxa"/>
              <w:right w:w="50" w:type="dxa"/>
            </w:tcMar>
          </w:tcPr>
          <w:p w14:paraId="7044356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Covariate</w:t>
            </w:r>
          </w:p>
        </w:tc>
        <w:tc>
          <w:tcPr>
            <w:tcW w:w="1440" w:type="dxa"/>
            <w:shd w:val="clear" w:color="auto" w:fill="1B365D"/>
            <w:tcMar>
              <w:top w:w="60" w:type="dxa"/>
              <w:left w:w="50" w:type="dxa"/>
              <w:bottom w:w="60" w:type="dxa"/>
              <w:right w:w="50" w:type="dxa"/>
            </w:tcMar>
          </w:tcPr>
          <w:p w14:paraId="03C143F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Unmatched Intraop (n=41)</w:t>
            </w:r>
          </w:p>
        </w:tc>
        <w:tc>
          <w:tcPr>
            <w:tcW w:w="1440" w:type="dxa"/>
            <w:shd w:val="clear" w:color="auto" w:fill="1B365D"/>
            <w:tcMar>
              <w:top w:w="60" w:type="dxa"/>
              <w:left w:w="50" w:type="dxa"/>
              <w:bottom w:w="60" w:type="dxa"/>
              <w:right w:w="50" w:type="dxa"/>
            </w:tcMar>
          </w:tcPr>
          <w:p w14:paraId="2859910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Unmatched Postop (n=61)</w:t>
            </w:r>
          </w:p>
        </w:tc>
        <w:tc>
          <w:tcPr>
            <w:tcW w:w="1008" w:type="dxa"/>
            <w:shd w:val="clear" w:color="auto" w:fill="1B365D"/>
            <w:tcMar>
              <w:top w:w="60" w:type="dxa"/>
              <w:left w:w="50" w:type="dxa"/>
              <w:bottom w:w="60" w:type="dxa"/>
              <w:right w:w="50" w:type="dxa"/>
            </w:tcMar>
          </w:tcPr>
          <w:p w14:paraId="0F1DB72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Unmatched SMD</w:t>
            </w:r>
          </w:p>
        </w:tc>
        <w:tc>
          <w:tcPr>
            <w:tcW w:w="1440" w:type="dxa"/>
            <w:shd w:val="clear" w:color="auto" w:fill="1B365D"/>
            <w:tcMar>
              <w:top w:w="60" w:type="dxa"/>
              <w:left w:w="50" w:type="dxa"/>
              <w:bottom w:w="60" w:type="dxa"/>
              <w:right w:w="50" w:type="dxa"/>
            </w:tcMar>
          </w:tcPr>
          <w:p w14:paraId="02070A9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Matched Intraop (n=34)</w:t>
            </w:r>
          </w:p>
        </w:tc>
        <w:tc>
          <w:tcPr>
            <w:tcW w:w="1440" w:type="dxa"/>
            <w:shd w:val="clear" w:color="auto" w:fill="1B365D"/>
            <w:tcMar>
              <w:top w:w="60" w:type="dxa"/>
              <w:left w:w="50" w:type="dxa"/>
              <w:bottom w:w="60" w:type="dxa"/>
              <w:right w:w="50" w:type="dxa"/>
            </w:tcMar>
          </w:tcPr>
          <w:p w14:paraId="632DECA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Matched Postop (n=34)</w:t>
            </w:r>
          </w:p>
        </w:tc>
        <w:tc>
          <w:tcPr>
            <w:tcW w:w="1008" w:type="dxa"/>
            <w:shd w:val="clear" w:color="auto" w:fill="1B365D"/>
            <w:tcMar>
              <w:top w:w="60" w:type="dxa"/>
              <w:left w:w="50" w:type="dxa"/>
              <w:bottom w:w="60" w:type="dxa"/>
              <w:right w:w="50" w:type="dxa"/>
            </w:tcMar>
          </w:tcPr>
          <w:p w14:paraId="73DD1D3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Matched SMD</w:t>
            </w:r>
          </w:p>
        </w:tc>
      </w:tr>
      <w:tr w:rsidR="00E52119" w:rsidRPr="0093616B" w14:paraId="79032100" w14:textId="77777777">
        <w:trPr>
          <w:cantSplit/>
          <w:jc w:val="center"/>
        </w:trPr>
        <w:tc>
          <w:tcPr>
            <w:tcW w:w="2304" w:type="dxa"/>
            <w:shd w:val="clear" w:color="auto" w:fill="F8FAFC"/>
            <w:tcMar>
              <w:top w:w="60" w:type="dxa"/>
              <w:left w:w="50" w:type="dxa"/>
              <w:bottom w:w="60" w:type="dxa"/>
              <w:right w:w="50" w:type="dxa"/>
            </w:tcMar>
          </w:tcPr>
          <w:p w14:paraId="0C92817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Age (years)</w:t>
            </w:r>
          </w:p>
        </w:tc>
        <w:tc>
          <w:tcPr>
            <w:tcW w:w="1440" w:type="dxa"/>
            <w:shd w:val="clear" w:color="auto" w:fill="F8FAFC"/>
            <w:tcMar>
              <w:top w:w="60" w:type="dxa"/>
              <w:left w:w="50" w:type="dxa"/>
              <w:bottom w:w="60" w:type="dxa"/>
              <w:right w:w="50" w:type="dxa"/>
            </w:tcMar>
          </w:tcPr>
          <w:p w14:paraId="6B7DF2C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50.1 ± 11.2</w:t>
            </w:r>
          </w:p>
        </w:tc>
        <w:tc>
          <w:tcPr>
            <w:tcW w:w="1440" w:type="dxa"/>
            <w:shd w:val="clear" w:color="auto" w:fill="F8FAFC"/>
            <w:tcMar>
              <w:top w:w="60" w:type="dxa"/>
              <w:left w:w="50" w:type="dxa"/>
              <w:bottom w:w="60" w:type="dxa"/>
              <w:right w:w="50" w:type="dxa"/>
            </w:tcMar>
          </w:tcPr>
          <w:p w14:paraId="59D84EE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53.8 ± 11.4</w:t>
            </w:r>
          </w:p>
        </w:tc>
        <w:tc>
          <w:tcPr>
            <w:tcW w:w="1008" w:type="dxa"/>
            <w:shd w:val="clear" w:color="auto" w:fill="F8FAFC"/>
            <w:tcMar>
              <w:top w:w="60" w:type="dxa"/>
              <w:left w:w="50" w:type="dxa"/>
              <w:bottom w:w="60" w:type="dxa"/>
              <w:right w:w="50" w:type="dxa"/>
            </w:tcMar>
          </w:tcPr>
          <w:p w14:paraId="5A57E92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0.327</w:t>
            </w:r>
          </w:p>
        </w:tc>
        <w:tc>
          <w:tcPr>
            <w:tcW w:w="1440" w:type="dxa"/>
            <w:shd w:val="clear" w:color="auto" w:fill="F8FAFC"/>
            <w:tcMar>
              <w:top w:w="60" w:type="dxa"/>
              <w:left w:w="50" w:type="dxa"/>
              <w:bottom w:w="60" w:type="dxa"/>
              <w:right w:w="50" w:type="dxa"/>
            </w:tcMar>
          </w:tcPr>
          <w:p w14:paraId="79996DD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51.8 ± 10.9</w:t>
            </w:r>
          </w:p>
        </w:tc>
        <w:tc>
          <w:tcPr>
            <w:tcW w:w="1440" w:type="dxa"/>
            <w:shd w:val="clear" w:color="auto" w:fill="F8FAFC"/>
            <w:tcMar>
              <w:top w:w="60" w:type="dxa"/>
              <w:left w:w="50" w:type="dxa"/>
              <w:bottom w:w="60" w:type="dxa"/>
              <w:right w:w="50" w:type="dxa"/>
            </w:tcMar>
          </w:tcPr>
          <w:p w14:paraId="0E16B82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52.4 ± 11.1</w:t>
            </w:r>
          </w:p>
        </w:tc>
        <w:tc>
          <w:tcPr>
            <w:tcW w:w="1008" w:type="dxa"/>
            <w:shd w:val="clear" w:color="auto" w:fill="F8FAFC"/>
            <w:tcMar>
              <w:top w:w="60" w:type="dxa"/>
              <w:left w:w="50" w:type="dxa"/>
              <w:bottom w:w="60" w:type="dxa"/>
              <w:right w:w="50" w:type="dxa"/>
            </w:tcMar>
          </w:tcPr>
          <w:p w14:paraId="18A47AA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0.054</w:t>
            </w:r>
          </w:p>
        </w:tc>
      </w:tr>
      <w:tr w:rsidR="00E52119" w:rsidRPr="0093616B" w14:paraId="165E2ED4" w14:textId="77777777">
        <w:trPr>
          <w:cantSplit/>
          <w:jc w:val="center"/>
        </w:trPr>
        <w:tc>
          <w:tcPr>
            <w:tcW w:w="2304" w:type="dxa"/>
            <w:shd w:val="clear" w:color="auto" w:fill="FFFFFF"/>
            <w:tcMar>
              <w:top w:w="60" w:type="dxa"/>
              <w:left w:w="50" w:type="dxa"/>
              <w:bottom w:w="60" w:type="dxa"/>
              <w:right w:w="50" w:type="dxa"/>
            </w:tcMar>
          </w:tcPr>
          <w:p w14:paraId="0815FB4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Female Sex (%)</w:t>
            </w:r>
          </w:p>
        </w:tc>
        <w:tc>
          <w:tcPr>
            <w:tcW w:w="1440" w:type="dxa"/>
            <w:shd w:val="clear" w:color="auto" w:fill="FFFFFF"/>
            <w:tcMar>
              <w:top w:w="60" w:type="dxa"/>
              <w:left w:w="50" w:type="dxa"/>
              <w:bottom w:w="60" w:type="dxa"/>
              <w:right w:w="50" w:type="dxa"/>
            </w:tcMar>
          </w:tcPr>
          <w:p w14:paraId="4E54C90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82.9% (34)</w:t>
            </w:r>
          </w:p>
        </w:tc>
        <w:tc>
          <w:tcPr>
            <w:tcW w:w="1440" w:type="dxa"/>
            <w:shd w:val="clear" w:color="auto" w:fill="FFFFFF"/>
            <w:tcMar>
              <w:top w:w="60" w:type="dxa"/>
              <w:left w:w="50" w:type="dxa"/>
              <w:bottom w:w="60" w:type="dxa"/>
              <w:right w:w="50" w:type="dxa"/>
            </w:tcMar>
          </w:tcPr>
          <w:p w14:paraId="25AFDD6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77.0% (47)</w:t>
            </w:r>
          </w:p>
        </w:tc>
        <w:tc>
          <w:tcPr>
            <w:tcW w:w="1008" w:type="dxa"/>
            <w:shd w:val="clear" w:color="auto" w:fill="FFFFFF"/>
            <w:tcMar>
              <w:top w:w="60" w:type="dxa"/>
              <w:left w:w="50" w:type="dxa"/>
              <w:bottom w:w="60" w:type="dxa"/>
              <w:right w:w="50" w:type="dxa"/>
            </w:tcMar>
          </w:tcPr>
          <w:p w14:paraId="66CE123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0.149</w:t>
            </w:r>
          </w:p>
        </w:tc>
        <w:tc>
          <w:tcPr>
            <w:tcW w:w="1440" w:type="dxa"/>
            <w:shd w:val="clear" w:color="auto" w:fill="FFFFFF"/>
            <w:tcMar>
              <w:top w:w="60" w:type="dxa"/>
              <w:left w:w="50" w:type="dxa"/>
              <w:bottom w:w="60" w:type="dxa"/>
              <w:right w:w="50" w:type="dxa"/>
            </w:tcMar>
          </w:tcPr>
          <w:p w14:paraId="0A9E62C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79.4% (27)</w:t>
            </w:r>
          </w:p>
        </w:tc>
        <w:tc>
          <w:tcPr>
            <w:tcW w:w="1440" w:type="dxa"/>
            <w:shd w:val="clear" w:color="auto" w:fill="FFFFFF"/>
            <w:tcMar>
              <w:top w:w="60" w:type="dxa"/>
              <w:left w:w="50" w:type="dxa"/>
              <w:bottom w:w="60" w:type="dxa"/>
              <w:right w:w="50" w:type="dxa"/>
            </w:tcMar>
          </w:tcPr>
          <w:p w14:paraId="793F99F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79.4% (27)</w:t>
            </w:r>
          </w:p>
        </w:tc>
        <w:tc>
          <w:tcPr>
            <w:tcW w:w="1008" w:type="dxa"/>
            <w:shd w:val="clear" w:color="auto" w:fill="FFFFFF"/>
            <w:tcMar>
              <w:top w:w="60" w:type="dxa"/>
              <w:left w:w="50" w:type="dxa"/>
              <w:bottom w:w="60" w:type="dxa"/>
              <w:right w:w="50" w:type="dxa"/>
            </w:tcMar>
          </w:tcPr>
          <w:p w14:paraId="1801C13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0.000</w:t>
            </w:r>
          </w:p>
        </w:tc>
      </w:tr>
      <w:tr w:rsidR="00E52119" w:rsidRPr="0093616B" w14:paraId="06623074" w14:textId="77777777">
        <w:trPr>
          <w:cantSplit/>
          <w:jc w:val="center"/>
        </w:trPr>
        <w:tc>
          <w:tcPr>
            <w:tcW w:w="2304" w:type="dxa"/>
            <w:shd w:val="clear" w:color="auto" w:fill="F8FAFC"/>
            <w:tcMar>
              <w:top w:w="60" w:type="dxa"/>
              <w:left w:w="50" w:type="dxa"/>
              <w:bottom w:w="60" w:type="dxa"/>
              <w:right w:w="50" w:type="dxa"/>
            </w:tcMar>
          </w:tcPr>
          <w:p w14:paraId="3637384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BMI (kg/m²)</w:t>
            </w:r>
          </w:p>
        </w:tc>
        <w:tc>
          <w:tcPr>
            <w:tcW w:w="1440" w:type="dxa"/>
            <w:shd w:val="clear" w:color="auto" w:fill="F8FAFC"/>
            <w:tcMar>
              <w:top w:w="60" w:type="dxa"/>
              <w:left w:w="50" w:type="dxa"/>
              <w:bottom w:w="60" w:type="dxa"/>
              <w:right w:w="50" w:type="dxa"/>
            </w:tcMar>
          </w:tcPr>
          <w:p w14:paraId="7F77F88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29.1 ± 5.2</w:t>
            </w:r>
          </w:p>
        </w:tc>
        <w:tc>
          <w:tcPr>
            <w:tcW w:w="1440" w:type="dxa"/>
            <w:shd w:val="clear" w:color="auto" w:fill="F8FAFC"/>
            <w:tcMar>
              <w:top w:w="60" w:type="dxa"/>
              <w:left w:w="50" w:type="dxa"/>
              <w:bottom w:w="60" w:type="dxa"/>
              <w:right w:w="50" w:type="dxa"/>
            </w:tcMar>
          </w:tcPr>
          <w:p w14:paraId="3885437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27.6 ± 4.3</w:t>
            </w:r>
          </w:p>
        </w:tc>
        <w:tc>
          <w:tcPr>
            <w:tcW w:w="1008" w:type="dxa"/>
            <w:shd w:val="clear" w:color="auto" w:fill="F8FAFC"/>
            <w:tcMar>
              <w:top w:w="60" w:type="dxa"/>
              <w:left w:w="50" w:type="dxa"/>
              <w:bottom w:w="60" w:type="dxa"/>
              <w:right w:w="50" w:type="dxa"/>
            </w:tcMar>
          </w:tcPr>
          <w:p w14:paraId="6B7A9E9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0.315</w:t>
            </w:r>
          </w:p>
        </w:tc>
        <w:tc>
          <w:tcPr>
            <w:tcW w:w="1440" w:type="dxa"/>
            <w:shd w:val="clear" w:color="auto" w:fill="F8FAFC"/>
            <w:tcMar>
              <w:top w:w="60" w:type="dxa"/>
              <w:left w:w="50" w:type="dxa"/>
              <w:bottom w:w="60" w:type="dxa"/>
              <w:right w:w="50" w:type="dxa"/>
            </w:tcMar>
          </w:tcPr>
          <w:p w14:paraId="5A242AE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28.3 ± 4.8</w:t>
            </w:r>
          </w:p>
        </w:tc>
        <w:tc>
          <w:tcPr>
            <w:tcW w:w="1440" w:type="dxa"/>
            <w:shd w:val="clear" w:color="auto" w:fill="F8FAFC"/>
            <w:tcMar>
              <w:top w:w="60" w:type="dxa"/>
              <w:left w:w="50" w:type="dxa"/>
              <w:bottom w:w="60" w:type="dxa"/>
              <w:right w:w="50" w:type="dxa"/>
            </w:tcMar>
          </w:tcPr>
          <w:p w14:paraId="388EC48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28.0 ± 4.5</w:t>
            </w:r>
          </w:p>
        </w:tc>
        <w:tc>
          <w:tcPr>
            <w:tcW w:w="1008" w:type="dxa"/>
            <w:shd w:val="clear" w:color="auto" w:fill="F8FAFC"/>
            <w:tcMar>
              <w:top w:w="60" w:type="dxa"/>
              <w:left w:w="50" w:type="dxa"/>
              <w:bottom w:w="60" w:type="dxa"/>
              <w:right w:w="50" w:type="dxa"/>
            </w:tcMar>
          </w:tcPr>
          <w:p w14:paraId="5817068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0.064</w:t>
            </w:r>
          </w:p>
        </w:tc>
      </w:tr>
      <w:tr w:rsidR="00E52119" w:rsidRPr="0093616B" w14:paraId="463F5F17" w14:textId="77777777">
        <w:trPr>
          <w:cantSplit/>
          <w:jc w:val="center"/>
        </w:trPr>
        <w:tc>
          <w:tcPr>
            <w:tcW w:w="2304" w:type="dxa"/>
            <w:shd w:val="clear" w:color="auto" w:fill="FFFFFF"/>
            <w:tcMar>
              <w:top w:w="60" w:type="dxa"/>
              <w:left w:w="50" w:type="dxa"/>
              <w:bottom w:w="60" w:type="dxa"/>
              <w:right w:w="50" w:type="dxa"/>
            </w:tcMar>
          </w:tcPr>
          <w:p w14:paraId="7FE9899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ASA Class III-IV (%)</w:t>
            </w:r>
          </w:p>
        </w:tc>
        <w:tc>
          <w:tcPr>
            <w:tcW w:w="1440" w:type="dxa"/>
            <w:shd w:val="clear" w:color="auto" w:fill="FFFFFF"/>
            <w:tcMar>
              <w:top w:w="60" w:type="dxa"/>
              <w:left w:w="50" w:type="dxa"/>
              <w:bottom w:w="60" w:type="dxa"/>
              <w:right w:w="50" w:type="dxa"/>
            </w:tcMar>
          </w:tcPr>
          <w:p w14:paraId="3D50293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31.7% (13)</w:t>
            </w:r>
          </w:p>
        </w:tc>
        <w:tc>
          <w:tcPr>
            <w:tcW w:w="1440" w:type="dxa"/>
            <w:shd w:val="clear" w:color="auto" w:fill="FFFFFF"/>
            <w:tcMar>
              <w:top w:w="60" w:type="dxa"/>
              <w:left w:w="50" w:type="dxa"/>
              <w:bottom w:w="60" w:type="dxa"/>
              <w:right w:w="50" w:type="dxa"/>
            </w:tcMar>
          </w:tcPr>
          <w:p w14:paraId="474A083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19.7% (12)</w:t>
            </w:r>
          </w:p>
        </w:tc>
        <w:tc>
          <w:tcPr>
            <w:tcW w:w="1008" w:type="dxa"/>
            <w:shd w:val="clear" w:color="auto" w:fill="FFFFFF"/>
            <w:tcMar>
              <w:top w:w="60" w:type="dxa"/>
              <w:left w:w="50" w:type="dxa"/>
              <w:bottom w:w="60" w:type="dxa"/>
              <w:right w:w="50" w:type="dxa"/>
            </w:tcMar>
          </w:tcPr>
          <w:p w14:paraId="7E29C24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0.276</w:t>
            </w:r>
          </w:p>
        </w:tc>
        <w:tc>
          <w:tcPr>
            <w:tcW w:w="1440" w:type="dxa"/>
            <w:shd w:val="clear" w:color="auto" w:fill="FFFFFF"/>
            <w:tcMar>
              <w:top w:w="60" w:type="dxa"/>
              <w:left w:w="50" w:type="dxa"/>
              <w:bottom w:w="60" w:type="dxa"/>
              <w:right w:w="50" w:type="dxa"/>
            </w:tcMar>
          </w:tcPr>
          <w:p w14:paraId="230FF72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23.5% (8)</w:t>
            </w:r>
          </w:p>
        </w:tc>
        <w:tc>
          <w:tcPr>
            <w:tcW w:w="1440" w:type="dxa"/>
            <w:shd w:val="clear" w:color="auto" w:fill="FFFFFF"/>
            <w:tcMar>
              <w:top w:w="60" w:type="dxa"/>
              <w:left w:w="50" w:type="dxa"/>
              <w:bottom w:w="60" w:type="dxa"/>
              <w:right w:w="50" w:type="dxa"/>
            </w:tcMar>
          </w:tcPr>
          <w:p w14:paraId="3688DA9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23.5% (8)</w:t>
            </w:r>
          </w:p>
        </w:tc>
        <w:tc>
          <w:tcPr>
            <w:tcW w:w="1008" w:type="dxa"/>
            <w:shd w:val="clear" w:color="auto" w:fill="FFFFFF"/>
            <w:tcMar>
              <w:top w:w="60" w:type="dxa"/>
              <w:left w:w="50" w:type="dxa"/>
              <w:bottom w:w="60" w:type="dxa"/>
              <w:right w:w="50" w:type="dxa"/>
            </w:tcMar>
          </w:tcPr>
          <w:p w14:paraId="3B36F41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0.000</w:t>
            </w:r>
          </w:p>
        </w:tc>
      </w:tr>
      <w:tr w:rsidR="00E52119" w:rsidRPr="0093616B" w14:paraId="7B495C6F" w14:textId="77777777">
        <w:trPr>
          <w:cantSplit/>
          <w:jc w:val="center"/>
        </w:trPr>
        <w:tc>
          <w:tcPr>
            <w:tcW w:w="2304" w:type="dxa"/>
            <w:shd w:val="clear" w:color="auto" w:fill="F8FAFC"/>
            <w:tcMar>
              <w:top w:w="60" w:type="dxa"/>
              <w:left w:w="50" w:type="dxa"/>
              <w:bottom w:w="60" w:type="dxa"/>
              <w:right w:w="50" w:type="dxa"/>
            </w:tcMar>
          </w:tcPr>
          <w:p w14:paraId="082FC07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Emergency Surgery (%)</w:t>
            </w:r>
          </w:p>
        </w:tc>
        <w:tc>
          <w:tcPr>
            <w:tcW w:w="1440" w:type="dxa"/>
            <w:shd w:val="clear" w:color="auto" w:fill="F8FAFC"/>
            <w:tcMar>
              <w:top w:w="60" w:type="dxa"/>
              <w:left w:w="50" w:type="dxa"/>
              <w:bottom w:w="60" w:type="dxa"/>
              <w:right w:w="50" w:type="dxa"/>
            </w:tcMar>
          </w:tcPr>
          <w:p w14:paraId="2AF63C5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36.6% (15)</w:t>
            </w:r>
          </w:p>
        </w:tc>
        <w:tc>
          <w:tcPr>
            <w:tcW w:w="1440" w:type="dxa"/>
            <w:shd w:val="clear" w:color="auto" w:fill="F8FAFC"/>
            <w:tcMar>
              <w:top w:w="60" w:type="dxa"/>
              <w:left w:w="50" w:type="dxa"/>
              <w:bottom w:w="60" w:type="dxa"/>
              <w:right w:w="50" w:type="dxa"/>
            </w:tcMar>
          </w:tcPr>
          <w:p w14:paraId="4374A8A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18.0% (11)</w:t>
            </w:r>
          </w:p>
        </w:tc>
        <w:tc>
          <w:tcPr>
            <w:tcW w:w="1008" w:type="dxa"/>
            <w:shd w:val="clear" w:color="auto" w:fill="F8FAFC"/>
            <w:tcMar>
              <w:top w:w="60" w:type="dxa"/>
              <w:left w:w="50" w:type="dxa"/>
              <w:bottom w:w="60" w:type="dxa"/>
              <w:right w:w="50" w:type="dxa"/>
            </w:tcMar>
          </w:tcPr>
          <w:p w14:paraId="6D779FA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0.423</w:t>
            </w:r>
          </w:p>
        </w:tc>
        <w:tc>
          <w:tcPr>
            <w:tcW w:w="1440" w:type="dxa"/>
            <w:shd w:val="clear" w:color="auto" w:fill="F8FAFC"/>
            <w:tcMar>
              <w:top w:w="60" w:type="dxa"/>
              <w:left w:w="50" w:type="dxa"/>
              <w:bottom w:w="60" w:type="dxa"/>
              <w:right w:w="50" w:type="dxa"/>
            </w:tcMar>
          </w:tcPr>
          <w:p w14:paraId="2133D8D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20.6% (7)</w:t>
            </w:r>
          </w:p>
        </w:tc>
        <w:tc>
          <w:tcPr>
            <w:tcW w:w="1440" w:type="dxa"/>
            <w:shd w:val="clear" w:color="auto" w:fill="F8FAFC"/>
            <w:tcMar>
              <w:top w:w="60" w:type="dxa"/>
              <w:left w:w="50" w:type="dxa"/>
              <w:bottom w:w="60" w:type="dxa"/>
              <w:right w:w="50" w:type="dxa"/>
            </w:tcMar>
          </w:tcPr>
          <w:p w14:paraId="5D1201E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23.5% (8)</w:t>
            </w:r>
          </w:p>
        </w:tc>
        <w:tc>
          <w:tcPr>
            <w:tcW w:w="1008" w:type="dxa"/>
            <w:shd w:val="clear" w:color="auto" w:fill="F8FAFC"/>
            <w:tcMar>
              <w:top w:w="60" w:type="dxa"/>
              <w:left w:w="50" w:type="dxa"/>
              <w:bottom w:w="60" w:type="dxa"/>
              <w:right w:w="50" w:type="dxa"/>
            </w:tcMar>
          </w:tcPr>
          <w:p w14:paraId="16DEC57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0.071</w:t>
            </w:r>
          </w:p>
        </w:tc>
      </w:tr>
      <w:tr w:rsidR="00E52119" w:rsidRPr="0093616B" w14:paraId="00E3C08E" w14:textId="77777777">
        <w:trPr>
          <w:cantSplit/>
          <w:jc w:val="center"/>
        </w:trPr>
        <w:tc>
          <w:tcPr>
            <w:tcW w:w="2304" w:type="dxa"/>
            <w:shd w:val="clear" w:color="auto" w:fill="FFFFFF"/>
            <w:tcMar>
              <w:top w:w="60" w:type="dxa"/>
              <w:left w:w="50" w:type="dxa"/>
              <w:bottom w:w="60" w:type="dxa"/>
              <w:right w:w="50" w:type="dxa"/>
            </w:tcMar>
          </w:tcPr>
          <w:p w14:paraId="486C0D1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Acute Cholecystitis (%)</w:t>
            </w:r>
          </w:p>
        </w:tc>
        <w:tc>
          <w:tcPr>
            <w:tcW w:w="1440" w:type="dxa"/>
            <w:shd w:val="clear" w:color="auto" w:fill="FFFFFF"/>
            <w:tcMar>
              <w:top w:w="60" w:type="dxa"/>
              <w:left w:w="50" w:type="dxa"/>
              <w:bottom w:w="60" w:type="dxa"/>
              <w:right w:w="50" w:type="dxa"/>
            </w:tcMar>
          </w:tcPr>
          <w:p w14:paraId="743F852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56.1% (23)</w:t>
            </w:r>
          </w:p>
        </w:tc>
        <w:tc>
          <w:tcPr>
            <w:tcW w:w="1440" w:type="dxa"/>
            <w:shd w:val="clear" w:color="auto" w:fill="FFFFFF"/>
            <w:tcMar>
              <w:top w:w="60" w:type="dxa"/>
              <w:left w:w="50" w:type="dxa"/>
              <w:bottom w:w="60" w:type="dxa"/>
              <w:right w:w="50" w:type="dxa"/>
            </w:tcMar>
          </w:tcPr>
          <w:p w14:paraId="43E4C3F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36.1% (22)</w:t>
            </w:r>
          </w:p>
        </w:tc>
        <w:tc>
          <w:tcPr>
            <w:tcW w:w="1008" w:type="dxa"/>
            <w:shd w:val="clear" w:color="auto" w:fill="FFFFFF"/>
            <w:tcMar>
              <w:top w:w="60" w:type="dxa"/>
              <w:left w:w="50" w:type="dxa"/>
              <w:bottom w:w="60" w:type="dxa"/>
              <w:right w:w="50" w:type="dxa"/>
            </w:tcMar>
          </w:tcPr>
          <w:p w14:paraId="3A3E088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0.408</w:t>
            </w:r>
          </w:p>
        </w:tc>
        <w:tc>
          <w:tcPr>
            <w:tcW w:w="1440" w:type="dxa"/>
            <w:shd w:val="clear" w:color="auto" w:fill="FFFFFF"/>
            <w:tcMar>
              <w:top w:w="60" w:type="dxa"/>
              <w:left w:w="50" w:type="dxa"/>
              <w:bottom w:w="60" w:type="dxa"/>
              <w:right w:w="50" w:type="dxa"/>
            </w:tcMar>
          </w:tcPr>
          <w:p w14:paraId="78DA3FA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41.2% (14)</w:t>
            </w:r>
          </w:p>
        </w:tc>
        <w:tc>
          <w:tcPr>
            <w:tcW w:w="1440" w:type="dxa"/>
            <w:shd w:val="clear" w:color="auto" w:fill="FFFFFF"/>
            <w:tcMar>
              <w:top w:w="60" w:type="dxa"/>
              <w:left w:w="50" w:type="dxa"/>
              <w:bottom w:w="60" w:type="dxa"/>
              <w:right w:w="50" w:type="dxa"/>
            </w:tcMar>
          </w:tcPr>
          <w:p w14:paraId="67C8688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44.1% (15)</w:t>
            </w:r>
          </w:p>
        </w:tc>
        <w:tc>
          <w:tcPr>
            <w:tcW w:w="1008" w:type="dxa"/>
            <w:shd w:val="clear" w:color="auto" w:fill="FFFFFF"/>
            <w:tcMar>
              <w:top w:w="60" w:type="dxa"/>
              <w:left w:w="50" w:type="dxa"/>
              <w:bottom w:w="60" w:type="dxa"/>
              <w:right w:w="50" w:type="dxa"/>
            </w:tcMar>
          </w:tcPr>
          <w:p w14:paraId="0E5F80F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0.059</w:t>
            </w:r>
          </w:p>
        </w:tc>
      </w:tr>
      <w:tr w:rsidR="00E52119" w:rsidRPr="0093616B" w14:paraId="0985E511" w14:textId="77777777">
        <w:trPr>
          <w:cantSplit/>
          <w:jc w:val="center"/>
        </w:trPr>
        <w:tc>
          <w:tcPr>
            <w:tcW w:w="2304" w:type="dxa"/>
            <w:shd w:val="clear" w:color="auto" w:fill="F8FAFC"/>
            <w:tcMar>
              <w:top w:w="60" w:type="dxa"/>
              <w:left w:w="50" w:type="dxa"/>
              <w:bottom w:w="60" w:type="dxa"/>
              <w:right w:w="50" w:type="dxa"/>
            </w:tcMar>
          </w:tcPr>
          <w:p w14:paraId="3C5EB0D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Difficult Anatomy (%)</w:t>
            </w:r>
          </w:p>
        </w:tc>
        <w:tc>
          <w:tcPr>
            <w:tcW w:w="1440" w:type="dxa"/>
            <w:shd w:val="clear" w:color="auto" w:fill="F8FAFC"/>
            <w:tcMar>
              <w:top w:w="60" w:type="dxa"/>
              <w:left w:w="50" w:type="dxa"/>
              <w:bottom w:w="60" w:type="dxa"/>
              <w:right w:w="50" w:type="dxa"/>
            </w:tcMar>
          </w:tcPr>
          <w:p w14:paraId="17B4381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48.8% (20)</w:t>
            </w:r>
          </w:p>
        </w:tc>
        <w:tc>
          <w:tcPr>
            <w:tcW w:w="1440" w:type="dxa"/>
            <w:shd w:val="clear" w:color="auto" w:fill="F8FAFC"/>
            <w:tcMar>
              <w:top w:w="60" w:type="dxa"/>
              <w:left w:w="50" w:type="dxa"/>
              <w:bottom w:w="60" w:type="dxa"/>
              <w:right w:w="50" w:type="dxa"/>
            </w:tcMar>
          </w:tcPr>
          <w:p w14:paraId="77D806C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24.6% (15)</w:t>
            </w:r>
          </w:p>
        </w:tc>
        <w:tc>
          <w:tcPr>
            <w:tcW w:w="1008" w:type="dxa"/>
            <w:shd w:val="clear" w:color="auto" w:fill="F8FAFC"/>
            <w:tcMar>
              <w:top w:w="60" w:type="dxa"/>
              <w:left w:w="50" w:type="dxa"/>
              <w:bottom w:w="60" w:type="dxa"/>
              <w:right w:w="50" w:type="dxa"/>
            </w:tcMar>
          </w:tcPr>
          <w:p w14:paraId="3588938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0.518</w:t>
            </w:r>
          </w:p>
        </w:tc>
        <w:tc>
          <w:tcPr>
            <w:tcW w:w="1440" w:type="dxa"/>
            <w:shd w:val="clear" w:color="auto" w:fill="F8FAFC"/>
            <w:tcMar>
              <w:top w:w="60" w:type="dxa"/>
              <w:left w:w="50" w:type="dxa"/>
              <w:bottom w:w="60" w:type="dxa"/>
              <w:right w:w="50" w:type="dxa"/>
            </w:tcMar>
          </w:tcPr>
          <w:p w14:paraId="539155E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29.4% (10)</w:t>
            </w:r>
          </w:p>
        </w:tc>
        <w:tc>
          <w:tcPr>
            <w:tcW w:w="1440" w:type="dxa"/>
            <w:shd w:val="clear" w:color="auto" w:fill="F8FAFC"/>
            <w:tcMar>
              <w:top w:w="60" w:type="dxa"/>
              <w:left w:w="50" w:type="dxa"/>
              <w:bottom w:w="60" w:type="dxa"/>
              <w:right w:w="50" w:type="dxa"/>
            </w:tcMar>
          </w:tcPr>
          <w:p w14:paraId="099A267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32.4% (11)</w:t>
            </w:r>
          </w:p>
        </w:tc>
        <w:tc>
          <w:tcPr>
            <w:tcW w:w="1008" w:type="dxa"/>
            <w:shd w:val="clear" w:color="auto" w:fill="F8FAFC"/>
            <w:tcMar>
              <w:top w:w="60" w:type="dxa"/>
              <w:left w:w="50" w:type="dxa"/>
              <w:bottom w:w="60" w:type="dxa"/>
              <w:right w:w="50" w:type="dxa"/>
            </w:tcMar>
          </w:tcPr>
          <w:p w14:paraId="79C1592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0.065</w:t>
            </w:r>
          </w:p>
        </w:tc>
      </w:tr>
      <w:tr w:rsidR="00E52119" w:rsidRPr="0093616B" w14:paraId="397A19ED" w14:textId="77777777">
        <w:trPr>
          <w:cantSplit/>
          <w:jc w:val="center"/>
        </w:trPr>
        <w:tc>
          <w:tcPr>
            <w:tcW w:w="2304" w:type="dxa"/>
            <w:shd w:val="clear" w:color="auto" w:fill="FFFFFF"/>
            <w:tcMar>
              <w:top w:w="60" w:type="dxa"/>
              <w:left w:w="50" w:type="dxa"/>
              <w:bottom w:w="60" w:type="dxa"/>
              <w:right w:w="50" w:type="dxa"/>
            </w:tcMar>
          </w:tcPr>
          <w:p w14:paraId="70B1842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Strasberg Type E (%)</w:t>
            </w:r>
          </w:p>
        </w:tc>
        <w:tc>
          <w:tcPr>
            <w:tcW w:w="1440" w:type="dxa"/>
            <w:shd w:val="clear" w:color="auto" w:fill="FFFFFF"/>
            <w:tcMar>
              <w:top w:w="60" w:type="dxa"/>
              <w:left w:w="50" w:type="dxa"/>
              <w:bottom w:w="60" w:type="dxa"/>
              <w:right w:w="50" w:type="dxa"/>
            </w:tcMar>
          </w:tcPr>
          <w:p w14:paraId="6526E6B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43.9% (18)</w:t>
            </w:r>
          </w:p>
        </w:tc>
        <w:tc>
          <w:tcPr>
            <w:tcW w:w="1440" w:type="dxa"/>
            <w:shd w:val="clear" w:color="auto" w:fill="FFFFFF"/>
            <w:tcMar>
              <w:top w:w="60" w:type="dxa"/>
              <w:left w:w="50" w:type="dxa"/>
              <w:bottom w:w="60" w:type="dxa"/>
              <w:right w:w="50" w:type="dxa"/>
            </w:tcMar>
          </w:tcPr>
          <w:p w14:paraId="206DD6B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14.8% (9)</w:t>
            </w:r>
          </w:p>
        </w:tc>
        <w:tc>
          <w:tcPr>
            <w:tcW w:w="1008" w:type="dxa"/>
            <w:shd w:val="clear" w:color="auto" w:fill="FFFFFF"/>
            <w:tcMar>
              <w:top w:w="60" w:type="dxa"/>
              <w:left w:w="50" w:type="dxa"/>
              <w:bottom w:w="60" w:type="dxa"/>
              <w:right w:w="50" w:type="dxa"/>
            </w:tcMar>
          </w:tcPr>
          <w:p w14:paraId="30D31B5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0.669</w:t>
            </w:r>
          </w:p>
        </w:tc>
        <w:tc>
          <w:tcPr>
            <w:tcW w:w="1440" w:type="dxa"/>
            <w:shd w:val="clear" w:color="auto" w:fill="FFFFFF"/>
            <w:tcMar>
              <w:top w:w="60" w:type="dxa"/>
              <w:left w:w="50" w:type="dxa"/>
              <w:bottom w:w="60" w:type="dxa"/>
              <w:right w:w="50" w:type="dxa"/>
            </w:tcMar>
          </w:tcPr>
          <w:p w14:paraId="2DCC07C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20.6% (7)</w:t>
            </w:r>
          </w:p>
        </w:tc>
        <w:tc>
          <w:tcPr>
            <w:tcW w:w="1440" w:type="dxa"/>
            <w:shd w:val="clear" w:color="auto" w:fill="FFFFFF"/>
            <w:tcMar>
              <w:top w:w="60" w:type="dxa"/>
              <w:left w:w="50" w:type="dxa"/>
              <w:bottom w:w="60" w:type="dxa"/>
              <w:right w:w="50" w:type="dxa"/>
            </w:tcMar>
          </w:tcPr>
          <w:p w14:paraId="075277B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23.5% (8)</w:t>
            </w:r>
          </w:p>
        </w:tc>
        <w:tc>
          <w:tcPr>
            <w:tcW w:w="1008" w:type="dxa"/>
            <w:shd w:val="clear" w:color="auto" w:fill="FFFFFF"/>
            <w:tcMar>
              <w:top w:w="60" w:type="dxa"/>
              <w:left w:w="50" w:type="dxa"/>
              <w:bottom w:w="60" w:type="dxa"/>
              <w:right w:w="50" w:type="dxa"/>
            </w:tcMar>
          </w:tcPr>
          <w:p w14:paraId="01C68F7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0.071</w:t>
            </w:r>
          </w:p>
        </w:tc>
      </w:tr>
    </w:tbl>
    <w:p w14:paraId="1C416933" w14:textId="77777777" w:rsidR="00E52119" w:rsidRPr="0093616B" w:rsidRDefault="00E52119" w:rsidP="0093616B">
      <w:pPr>
        <w:spacing w:after="80"/>
        <w:jc w:val="both"/>
        <w:rPr>
          <w:rFonts w:ascii="Times New Roman" w:hAnsi="Times New Roman" w:cs="Times New Roman"/>
        </w:rPr>
      </w:pPr>
    </w:p>
    <w:p w14:paraId="146D9AAD"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lastRenderedPageBreak/>
        <w:t>Supplementary Table S3: Inverse Probability of Treatment Weighting (IPTW) Adjusted Outcome Estimates (Full Cohort, n=102)</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3600"/>
        <w:gridCol w:w="2160"/>
        <w:gridCol w:w="3168"/>
        <w:gridCol w:w="1152"/>
      </w:tblGrid>
      <w:tr w:rsidR="00E52119" w:rsidRPr="0093616B" w14:paraId="6462E9F4" w14:textId="77777777">
        <w:trPr>
          <w:cantSplit/>
          <w:tblHeader/>
          <w:jc w:val="center"/>
        </w:trPr>
        <w:tc>
          <w:tcPr>
            <w:tcW w:w="3600" w:type="dxa"/>
            <w:shd w:val="clear" w:color="auto" w:fill="1B365D"/>
            <w:tcMar>
              <w:top w:w="80" w:type="dxa"/>
              <w:left w:w="80" w:type="dxa"/>
              <w:bottom w:w="80" w:type="dxa"/>
              <w:right w:w="80" w:type="dxa"/>
            </w:tcMar>
          </w:tcPr>
          <w:p w14:paraId="4BD3ADD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Outcome Measure</w:t>
            </w:r>
          </w:p>
        </w:tc>
        <w:tc>
          <w:tcPr>
            <w:tcW w:w="2160" w:type="dxa"/>
            <w:shd w:val="clear" w:color="auto" w:fill="1B365D"/>
            <w:tcMar>
              <w:top w:w="80" w:type="dxa"/>
              <w:left w:w="80" w:type="dxa"/>
              <w:bottom w:w="80" w:type="dxa"/>
              <w:right w:w="80" w:type="dxa"/>
            </w:tcMar>
          </w:tcPr>
          <w:p w14:paraId="12C03C5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Unadjusted OR / Diff</w:t>
            </w:r>
          </w:p>
        </w:tc>
        <w:tc>
          <w:tcPr>
            <w:tcW w:w="3168" w:type="dxa"/>
            <w:shd w:val="clear" w:color="auto" w:fill="1B365D"/>
            <w:tcMar>
              <w:top w:w="80" w:type="dxa"/>
              <w:left w:w="80" w:type="dxa"/>
              <w:bottom w:w="80" w:type="dxa"/>
              <w:right w:w="80" w:type="dxa"/>
            </w:tcMar>
          </w:tcPr>
          <w:p w14:paraId="73D884E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IPTW Weighted Estimate (95% CI)</w:t>
            </w:r>
          </w:p>
        </w:tc>
        <w:tc>
          <w:tcPr>
            <w:tcW w:w="1152" w:type="dxa"/>
            <w:shd w:val="clear" w:color="auto" w:fill="1B365D"/>
            <w:tcMar>
              <w:top w:w="80" w:type="dxa"/>
              <w:left w:w="80" w:type="dxa"/>
              <w:bottom w:w="80" w:type="dxa"/>
              <w:right w:w="80" w:type="dxa"/>
            </w:tcMar>
          </w:tcPr>
          <w:p w14:paraId="546FE9A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IPTW p-value</w:t>
            </w:r>
          </w:p>
        </w:tc>
      </w:tr>
      <w:tr w:rsidR="00E52119" w:rsidRPr="0093616B" w14:paraId="069F74AA" w14:textId="77777777">
        <w:trPr>
          <w:cantSplit/>
          <w:jc w:val="center"/>
        </w:trPr>
        <w:tc>
          <w:tcPr>
            <w:tcW w:w="3600" w:type="dxa"/>
            <w:shd w:val="clear" w:color="auto" w:fill="F8FAFC"/>
            <w:tcMar>
              <w:top w:w="80" w:type="dxa"/>
              <w:left w:w="80" w:type="dxa"/>
              <w:bottom w:w="80" w:type="dxa"/>
              <w:right w:w="80" w:type="dxa"/>
            </w:tcMar>
          </w:tcPr>
          <w:p w14:paraId="41B62A6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30-Day Major Morbidity (CD III-V)</w:t>
            </w:r>
          </w:p>
        </w:tc>
        <w:tc>
          <w:tcPr>
            <w:tcW w:w="2160" w:type="dxa"/>
            <w:shd w:val="clear" w:color="auto" w:fill="F8FAFC"/>
            <w:tcMar>
              <w:top w:w="80" w:type="dxa"/>
              <w:left w:w="80" w:type="dxa"/>
              <w:bottom w:w="80" w:type="dxa"/>
              <w:right w:w="80" w:type="dxa"/>
            </w:tcMar>
          </w:tcPr>
          <w:p w14:paraId="0484A4E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0.38 (0.16 to 0.91)</w:t>
            </w:r>
          </w:p>
        </w:tc>
        <w:tc>
          <w:tcPr>
            <w:tcW w:w="3168" w:type="dxa"/>
            <w:shd w:val="clear" w:color="auto" w:fill="F8FAFC"/>
            <w:tcMar>
              <w:top w:w="80" w:type="dxa"/>
              <w:left w:w="80" w:type="dxa"/>
              <w:bottom w:w="80" w:type="dxa"/>
              <w:right w:w="80" w:type="dxa"/>
            </w:tcMar>
          </w:tcPr>
          <w:p w14:paraId="6FB8023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Weighted OR = 0.41 (0.18 to 0.94)</w:t>
            </w:r>
          </w:p>
        </w:tc>
        <w:tc>
          <w:tcPr>
            <w:tcW w:w="1152" w:type="dxa"/>
            <w:shd w:val="clear" w:color="auto" w:fill="F8FAFC"/>
            <w:tcMar>
              <w:top w:w="80" w:type="dxa"/>
              <w:left w:w="80" w:type="dxa"/>
              <w:bottom w:w="80" w:type="dxa"/>
              <w:right w:w="80" w:type="dxa"/>
            </w:tcMar>
          </w:tcPr>
          <w:p w14:paraId="013919C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0.035</w:t>
            </w:r>
          </w:p>
        </w:tc>
      </w:tr>
      <w:tr w:rsidR="00E52119" w:rsidRPr="0093616B" w14:paraId="55C00B92" w14:textId="77777777">
        <w:trPr>
          <w:cantSplit/>
          <w:jc w:val="center"/>
        </w:trPr>
        <w:tc>
          <w:tcPr>
            <w:tcW w:w="3600" w:type="dxa"/>
            <w:shd w:val="clear" w:color="auto" w:fill="FFFFFF"/>
            <w:tcMar>
              <w:top w:w="80" w:type="dxa"/>
              <w:left w:w="80" w:type="dxa"/>
              <w:bottom w:w="80" w:type="dxa"/>
              <w:right w:w="80" w:type="dxa"/>
            </w:tcMar>
          </w:tcPr>
          <w:p w14:paraId="2E4B512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Biliary Stricture Formation</w:t>
            </w:r>
          </w:p>
        </w:tc>
        <w:tc>
          <w:tcPr>
            <w:tcW w:w="2160" w:type="dxa"/>
            <w:shd w:val="clear" w:color="auto" w:fill="FFFFFF"/>
            <w:tcMar>
              <w:top w:w="80" w:type="dxa"/>
              <w:left w:w="80" w:type="dxa"/>
              <w:bottom w:w="80" w:type="dxa"/>
              <w:right w:w="80" w:type="dxa"/>
            </w:tcMar>
          </w:tcPr>
          <w:p w14:paraId="1A75681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0.36 (0.15 to 0.86)</w:t>
            </w:r>
          </w:p>
        </w:tc>
        <w:tc>
          <w:tcPr>
            <w:tcW w:w="3168" w:type="dxa"/>
            <w:shd w:val="clear" w:color="auto" w:fill="FFFFFF"/>
            <w:tcMar>
              <w:top w:w="80" w:type="dxa"/>
              <w:left w:w="80" w:type="dxa"/>
              <w:bottom w:w="80" w:type="dxa"/>
              <w:right w:w="80" w:type="dxa"/>
            </w:tcMar>
          </w:tcPr>
          <w:p w14:paraId="2527453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Weighted OR = 0.35 (0.14 to 0.85)</w:t>
            </w:r>
          </w:p>
        </w:tc>
        <w:tc>
          <w:tcPr>
            <w:tcW w:w="1152" w:type="dxa"/>
            <w:shd w:val="clear" w:color="auto" w:fill="FFFFFF"/>
            <w:tcMar>
              <w:top w:w="80" w:type="dxa"/>
              <w:left w:w="80" w:type="dxa"/>
              <w:bottom w:w="80" w:type="dxa"/>
              <w:right w:w="80" w:type="dxa"/>
            </w:tcMar>
          </w:tcPr>
          <w:p w14:paraId="6E97EF3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0.021</w:t>
            </w:r>
          </w:p>
        </w:tc>
      </w:tr>
      <w:tr w:rsidR="00E52119" w:rsidRPr="0093616B" w14:paraId="3B47293C" w14:textId="77777777">
        <w:trPr>
          <w:cantSplit/>
          <w:jc w:val="center"/>
        </w:trPr>
        <w:tc>
          <w:tcPr>
            <w:tcW w:w="3600" w:type="dxa"/>
            <w:shd w:val="clear" w:color="auto" w:fill="F8FAFC"/>
            <w:tcMar>
              <w:top w:w="80" w:type="dxa"/>
              <w:left w:w="80" w:type="dxa"/>
              <w:bottom w:w="80" w:type="dxa"/>
              <w:right w:w="80" w:type="dxa"/>
            </w:tcMar>
          </w:tcPr>
          <w:p w14:paraId="4388BD5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Hospital Length of Stay (days)</w:t>
            </w:r>
          </w:p>
        </w:tc>
        <w:tc>
          <w:tcPr>
            <w:tcW w:w="2160" w:type="dxa"/>
            <w:shd w:val="clear" w:color="auto" w:fill="F8FAFC"/>
            <w:tcMar>
              <w:top w:w="80" w:type="dxa"/>
              <w:left w:w="80" w:type="dxa"/>
              <w:bottom w:w="80" w:type="dxa"/>
              <w:right w:w="80" w:type="dxa"/>
            </w:tcMar>
          </w:tcPr>
          <w:p w14:paraId="6FD3F87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-5.0 (-7.5 to -2.5)</w:t>
            </w:r>
          </w:p>
        </w:tc>
        <w:tc>
          <w:tcPr>
            <w:tcW w:w="3168" w:type="dxa"/>
            <w:shd w:val="clear" w:color="auto" w:fill="F8FAFC"/>
            <w:tcMar>
              <w:top w:w="80" w:type="dxa"/>
              <w:left w:w="80" w:type="dxa"/>
              <w:bottom w:w="80" w:type="dxa"/>
              <w:right w:w="80" w:type="dxa"/>
            </w:tcMar>
          </w:tcPr>
          <w:p w14:paraId="31EFA28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Weighted Mean Diff = -4.8 days (-7.1 to -2.4)</w:t>
            </w:r>
          </w:p>
        </w:tc>
        <w:tc>
          <w:tcPr>
            <w:tcW w:w="1152" w:type="dxa"/>
            <w:shd w:val="clear" w:color="auto" w:fill="F8FAFC"/>
            <w:tcMar>
              <w:top w:w="80" w:type="dxa"/>
              <w:left w:w="80" w:type="dxa"/>
              <w:bottom w:w="80" w:type="dxa"/>
              <w:right w:w="80" w:type="dxa"/>
            </w:tcMar>
          </w:tcPr>
          <w:p w14:paraId="513A0E6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&lt;0.001</w:t>
            </w:r>
          </w:p>
        </w:tc>
      </w:tr>
      <w:tr w:rsidR="00E52119" w:rsidRPr="0093616B" w14:paraId="413D2D90" w14:textId="77777777">
        <w:trPr>
          <w:cantSplit/>
          <w:jc w:val="center"/>
        </w:trPr>
        <w:tc>
          <w:tcPr>
            <w:tcW w:w="3600" w:type="dxa"/>
            <w:shd w:val="clear" w:color="auto" w:fill="FFFFFF"/>
            <w:tcMar>
              <w:top w:w="80" w:type="dxa"/>
              <w:left w:w="80" w:type="dxa"/>
              <w:bottom w:w="80" w:type="dxa"/>
              <w:right w:w="80" w:type="dxa"/>
            </w:tcMar>
          </w:tcPr>
          <w:p w14:paraId="3405B5E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Time to Bile Leak Resolution (days)</w:t>
            </w:r>
          </w:p>
        </w:tc>
        <w:tc>
          <w:tcPr>
            <w:tcW w:w="2160" w:type="dxa"/>
            <w:shd w:val="clear" w:color="auto" w:fill="FFFFFF"/>
            <w:tcMar>
              <w:top w:w="80" w:type="dxa"/>
              <w:left w:w="80" w:type="dxa"/>
              <w:bottom w:w="80" w:type="dxa"/>
              <w:right w:w="80" w:type="dxa"/>
            </w:tcMar>
          </w:tcPr>
          <w:p w14:paraId="5A1FD68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-9.0 (-13.0 to -5.0)</w:t>
            </w:r>
          </w:p>
        </w:tc>
        <w:tc>
          <w:tcPr>
            <w:tcW w:w="3168" w:type="dxa"/>
            <w:shd w:val="clear" w:color="auto" w:fill="FFFFFF"/>
            <w:tcMar>
              <w:top w:w="80" w:type="dxa"/>
              <w:left w:w="80" w:type="dxa"/>
              <w:bottom w:w="80" w:type="dxa"/>
              <w:right w:w="80" w:type="dxa"/>
            </w:tcMar>
          </w:tcPr>
          <w:p w14:paraId="1275C5B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Weighted Mean Diff = -8.5 days (-12.2 to -4.8)</w:t>
            </w:r>
          </w:p>
        </w:tc>
        <w:tc>
          <w:tcPr>
            <w:tcW w:w="1152" w:type="dxa"/>
            <w:shd w:val="clear" w:color="auto" w:fill="FFFFFF"/>
            <w:tcMar>
              <w:top w:w="80" w:type="dxa"/>
              <w:left w:w="80" w:type="dxa"/>
              <w:bottom w:w="80" w:type="dxa"/>
              <w:right w:w="80" w:type="dxa"/>
            </w:tcMar>
          </w:tcPr>
          <w:p w14:paraId="4B2E108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&lt;0.001</w:t>
            </w:r>
          </w:p>
        </w:tc>
      </w:tr>
    </w:tbl>
    <w:p w14:paraId="6309C653" w14:textId="77777777" w:rsidR="00E52119" w:rsidRPr="0093616B" w:rsidRDefault="00E52119" w:rsidP="0093616B">
      <w:pPr>
        <w:spacing w:after="80"/>
        <w:jc w:val="both"/>
        <w:rPr>
          <w:rFonts w:ascii="Times New Roman" w:hAnsi="Times New Roman" w:cs="Times New Roman"/>
        </w:rPr>
      </w:pPr>
    </w:p>
    <w:p w14:paraId="090A5644"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Table S4: Temporal Trend Analysis (Recent Era 2018–2024 vs. Historic Era 2010–2017)</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3168"/>
        <w:gridCol w:w="1872"/>
        <w:gridCol w:w="1872"/>
        <w:gridCol w:w="2304"/>
        <w:gridCol w:w="864"/>
      </w:tblGrid>
      <w:tr w:rsidR="00E52119" w:rsidRPr="0093616B" w14:paraId="1A526EA8" w14:textId="77777777">
        <w:trPr>
          <w:cantSplit/>
          <w:tblHeader/>
          <w:jc w:val="center"/>
        </w:trPr>
        <w:tc>
          <w:tcPr>
            <w:tcW w:w="3168" w:type="dxa"/>
            <w:shd w:val="clear" w:color="auto" w:fill="1B365D"/>
            <w:tcMar>
              <w:top w:w="80" w:type="dxa"/>
              <w:left w:w="80" w:type="dxa"/>
              <w:bottom w:w="80" w:type="dxa"/>
              <w:right w:w="80" w:type="dxa"/>
            </w:tcMar>
          </w:tcPr>
          <w:p w14:paraId="6C9C28B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Parameter / Outcome</w:t>
            </w:r>
          </w:p>
        </w:tc>
        <w:tc>
          <w:tcPr>
            <w:tcW w:w="1872" w:type="dxa"/>
            <w:shd w:val="clear" w:color="auto" w:fill="1B365D"/>
            <w:tcMar>
              <w:top w:w="80" w:type="dxa"/>
              <w:left w:w="80" w:type="dxa"/>
              <w:bottom w:w="80" w:type="dxa"/>
              <w:right w:w="80" w:type="dxa"/>
            </w:tcMar>
          </w:tcPr>
          <w:p w14:paraId="3DD2252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Historic Era (2010–2017, n=52)</w:t>
            </w:r>
          </w:p>
        </w:tc>
        <w:tc>
          <w:tcPr>
            <w:tcW w:w="1872" w:type="dxa"/>
            <w:shd w:val="clear" w:color="auto" w:fill="1B365D"/>
            <w:tcMar>
              <w:top w:w="80" w:type="dxa"/>
              <w:left w:w="80" w:type="dxa"/>
              <w:bottom w:w="80" w:type="dxa"/>
              <w:right w:w="80" w:type="dxa"/>
            </w:tcMar>
          </w:tcPr>
          <w:p w14:paraId="41E7558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Recent Era (2018–2024, n=50)</w:t>
            </w:r>
          </w:p>
        </w:tc>
        <w:tc>
          <w:tcPr>
            <w:tcW w:w="2304" w:type="dxa"/>
            <w:shd w:val="clear" w:color="auto" w:fill="1B365D"/>
            <w:tcMar>
              <w:top w:w="80" w:type="dxa"/>
              <w:left w:w="80" w:type="dxa"/>
              <w:bottom w:w="80" w:type="dxa"/>
              <w:right w:w="80" w:type="dxa"/>
            </w:tcMar>
          </w:tcPr>
          <w:p w14:paraId="62C9F80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Difference / OR (95% CI)</w:t>
            </w:r>
          </w:p>
        </w:tc>
        <w:tc>
          <w:tcPr>
            <w:tcW w:w="864" w:type="dxa"/>
            <w:shd w:val="clear" w:color="auto" w:fill="1B365D"/>
            <w:tcMar>
              <w:top w:w="80" w:type="dxa"/>
              <w:left w:w="80" w:type="dxa"/>
              <w:bottom w:w="80" w:type="dxa"/>
              <w:right w:w="80" w:type="dxa"/>
            </w:tcMar>
          </w:tcPr>
          <w:p w14:paraId="793C533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p-value</w:t>
            </w:r>
          </w:p>
        </w:tc>
      </w:tr>
      <w:tr w:rsidR="00E52119" w:rsidRPr="0093616B" w14:paraId="626302E3" w14:textId="77777777">
        <w:trPr>
          <w:cantSplit/>
          <w:jc w:val="center"/>
        </w:trPr>
        <w:tc>
          <w:tcPr>
            <w:tcW w:w="3168" w:type="dxa"/>
            <w:shd w:val="clear" w:color="auto" w:fill="F8FAFC"/>
            <w:tcMar>
              <w:top w:w="80" w:type="dxa"/>
              <w:left w:w="80" w:type="dxa"/>
              <w:bottom w:w="80" w:type="dxa"/>
              <w:right w:w="80" w:type="dxa"/>
            </w:tcMar>
          </w:tcPr>
          <w:p w14:paraId="676BE3B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Intraoperative Detection Rate (%)</w:t>
            </w:r>
          </w:p>
        </w:tc>
        <w:tc>
          <w:tcPr>
            <w:tcW w:w="1872" w:type="dxa"/>
            <w:shd w:val="clear" w:color="auto" w:fill="F8FAFC"/>
            <w:tcMar>
              <w:top w:w="80" w:type="dxa"/>
              <w:left w:w="80" w:type="dxa"/>
              <w:bottom w:w="80" w:type="dxa"/>
              <w:right w:w="80" w:type="dxa"/>
            </w:tcMar>
          </w:tcPr>
          <w:p w14:paraId="310AF42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32.7% (17/52)</w:t>
            </w:r>
          </w:p>
        </w:tc>
        <w:tc>
          <w:tcPr>
            <w:tcW w:w="1872" w:type="dxa"/>
            <w:shd w:val="clear" w:color="auto" w:fill="F8FAFC"/>
            <w:tcMar>
              <w:top w:w="80" w:type="dxa"/>
              <w:left w:w="80" w:type="dxa"/>
              <w:bottom w:w="80" w:type="dxa"/>
              <w:right w:w="80" w:type="dxa"/>
            </w:tcMar>
          </w:tcPr>
          <w:p w14:paraId="0C44BFB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48.0% (24/50)</w:t>
            </w:r>
          </w:p>
        </w:tc>
        <w:tc>
          <w:tcPr>
            <w:tcW w:w="2304" w:type="dxa"/>
            <w:shd w:val="clear" w:color="auto" w:fill="F8FAFC"/>
            <w:tcMar>
              <w:top w:w="80" w:type="dxa"/>
              <w:left w:w="80" w:type="dxa"/>
              <w:bottom w:w="80" w:type="dxa"/>
              <w:right w:w="80" w:type="dxa"/>
            </w:tcMar>
          </w:tcPr>
          <w:p w14:paraId="447B1FD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+15.3% (-3.2% to 33.8%)</w:t>
            </w:r>
          </w:p>
        </w:tc>
        <w:tc>
          <w:tcPr>
            <w:tcW w:w="864" w:type="dxa"/>
            <w:shd w:val="clear" w:color="auto" w:fill="F8FAFC"/>
            <w:tcMar>
              <w:top w:w="80" w:type="dxa"/>
              <w:left w:w="80" w:type="dxa"/>
              <w:bottom w:w="80" w:type="dxa"/>
              <w:right w:w="80" w:type="dxa"/>
            </w:tcMar>
          </w:tcPr>
          <w:p w14:paraId="4280CDC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0.114</w:t>
            </w:r>
          </w:p>
        </w:tc>
      </w:tr>
      <w:tr w:rsidR="00E52119" w:rsidRPr="0093616B" w14:paraId="004C41FC" w14:textId="77777777">
        <w:trPr>
          <w:cantSplit/>
          <w:jc w:val="center"/>
        </w:trPr>
        <w:tc>
          <w:tcPr>
            <w:tcW w:w="3168" w:type="dxa"/>
            <w:shd w:val="clear" w:color="auto" w:fill="FFFFFF"/>
            <w:tcMar>
              <w:top w:w="80" w:type="dxa"/>
              <w:left w:w="80" w:type="dxa"/>
              <w:bottom w:w="80" w:type="dxa"/>
              <w:right w:w="80" w:type="dxa"/>
            </w:tcMar>
          </w:tcPr>
          <w:p w14:paraId="0B72B62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Primary Roux-en-Y Reconstruction (%)</w:t>
            </w:r>
          </w:p>
        </w:tc>
        <w:tc>
          <w:tcPr>
            <w:tcW w:w="1872" w:type="dxa"/>
            <w:shd w:val="clear" w:color="auto" w:fill="FFFFFF"/>
            <w:tcMar>
              <w:top w:w="80" w:type="dxa"/>
              <w:left w:w="80" w:type="dxa"/>
              <w:bottom w:w="80" w:type="dxa"/>
              <w:right w:w="80" w:type="dxa"/>
            </w:tcMar>
          </w:tcPr>
          <w:p w14:paraId="4AC1C68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53.8% (28/52)</w:t>
            </w:r>
          </w:p>
        </w:tc>
        <w:tc>
          <w:tcPr>
            <w:tcW w:w="1872" w:type="dxa"/>
            <w:shd w:val="clear" w:color="auto" w:fill="FFFFFF"/>
            <w:tcMar>
              <w:top w:w="80" w:type="dxa"/>
              <w:left w:w="80" w:type="dxa"/>
              <w:bottom w:w="80" w:type="dxa"/>
              <w:right w:w="80" w:type="dxa"/>
            </w:tcMar>
          </w:tcPr>
          <w:p w14:paraId="06EA589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72.0% (36/50)</w:t>
            </w:r>
          </w:p>
        </w:tc>
        <w:tc>
          <w:tcPr>
            <w:tcW w:w="2304" w:type="dxa"/>
            <w:shd w:val="clear" w:color="auto" w:fill="FFFFFF"/>
            <w:tcMar>
              <w:top w:w="80" w:type="dxa"/>
              <w:left w:w="80" w:type="dxa"/>
              <w:bottom w:w="80" w:type="dxa"/>
              <w:right w:w="80" w:type="dxa"/>
            </w:tcMar>
          </w:tcPr>
          <w:p w14:paraId="6755D5D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OR = 2.20 (0.97 to 5.01)</w:t>
            </w:r>
          </w:p>
        </w:tc>
        <w:tc>
          <w:tcPr>
            <w:tcW w:w="864" w:type="dxa"/>
            <w:shd w:val="clear" w:color="auto" w:fill="FFFFFF"/>
            <w:tcMar>
              <w:top w:w="80" w:type="dxa"/>
              <w:left w:w="80" w:type="dxa"/>
              <w:bottom w:w="80" w:type="dxa"/>
              <w:right w:w="80" w:type="dxa"/>
            </w:tcMar>
          </w:tcPr>
          <w:p w14:paraId="62F8DD3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0.058</w:t>
            </w:r>
          </w:p>
        </w:tc>
      </w:tr>
      <w:tr w:rsidR="00E52119" w:rsidRPr="0093616B" w14:paraId="47464BFC" w14:textId="77777777">
        <w:trPr>
          <w:cantSplit/>
          <w:jc w:val="center"/>
        </w:trPr>
        <w:tc>
          <w:tcPr>
            <w:tcW w:w="3168" w:type="dxa"/>
            <w:shd w:val="clear" w:color="auto" w:fill="F8FAFC"/>
            <w:tcMar>
              <w:top w:w="80" w:type="dxa"/>
              <w:left w:w="80" w:type="dxa"/>
              <w:bottom w:w="80" w:type="dxa"/>
              <w:right w:w="80" w:type="dxa"/>
            </w:tcMar>
          </w:tcPr>
          <w:p w14:paraId="088C055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30-Day Major Morbidity Rate (%)</w:t>
            </w:r>
          </w:p>
        </w:tc>
        <w:tc>
          <w:tcPr>
            <w:tcW w:w="1872" w:type="dxa"/>
            <w:shd w:val="clear" w:color="auto" w:fill="F8FAFC"/>
            <w:tcMar>
              <w:top w:w="80" w:type="dxa"/>
              <w:left w:w="80" w:type="dxa"/>
              <w:bottom w:w="80" w:type="dxa"/>
              <w:right w:w="80" w:type="dxa"/>
            </w:tcMar>
          </w:tcPr>
          <w:p w14:paraId="7EB5953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34.6% (18/52)</w:t>
            </w:r>
          </w:p>
        </w:tc>
        <w:tc>
          <w:tcPr>
            <w:tcW w:w="1872" w:type="dxa"/>
            <w:shd w:val="clear" w:color="auto" w:fill="F8FAFC"/>
            <w:tcMar>
              <w:top w:w="80" w:type="dxa"/>
              <w:left w:w="80" w:type="dxa"/>
              <w:bottom w:w="80" w:type="dxa"/>
              <w:right w:w="80" w:type="dxa"/>
            </w:tcMar>
          </w:tcPr>
          <w:p w14:paraId="1729AF6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18.0% (9/50)</w:t>
            </w:r>
          </w:p>
        </w:tc>
        <w:tc>
          <w:tcPr>
            <w:tcW w:w="2304" w:type="dxa"/>
            <w:shd w:val="clear" w:color="auto" w:fill="F8FAFC"/>
            <w:tcMar>
              <w:top w:w="80" w:type="dxa"/>
              <w:left w:w="80" w:type="dxa"/>
              <w:bottom w:w="80" w:type="dxa"/>
              <w:right w:w="80" w:type="dxa"/>
            </w:tcMar>
          </w:tcPr>
          <w:p w14:paraId="353A733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OR = 0.41 (0.16 to 1.04)</w:t>
            </w:r>
          </w:p>
        </w:tc>
        <w:tc>
          <w:tcPr>
            <w:tcW w:w="864" w:type="dxa"/>
            <w:shd w:val="clear" w:color="auto" w:fill="F8FAFC"/>
            <w:tcMar>
              <w:top w:w="80" w:type="dxa"/>
              <w:left w:w="80" w:type="dxa"/>
              <w:bottom w:w="80" w:type="dxa"/>
              <w:right w:w="80" w:type="dxa"/>
            </w:tcMar>
          </w:tcPr>
          <w:p w14:paraId="1E6296F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0.056</w:t>
            </w:r>
          </w:p>
        </w:tc>
      </w:tr>
      <w:tr w:rsidR="00E52119" w:rsidRPr="0093616B" w14:paraId="3962C994" w14:textId="77777777">
        <w:trPr>
          <w:cantSplit/>
          <w:jc w:val="center"/>
        </w:trPr>
        <w:tc>
          <w:tcPr>
            <w:tcW w:w="3168" w:type="dxa"/>
            <w:shd w:val="clear" w:color="auto" w:fill="FFFFFF"/>
            <w:tcMar>
              <w:top w:w="80" w:type="dxa"/>
              <w:left w:w="80" w:type="dxa"/>
              <w:bottom w:w="80" w:type="dxa"/>
              <w:right w:w="80" w:type="dxa"/>
            </w:tcMar>
          </w:tcPr>
          <w:p w14:paraId="6EDDDC9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Biliary Stricture Rate (%)</w:t>
            </w:r>
          </w:p>
        </w:tc>
        <w:tc>
          <w:tcPr>
            <w:tcW w:w="1872" w:type="dxa"/>
            <w:shd w:val="clear" w:color="auto" w:fill="FFFFFF"/>
            <w:tcMar>
              <w:top w:w="80" w:type="dxa"/>
              <w:left w:w="80" w:type="dxa"/>
              <w:bottom w:w="80" w:type="dxa"/>
              <w:right w:w="80" w:type="dxa"/>
            </w:tcMar>
          </w:tcPr>
          <w:p w14:paraId="5065333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46.2% (24/52)</w:t>
            </w:r>
          </w:p>
        </w:tc>
        <w:tc>
          <w:tcPr>
            <w:tcW w:w="1872" w:type="dxa"/>
            <w:shd w:val="clear" w:color="auto" w:fill="FFFFFF"/>
            <w:tcMar>
              <w:top w:w="80" w:type="dxa"/>
              <w:left w:w="80" w:type="dxa"/>
              <w:bottom w:w="80" w:type="dxa"/>
              <w:right w:w="80" w:type="dxa"/>
            </w:tcMar>
          </w:tcPr>
          <w:p w14:paraId="556BEB5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28.0% (14/50)</w:t>
            </w:r>
          </w:p>
        </w:tc>
        <w:tc>
          <w:tcPr>
            <w:tcW w:w="2304" w:type="dxa"/>
            <w:shd w:val="clear" w:color="auto" w:fill="FFFFFF"/>
            <w:tcMar>
              <w:top w:w="80" w:type="dxa"/>
              <w:left w:w="80" w:type="dxa"/>
              <w:bottom w:w="80" w:type="dxa"/>
              <w:right w:w="80" w:type="dxa"/>
            </w:tcMar>
          </w:tcPr>
          <w:p w14:paraId="2830B20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OR = 0.45 (0.19 to 1.05)</w:t>
            </w:r>
          </w:p>
        </w:tc>
        <w:tc>
          <w:tcPr>
            <w:tcW w:w="864" w:type="dxa"/>
            <w:shd w:val="clear" w:color="auto" w:fill="FFFFFF"/>
            <w:tcMar>
              <w:top w:w="80" w:type="dxa"/>
              <w:left w:w="80" w:type="dxa"/>
              <w:bottom w:w="80" w:type="dxa"/>
              <w:right w:w="80" w:type="dxa"/>
            </w:tcMar>
          </w:tcPr>
          <w:p w14:paraId="6F2A008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0.061</w:t>
            </w:r>
          </w:p>
        </w:tc>
      </w:tr>
      <w:tr w:rsidR="00E52119" w:rsidRPr="0093616B" w14:paraId="1937DCE7" w14:textId="77777777">
        <w:trPr>
          <w:cantSplit/>
          <w:jc w:val="center"/>
        </w:trPr>
        <w:tc>
          <w:tcPr>
            <w:tcW w:w="3168" w:type="dxa"/>
            <w:shd w:val="clear" w:color="auto" w:fill="F8FAFC"/>
            <w:tcMar>
              <w:top w:w="80" w:type="dxa"/>
              <w:left w:w="80" w:type="dxa"/>
              <w:bottom w:w="80" w:type="dxa"/>
              <w:right w:w="80" w:type="dxa"/>
            </w:tcMar>
          </w:tcPr>
          <w:p w14:paraId="1DDC15E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Detection Timing Effect on Strictures (aOR)</w:t>
            </w:r>
          </w:p>
        </w:tc>
        <w:tc>
          <w:tcPr>
            <w:tcW w:w="1872" w:type="dxa"/>
            <w:shd w:val="clear" w:color="auto" w:fill="F8FAFC"/>
            <w:tcMar>
              <w:top w:w="80" w:type="dxa"/>
              <w:left w:w="80" w:type="dxa"/>
              <w:bottom w:w="80" w:type="dxa"/>
              <w:right w:w="80" w:type="dxa"/>
            </w:tcMar>
          </w:tcPr>
          <w:p w14:paraId="1F40D7F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0.32 (0.10 to 0.98)</w:t>
            </w:r>
          </w:p>
        </w:tc>
        <w:tc>
          <w:tcPr>
            <w:tcW w:w="1872" w:type="dxa"/>
            <w:shd w:val="clear" w:color="auto" w:fill="F8FAFC"/>
            <w:tcMar>
              <w:top w:w="80" w:type="dxa"/>
              <w:left w:w="80" w:type="dxa"/>
              <w:bottom w:w="80" w:type="dxa"/>
              <w:right w:w="80" w:type="dxa"/>
            </w:tcMar>
          </w:tcPr>
          <w:p w14:paraId="15A92C0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0.38 (0.11 to 1.31)</w:t>
            </w:r>
          </w:p>
        </w:tc>
        <w:tc>
          <w:tcPr>
            <w:tcW w:w="2304" w:type="dxa"/>
            <w:shd w:val="clear" w:color="auto" w:fill="F8FAFC"/>
            <w:tcMar>
              <w:top w:w="80" w:type="dxa"/>
              <w:left w:w="80" w:type="dxa"/>
              <w:bottom w:w="80" w:type="dxa"/>
              <w:right w:w="80" w:type="dxa"/>
            </w:tcMar>
          </w:tcPr>
          <w:p w14:paraId="160A6BC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Interaction p = 0.812</w:t>
            </w:r>
          </w:p>
        </w:tc>
        <w:tc>
          <w:tcPr>
            <w:tcW w:w="864" w:type="dxa"/>
            <w:shd w:val="clear" w:color="auto" w:fill="F8FAFC"/>
            <w:tcMar>
              <w:top w:w="80" w:type="dxa"/>
              <w:left w:w="80" w:type="dxa"/>
              <w:bottom w:w="80" w:type="dxa"/>
              <w:right w:w="80" w:type="dxa"/>
            </w:tcMar>
          </w:tcPr>
          <w:p w14:paraId="28D547F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N/A</w:t>
            </w:r>
          </w:p>
        </w:tc>
      </w:tr>
    </w:tbl>
    <w:p w14:paraId="0F22468A" w14:textId="77777777" w:rsidR="00E52119" w:rsidRPr="0093616B" w:rsidRDefault="00E52119" w:rsidP="0093616B">
      <w:pPr>
        <w:spacing w:after="80"/>
        <w:jc w:val="both"/>
        <w:rPr>
          <w:rFonts w:ascii="Times New Roman" w:hAnsi="Times New Roman" w:cs="Times New Roman"/>
        </w:rPr>
      </w:pPr>
    </w:p>
    <w:p w14:paraId="30F8CD96"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Table S5: Health Economic Markov Model Parameters, Cost Tariffs, and 10-Year Projections</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3168"/>
        <w:gridCol w:w="2160"/>
        <w:gridCol w:w="2160"/>
        <w:gridCol w:w="2592"/>
      </w:tblGrid>
      <w:tr w:rsidR="00E52119" w:rsidRPr="0093616B" w14:paraId="0169A9F5" w14:textId="77777777">
        <w:trPr>
          <w:cantSplit/>
          <w:tblHeader/>
          <w:jc w:val="center"/>
        </w:trPr>
        <w:tc>
          <w:tcPr>
            <w:tcW w:w="3168" w:type="dxa"/>
            <w:shd w:val="clear" w:color="auto" w:fill="1B365D"/>
            <w:tcMar>
              <w:top w:w="80" w:type="dxa"/>
              <w:left w:w="80" w:type="dxa"/>
              <w:bottom w:w="80" w:type="dxa"/>
              <w:right w:w="80" w:type="dxa"/>
            </w:tcMar>
          </w:tcPr>
          <w:p w14:paraId="53F3C8D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Model Parameter / State</w:t>
            </w:r>
          </w:p>
        </w:tc>
        <w:tc>
          <w:tcPr>
            <w:tcW w:w="2160" w:type="dxa"/>
            <w:shd w:val="clear" w:color="auto" w:fill="1B365D"/>
            <w:tcMar>
              <w:top w:w="80" w:type="dxa"/>
              <w:left w:w="80" w:type="dxa"/>
              <w:bottom w:w="80" w:type="dxa"/>
              <w:right w:w="80" w:type="dxa"/>
            </w:tcMar>
          </w:tcPr>
          <w:p w14:paraId="4A6C8F4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Value / Cost Base</w:t>
            </w:r>
          </w:p>
        </w:tc>
        <w:tc>
          <w:tcPr>
            <w:tcW w:w="2160" w:type="dxa"/>
            <w:shd w:val="clear" w:color="auto" w:fill="1B365D"/>
            <w:tcMar>
              <w:top w:w="80" w:type="dxa"/>
              <w:left w:w="80" w:type="dxa"/>
              <w:bottom w:w="80" w:type="dxa"/>
              <w:right w:w="80" w:type="dxa"/>
            </w:tcMar>
          </w:tcPr>
          <w:p w14:paraId="41C2B42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Source / Distribution</w:t>
            </w:r>
          </w:p>
        </w:tc>
        <w:tc>
          <w:tcPr>
            <w:tcW w:w="2592" w:type="dxa"/>
            <w:shd w:val="clear" w:color="auto" w:fill="1B365D"/>
            <w:tcMar>
              <w:top w:w="80" w:type="dxa"/>
              <w:left w:w="80" w:type="dxa"/>
              <w:bottom w:w="80" w:type="dxa"/>
              <w:right w:w="80" w:type="dxa"/>
            </w:tcMar>
          </w:tcPr>
          <w:p w14:paraId="6586DA1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10-Year Projected Cost Impact</w:t>
            </w:r>
          </w:p>
        </w:tc>
      </w:tr>
      <w:tr w:rsidR="00E52119" w:rsidRPr="0093616B" w14:paraId="2E0C6BEE" w14:textId="77777777">
        <w:trPr>
          <w:cantSplit/>
          <w:jc w:val="center"/>
        </w:trPr>
        <w:tc>
          <w:tcPr>
            <w:tcW w:w="3168" w:type="dxa"/>
            <w:shd w:val="clear" w:color="auto" w:fill="F8FAFC"/>
            <w:tcMar>
              <w:top w:w="80" w:type="dxa"/>
              <w:left w:w="80" w:type="dxa"/>
              <w:bottom w:w="80" w:type="dxa"/>
              <w:right w:w="80" w:type="dxa"/>
            </w:tcMar>
          </w:tcPr>
          <w:p w14:paraId="4DA9CA4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Index Hospitalization (Intraop Repair)</w:t>
            </w:r>
          </w:p>
        </w:tc>
        <w:tc>
          <w:tcPr>
            <w:tcW w:w="2160" w:type="dxa"/>
            <w:shd w:val="clear" w:color="auto" w:fill="F8FAFC"/>
            <w:tcMar>
              <w:top w:w="80" w:type="dxa"/>
              <w:left w:w="80" w:type="dxa"/>
              <w:bottom w:w="80" w:type="dxa"/>
              <w:right w:w="80" w:type="dxa"/>
            </w:tcMar>
          </w:tcPr>
          <w:p w14:paraId="05C31C4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$6,420 ± $1,150</w:t>
            </w:r>
          </w:p>
        </w:tc>
        <w:tc>
          <w:tcPr>
            <w:tcW w:w="2160" w:type="dxa"/>
            <w:shd w:val="clear" w:color="auto" w:fill="F8FAFC"/>
            <w:tcMar>
              <w:top w:w="80" w:type="dxa"/>
              <w:left w:w="80" w:type="dxa"/>
              <w:bottom w:w="80" w:type="dxa"/>
              <w:right w:w="80" w:type="dxa"/>
            </w:tcMar>
          </w:tcPr>
          <w:p w14:paraId="2920C47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Hospital Costing / Gamma</w:t>
            </w:r>
          </w:p>
        </w:tc>
        <w:tc>
          <w:tcPr>
            <w:tcW w:w="2592" w:type="dxa"/>
            <w:shd w:val="clear" w:color="auto" w:fill="F8FAFC"/>
            <w:tcMar>
              <w:top w:w="80" w:type="dxa"/>
              <w:left w:w="80" w:type="dxa"/>
              <w:bottom w:w="80" w:type="dxa"/>
              <w:right w:w="80" w:type="dxa"/>
            </w:tcMar>
          </w:tcPr>
          <w:p w14:paraId="691D8F3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Baseline Reference</w:t>
            </w:r>
          </w:p>
        </w:tc>
      </w:tr>
      <w:tr w:rsidR="00E52119" w:rsidRPr="0093616B" w14:paraId="08E2E82B" w14:textId="77777777">
        <w:trPr>
          <w:cantSplit/>
          <w:jc w:val="center"/>
        </w:trPr>
        <w:tc>
          <w:tcPr>
            <w:tcW w:w="3168" w:type="dxa"/>
            <w:shd w:val="clear" w:color="auto" w:fill="FFFFFF"/>
            <w:tcMar>
              <w:top w:w="80" w:type="dxa"/>
              <w:left w:w="80" w:type="dxa"/>
              <w:bottom w:w="80" w:type="dxa"/>
              <w:right w:w="80" w:type="dxa"/>
            </w:tcMar>
          </w:tcPr>
          <w:p w14:paraId="2D95445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Index Hospitalization (Postop Diagnosis)</w:t>
            </w:r>
          </w:p>
        </w:tc>
        <w:tc>
          <w:tcPr>
            <w:tcW w:w="2160" w:type="dxa"/>
            <w:shd w:val="clear" w:color="auto" w:fill="FFFFFF"/>
            <w:tcMar>
              <w:top w:w="80" w:type="dxa"/>
              <w:left w:w="80" w:type="dxa"/>
              <w:bottom w:w="80" w:type="dxa"/>
              <w:right w:w="80" w:type="dxa"/>
            </w:tcMar>
          </w:tcPr>
          <w:p w14:paraId="526C280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$11,850 ± $2,400</w:t>
            </w:r>
          </w:p>
        </w:tc>
        <w:tc>
          <w:tcPr>
            <w:tcW w:w="2160" w:type="dxa"/>
            <w:shd w:val="clear" w:color="auto" w:fill="FFFFFF"/>
            <w:tcMar>
              <w:top w:w="80" w:type="dxa"/>
              <w:left w:w="80" w:type="dxa"/>
              <w:bottom w:w="80" w:type="dxa"/>
              <w:right w:w="80" w:type="dxa"/>
            </w:tcMar>
          </w:tcPr>
          <w:p w14:paraId="1A49887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Hospital Costing / Gamma</w:t>
            </w:r>
          </w:p>
        </w:tc>
        <w:tc>
          <w:tcPr>
            <w:tcW w:w="2592" w:type="dxa"/>
            <w:shd w:val="clear" w:color="auto" w:fill="FFFFFF"/>
            <w:tcMar>
              <w:top w:w="80" w:type="dxa"/>
              <w:left w:w="80" w:type="dxa"/>
              <w:bottom w:w="80" w:type="dxa"/>
              <w:right w:w="80" w:type="dxa"/>
            </w:tcMar>
          </w:tcPr>
          <w:p w14:paraId="1205F05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+$5,430 per initial admission</w:t>
            </w:r>
          </w:p>
        </w:tc>
      </w:tr>
      <w:tr w:rsidR="00E52119" w:rsidRPr="0093616B" w14:paraId="2C7BA8EE" w14:textId="77777777">
        <w:trPr>
          <w:cantSplit/>
          <w:jc w:val="center"/>
        </w:trPr>
        <w:tc>
          <w:tcPr>
            <w:tcW w:w="3168" w:type="dxa"/>
            <w:shd w:val="clear" w:color="auto" w:fill="F8FAFC"/>
            <w:tcMar>
              <w:top w:w="80" w:type="dxa"/>
              <w:left w:w="80" w:type="dxa"/>
              <w:bottom w:w="80" w:type="dxa"/>
              <w:right w:w="80" w:type="dxa"/>
            </w:tcMar>
          </w:tcPr>
          <w:p w14:paraId="03F17EE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lastRenderedPageBreak/>
              <w:t>Percutaneous Biliary Drainage / Stenting</w:t>
            </w:r>
          </w:p>
        </w:tc>
        <w:tc>
          <w:tcPr>
            <w:tcW w:w="2160" w:type="dxa"/>
            <w:shd w:val="clear" w:color="auto" w:fill="F8FAFC"/>
            <w:tcMar>
              <w:top w:w="80" w:type="dxa"/>
              <w:left w:w="80" w:type="dxa"/>
              <w:bottom w:w="80" w:type="dxa"/>
              <w:right w:w="80" w:type="dxa"/>
            </w:tcMar>
          </w:tcPr>
          <w:p w14:paraId="629F4AF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$3,200 per session</w:t>
            </w:r>
          </w:p>
        </w:tc>
        <w:tc>
          <w:tcPr>
            <w:tcW w:w="2160" w:type="dxa"/>
            <w:shd w:val="clear" w:color="auto" w:fill="F8FAFC"/>
            <w:tcMar>
              <w:top w:w="80" w:type="dxa"/>
              <w:left w:w="80" w:type="dxa"/>
              <w:bottom w:w="80" w:type="dxa"/>
              <w:right w:w="80" w:type="dxa"/>
            </w:tcMar>
          </w:tcPr>
          <w:p w14:paraId="140C1C7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Regional Tariff / Log-normal</w:t>
            </w:r>
          </w:p>
        </w:tc>
        <w:tc>
          <w:tcPr>
            <w:tcW w:w="2592" w:type="dxa"/>
            <w:shd w:val="clear" w:color="auto" w:fill="F8FAFC"/>
            <w:tcMar>
              <w:top w:w="80" w:type="dxa"/>
              <w:left w:w="80" w:type="dxa"/>
              <w:bottom w:w="80" w:type="dxa"/>
              <w:right w:w="80" w:type="dxa"/>
            </w:tcMar>
          </w:tcPr>
          <w:p w14:paraId="2FAD755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2.8x higher frequency in Postop group</w:t>
            </w:r>
          </w:p>
        </w:tc>
      </w:tr>
      <w:tr w:rsidR="00E52119" w:rsidRPr="0093616B" w14:paraId="5DF28B07" w14:textId="77777777">
        <w:trPr>
          <w:cantSplit/>
          <w:jc w:val="center"/>
        </w:trPr>
        <w:tc>
          <w:tcPr>
            <w:tcW w:w="3168" w:type="dxa"/>
            <w:shd w:val="clear" w:color="auto" w:fill="FFFFFF"/>
            <w:tcMar>
              <w:top w:w="80" w:type="dxa"/>
              <w:left w:w="80" w:type="dxa"/>
              <w:bottom w:w="80" w:type="dxa"/>
              <w:right w:w="80" w:type="dxa"/>
            </w:tcMar>
          </w:tcPr>
          <w:p w14:paraId="1F0C84E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Hepaticojejunostomy Revision for Stricture</w:t>
            </w:r>
          </w:p>
        </w:tc>
        <w:tc>
          <w:tcPr>
            <w:tcW w:w="2160" w:type="dxa"/>
            <w:shd w:val="clear" w:color="auto" w:fill="FFFFFF"/>
            <w:tcMar>
              <w:top w:w="80" w:type="dxa"/>
              <w:left w:w="80" w:type="dxa"/>
              <w:bottom w:w="80" w:type="dxa"/>
              <w:right w:w="80" w:type="dxa"/>
            </w:tcMar>
          </w:tcPr>
          <w:p w14:paraId="3E52A47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$14,500 per repair</w:t>
            </w:r>
          </w:p>
        </w:tc>
        <w:tc>
          <w:tcPr>
            <w:tcW w:w="2160" w:type="dxa"/>
            <w:shd w:val="clear" w:color="auto" w:fill="FFFFFF"/>
            <w:tcMar>
              <w:top w:w="80" w:type="dxa"/>
              <w:left w:w="80" w:type="dxa"/>
              <w:bottom w:w="80" w:type="dxa"/>
              <w:right w:w="80" w:type="dxa"/>
            </w:tcMar>
          </w:tcPr>
          <w:p w14:paraId="037B9B2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Surgical Costing / Gamma</w:t>
            </w:r>
          </w:p>
        </w:tc>
        <w:tc>
          <w:tcPr>
            <w:tcW w:w="2592" w:type="dxa"/>
            <w:shd w:val="clear" w:color="auto" w:fill="FFFFFF"/>
            <w:tcMar>
              <w:top w:w="80" w:type="dxa"/>
              <w:left w:w="80" w:type="dxa"/>
              <w:bottom w:w="80" w:type="dxa"/>
              <w:right w:w="80" w:type="dxa"/>
            </w:tcMar>
          </w:tcPr>
          <w:p w14:paraId="37FC1D0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38.8% stricture rate in Postop group</w:t>
            </w:r>
          </w:p>
        </w:tc>
      </w:tr>
      <w:tr w:rsidR="00E52119" w:rsidRPr="0093616B" w14:paraId="529B7B35" w14:textId="77777777">
        <w:trPr>
          <w:cantSplit/>
          <w:jc w:val="center"/>
        </w:trPr>
        <w:tc>
          <w:tcPr>
            <w:tcW w:w="3168" w:type="dxa"/>
            <w:shd w:val="clear" w:color="auto" w:fill="F8FAFC"/>
            <w:tcMar>
              <w:top w:w="80" w:type="dxa"/>
              <w:left w:w="80" w:type="dxa"/>
              <w:bottom w:w="80" w:type="dxa"/>
              <w:right w:w="80" w:type="dxa"/>
            </w:tcMar>
          </w:tcPr>
          <w:p w14:paraId="3CCC848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Cumulative 10-Year Direct Medical Cost</w:t>
            </w:r>
          </w:p>
        </w:tc>
        <w:tc>
          <w:tcPr>
            <w:tcW w:w="2160" w:type="dxa"/>
            <w:shd w:val="clear" w:color="auto" w:fill="F8FAFC"/>
            <w:tcMar>
              <w:top w:w="80" w:type="dxa"/>
              <w:left w:w="80" w:type="dxa"/>
              <w:bottom w:w="80" w:type="dxa"/>
              <w:right w:w="80" w:type="dxa"/>
            </w:tcMar>
          </w:tcPr>
          <w:p w14:paraId="0D05FC7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$12,350 (Intraop) vs $28,600 (Postop)</w:t>
            </w:r>
          </w:p>
        </w:tc>
        <w:tc>
          <w:tcPr>
            <w:tcW w:w="2160" w:type="dxa"/>
            <w:shd w:val="clear" w:color="auto" w:fill="F8FAFC"/>
            <w:tcMar>
              <w:top w:w="80" w:type="dxa"/>
              <w:left w:w="80" w:type="dxa"/>
              <w:bottom w:w="80" w:type="dxa"/>
              <w:right w:w="80" w:type="dxa"/>
            </w:tcMar>
          </w:tcPr>
          <w:p w14:paraId="39B3935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Markov Simulation Model</w:t>
            </w:r>
          </w:p>
        </w:tc>
        <w:tc>
          <w:tcPr>
            <w:tcW w:w="2592" w:type="dxa"/>
            <w:shd w:val="clear" w:color="auto" w:fill="F8FAFC"/>
            <w:tcMar>
              <w:top w:w="80" w:type="dxa"/>
              <w:left w:w="80" w:type="dxa"/>
              <w:bottom w:w="80" w:type="dxa"/>
              <w:right w:w="80" w:type="dxa"/>
            </w:tcMar>
          </w:tcPr>
          <w:p w14:paraId="39281AD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Net Savings: $16,250 per patient</w:t>
            </w:r>
          </w:p>
        </w:tc>
      </w:tr>
      <w:tr w:rsidR="00E52119" w:rsidRPr="0093616B" w14:paraId="36004B4D" w14:textId="77777777">
        <w:trPr>
          <w:cantSplit/>
          <w:jc w:val="center"/>
        </w:trPr>
        <w:tc>
          <w:tcPr>
            <w:tcW w:w="3168" w:type="dxa"/>
            <w:shd w:val="clear" w:color="auto" w:fill="FFFFFF"/>
            <w:tcMar>
              <w:top w:w="80" w:type="dxa"/>
              <w:left w:w="80" w:type="dxa"/>
              <w:bottom w:w="80" w:type="dxa"/>
              <w:right w:w="80" w:type="dxa"/>
            </w:tcMar>
          </w:tcPr>
          <w:p w14:paraId="31D281D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Institutional Annual Projection (500-bed hospital)</w:t>
            </w:r>
          </w:p>
        </w:tc>
        <w:tc>
          <w:tcPr>
            <w:tcW w:w="2160" w:type="dxa"/>
            <w:shd w:val="clear" w:color="auto" w:fill="FFFFFF"/>
            <w:tcMar>
              <w:top w:w="80" w:type="dxa"/>
              <w:left w:w="80" w:type="dxa"/>
              <w:bottom w:w="80" w:type="dxa"/>
              <w:right w:w="80" w:type="dxa"/>
            </w:tcMar>
          </w:tcPr>
          <w:p w14:paraId="73CACF1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~13-15 BDI cases/year</w:t>
            </w:r>
          </w:p>
        </w:tc>
        <w:tc>
          <w:tcPr>
            <w:tcW w:w="2160" w:type="dxa"/>
            <w:shd w:val="clear" w:color="auto" w:fill="FFFFFF"/>
            <w:tcMar>
              <w:top w:w="80" w:type="dxa"/>
              <w:left w:w="80" w:type="dxa"/>
              <w:bottom w:w="80" w:type="dxa"/>
              <w:right w:w="80" w:type="dxa"/>
            </w:tcMar>
          </w:tcPr>
          <w:p w14:paraId="4676BC7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Decision Tree Model</w:t>
            </w:r>
          </w:p>
        </w:tc>
        <w:tc>
          <w:tcPr>
            <w:tcW w:w="2592" w:type="dxa"/>
            <w:shd w:val="clear" w:color="auto" w:fill="FFFFFF"/>
            <w:tcMar>
              <w:top w:w="80" w:type="dxa"/>
              <w:left w:w="80" w:type="dxa"/>
              <w:bottom w:w="80" w:type="dxa"/>
              <w:right w:w="80" w:type="dxa"/>
            </w:tcMar>
          </w:tcPr>
          <w:p w14:paraId="5428A2F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Annual Savings: ~$220,000 USD</w:t>
            </w:r>
          </w:p>
        </w:tc>
      </w:tr>
    </w:tbl>
    <w:p w14:paraId="44558896" w14:textId="77777777" w:rsidR="00E52119" w:rsidRPr="0093616B" w:rsidRDefault="00E52119" w:rsidP="0093616B">
      <w:pPr>
        <w:spacing w:after="80"/>
        <w:jc w:val="both"/>
        <w:rPr>
          <w:rFonts w:ascii="Times New Roman" w:hAnsi="Times New Roman" w:cs="Times New Roman"/>
        </w:rPr>
      </w:pPr>
    </w:p>
    <w:p w14:paraId="2065C480"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Table S6: Missing Data Breakdown and Comparison of Complete-Case vs. MICE Imputed Models</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2592"/>
        <w:gridCol w:w="1296"/>
        <w:gridCol w:w="1872"/>
        <w:gridCol w:w="2160"/>
        <w:gridCol w:w="2160"/>
      </w:tblGrid>
      <w:tr w:rsidR="00E52119" w:rsidRPr="0093616B" w14:paraId="04D16617" w14:textId="77777777">
        <w:trPr>
          <w:cantSplit/>
          <w:tblHeader/>
          <w:jc w:val="center"/>
        </w:trPr>
        <w:tc>
          <w:tcPr>
            <w:tcW w:w="2592" w:type="dxa"/>
            <w:shd w:val="clear" w:color="auto" w:fill="1B365D"/>
            <w:tcMar>
              <w:top w:w="80" w:type="dxa"/>
              <w:left w:w="80" w:type="dxa"/>
              <w:bottom w:w="80" w:type="dxa"/>
              <w:right w:w="80" w:type="dxa"/>
            </w:tcMar>
          </w:tcPr>
          <w:p w14:paraId="7B302C7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Variable / Parameter</w:t>
            </w:r>
          </w:p>
        </w:tc>
        <w:tc>
          <w:tcPr>
            <w:tcW w:w="1296" w:type="dxa"/>
            <w:shd w:val="clear" w:color="auto" w:fill="1B365D"/>
            <w:tcMar>
              <w:top w:w="80" w:type="dxa"/>
              <w:left w:w="80" w:type="dxa"/>
              <w:bottom w:w="80" w:type="dxa"/>
              <w:right w:w="80" w:type="dxa"/>
            </w:tcMar>
          </w:tcPr>
          <w:p w14:paraId="022642B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Missing Count (%)</w:t>
            </w:r>
          </w:p>
        </w:tc>
        <w:tc>
          <w:tcPr>
            <w:tcW w:w="1872" w:type="dxa"/>
            <w:shd w:val="clear" w:color="auto" w:fill="1B365D"/>
            <w:tcMar>
              <w:top w:w="80" w:type="dxa"/>
              <w:left w:w="80" w:type="dxa"/>
              <w:bottom w:w="80" w:type="dxa"/>
              <w:right w:w="80" w:type="dxa"/>
            </w:tcMar>
          </w:tcPr>
          <w:p w14:paraId="10D9778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Imputation Model Type</w:t>
            </w:r>
          </w:p>
        </w:tc>
        <w:tc>
          <w:tcPr>
            <w:tcW w:w="2160" w:type="dxa"/>
            <w:shd w:val="clear" w:color="auto" w:fill="1B365D"/>
            <w:tcMar>
              <w:top w:w="80" w:type="dxa"/>
              <w:left w:w="80" w:type="dxa"/>
              <w:bottom w:w="80" w:type="dxa"/>
              <w:right w:w="80" w:type="dxa"/>
            </w:tcMar>
          </w:tcPr>
          <w:p w14:paraId="01CAB61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Complete-Case OR (95% CI)</w:t>
            </w:r>
          </w:p>
        </w:tc>
        <w:tc>
          <w:tcPr>
            <w:tcW w:w="2160" w:type="dxa"/>
            <w:shd w:val="clear" w:color="auto" w:fill="1B365D"/>
            <w:tcMar>
              <w:top w:w="80" w:type="dxa"/>
              <w:left w:w="80" w:type="dxa"/>
              <w:bottom w:w="80" w:type="dxa"/>
              <w:right w:w="80" w:type="dxa"/>
            </w:tcMar>
          </w:tcPr>
          <w:p w14:paraId="58B7234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6"/>
              </w:rPr>
              <w:t>MICE Imputed OR (95% CI)</w:t>
            </w:r>
          </w:p>
        </w:tc>
      </w:tr>
      <w:tr w:rsidR="00E52119" w:rsidRPr="0093616B" w14:paraId="33506E49" w14:textId="77777777">
        <w:trPr>
          <w:cantSplit/>
          <w:jc w:val="center"/>
        </w:trPr>
        <w:tc>
          <w:tcPr>
            <w:tcW w:w="2592" w:type="dxa"/>
            <w:shd w:val="clear" w:color="auto" w:fill="F8FAFC"/>
            <w:tcMar>
              <w:top w:w="80" w:type="dxa"/>
              <w:left w:w="80" w:type="dxa"/>
              <w:bottom w:w="80" w:type="dxa"/>
              <w:right w:w="80" w:type="dxa"/>
            </w:tcMar>
          </w:tcPr>
          <w:p w14:paraId="70463E2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Biliary Stricture Outcome</w:t>
            </w:r>
          </w:p>
        </w:tc>
        <w:tc>
          <w:tcPr>
            <w:tcW w:w="1296" w:type="dxa"/>
            <w:shd w:val="clear" w:color="auto" w:fill="F8FAFC"/>
            <w:tcMar>
              <w:top w:w="80" w:type="dxa"/>
              <w:left w:w="80" w:type="dxa"/>
              <w:bottom w:w="80" w:type="dxa"/>
              <w:right w:w="80" w:type="dxa"/>
            </w:tcMar>
          </w:tcPr>
          <w:p w14:paraId="51CBF23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5 (4.9%)</w:t>
            </w:r>
          </w:p>
        </w:tc>
        <w:tc>
          <w:tcPr>
            <w:tcW w:w="1872" w:type="dxa"/>
            <w:shd w:val="clear" w:color="auto" w:fill="F8FAFC"/>
            <w:tcMar>
              <w:top w:w="80" w:type="dxa"/>
              <w:left w:w="80" w:type="dxa"/>
              <w:bottom w:w="80" w:type="dxa"/>
              <w:right w:w="80" w:type="dxa"/>
            </w:tcMar>
          </w:tcPr>
          <w:p w14:paraId="1817950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Binary Logistic Regression</w:t>
            </w:r>
          </w:p>
        </w:tc>
        <w:tc>
          <w:tcPr>
            <w:tcW w:w="2160" w:type="dxa"/>
            <w:shd w:val="clear" w:color="auto" w:fill="F8FAFC"/>
            <w:tcMar>
              <w:top w:w="80" w:type="dxa"/>
              <w:left w:w="80" w:type="dxa"/>
              <w:bottom w:w="80" w:type="dxa"/>
              <w:right w:w="80" w:type="dxa"/>
            </w:tcMar>
          </w:tcPr>
          <w:p w14:paraId="5BBCE2B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0.35 (0.14 to 0.86)</w:t>
            </w:r>
          </w:p>
        </w:tc>
        <w:tc>
          <w:tcPr>
            <w:tcW w:w="2160" w:type="dxa"/>
            <w:shd w:val="clear" w:color="auto" w:fill="F8FAFC"/>
            <w:tcMar>
              <w:top w:w="80" w:type="dxa"/>
              <w:left w:w="80" w:type="dxa"/>
              <w:bottom w:w="80" w:type="dxa"/>
              <w:right w:w="80" w:type="dxa"/>
            </w:tcMar>
          </w:tcPr>
          <w:p w14:paraId="78536B8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0.36 (0.15 to 0.87)</w:t>
            </w:r>
          </w:p>
        </w:tc>
      </w:tr>
      <w:tr w:rsidR="00E52119" w:rsidRPr="0093616B" w14:paraId="03C625EC" w14:textId="77777777">
        <w:trPr>
          <w:cantSplit/>
          <w:jc w:val="center"/>
        </w:trPr>
        <w:tc>
          <w:tcPr>
            <w:tcW w:w="2592" w:type="dxa"/>
            <w:shd w:val="clear" w:color="auto" w:fill="FFFFFF"/>
            <w:tcMar>
              <w:top w:w="80" w:type="dxa"/>
              <w:left w:w="80" w:type="dxa"/>
              <w:bottom w:w="80" w:type="dxa"/>
              <w:right w:w="80" w:type="dxa"/>
            </w:tcMar>
          </w:tcPr>
          <w:p w14:paraId="2FA3BD5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SF-36 Physical Component (3 mo)</w:t>
            </w:r>
          </w:p>
        </w:tc>
        <w:tc>
          <w:tcPr>
            <w:tcW w:w="1296" w:type="dxa"/>
            <w:shd w:val="clear" w:color="auto" w:fill="FFFFFF"/>
            <w:tcMar>
              <w:top w:w="80" w:type="dxa"/>
              <w:left w:w="80" w:type="dxa"/>
              <w:bottom w:w="80" w:type="dxa"/>
              <w:right w:w="80" w:type="dxa"/>
            </w:tcMar>
          </w:tcPr>
          <w:p w14:paraId="37A4604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8 (7.8%)</w:t>
            </w:r>
          </w:p>
        </w:tc>
        <w:tc>
          <w:tcPr>
            <w:tcW w:w="1872" w:type="dxa"/>
            <w:shd w:val="clear" w:color="auto" w:fill="FFFFFF"/>
            <w:tcMar>
              <w:top w:w="80" w:type="dxa"/>
              <w:left w:w="80" w:type="dxa"/>
              <w:bottom w:w="80" w:type="dxa"/>
              <w:right w:w="80" w:type="dxa"/>
            </w:tcMar>
          </w:tcPr>
          <w:p w14:paraId="380DF57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Predictive Mean Matching</w:t>
            </w:r>
          </w:p>
        </w:tc>
        <w:tc>
          <w:tcPr>
            <w:tcW w:w="2160" w:type="dxa"/>
            <w:shd w:val="clear" w:color="auto" w:fill="FFFFFF"/>
            <w:tcMar>
              <w:top w:w="80" w:type="dxa"/>
              <w:left w:w="80" w:type="dxa"/>
              <w:bottom w:w="80" w:type="dxa"/>
              <w:right w:w="80" w:type="dxa"/>
            </w:tcMar>
          </w:tcPr>
          <w:p w14:paraId="0A8F554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+6.8 (1.1 to 12.5)</w:t>
            </w:r>
          </w:p>
        </w:tc>
        <w:tc>
          <w:tcPr>
            <w:tcW w:w="2160" w:type="dxa"/>
            <w:shd w:val="clear" w:color="auto" w:fill="FFFFFF"/>
            <w:tcMar>
              <w:top w:w="80" w:type="dxa"/>
              <w:left w:w="80" w:type="dxa"/>
              <w:bottom w:w="80" w:type="dxa"/>
              <w:right w:w="80" w:type="dxa"/>
            </w:tcMar>
          </w:tcPr>
          <w:p w14:paraId="37C7B70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+6.5 (1.0 to 12.0)</w:t>
            </w:r>
          </w:p>
        </w:tc>
      </w:tr>
      <w:tr w:rsidR="00E52119" w:rsidRPr="0093616B" w14:paraId="210669DA" w14:textId="77777777">
        <w:trPr>
          <w:cantSplit/>
          <w:jc w:val="center"/>
        </w:trPr>
        <w:tc>
          <w:tcPr>
            <w:tcW w:w="2592" w:type="dxa"/>
            <w:shd w:val="clear" w:color="auto" w:fill="F8FAFC"/>
            <w:tcMar>
              <w:top w:w="80" w:type="dxa"/>
              <w:left w:w="80" w:type="dxa"/>
              <w:bottom w:w="80" w:type="dxa"/>
              <w:right w:w="80" w:type="dxa"/>
            </w:tcMar>
          </w:tcPr>
          <w:p w14:paraId="63A98B0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SF-36 Mental Component (3 mo)</w:t>
            </w:r>
          </w:p>
        </w:tc>
        <w:tc>
          <w:tcPr>
            <w:tcW w:w="1296" w:type="dxa"/>
            <w:shd w:val="clear" w:color="auto" w:fill="F8FAFC"/>
            <w:tcMar>
              <w:top w:w="80" w:type="dxa"/>
              <w:left w:w="80" w:type="dxa"/>
              <w:bottom w:w="80" w:type="dxa"/>
              <w:right w:w="80" w:type="dxa"/>
            </w:tcMar>
          </w:tcPr>
          <w:p w14:paraId="7A48540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8 (7.8%)</w:t>
            </w:r>
          </w:p>
        </w:tc>
        <w:tc>
          <w:tcPr>
            <w:tcW w:w="1872" w:type="dxa"/>
            <w:shd w:val="clear" w:color="auto" w:fill="F8FAFC"/>
            <w:tcMar>
              <w:top w:w="80" w:type="dxa"/>
              <w:left w:w="80" w:type="dxa"/>
              <w:bottom w:w="80" w:type="dxa"/>
              <w:right w:w="80" w:type="dxa"/>
            </w:tcMar>
          </w:tcPr>
          <w:p w14:paraId="43CC765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Predictive Mean Matching</w:t>
            </w:r>
          </w:p>
        </w:tc>
        <w:tc>
          <w:tcPr>
            <w:tcW w:w="2160" w:type="dxa"/>
            <w:shd w:val="clear" w:color="auto" w:fill="F8FAFC"/>
            <w:tcMar>
              <w:top w:w="80" w:type="dxa"/>
              <w:left w:w="80" w:type="dxa"/>
              <w:bottom w:w="80" w:type="dxa"/>
              <w:right w:w="80" w:type="dxa"/>
            </w:tcMar>
          </w:tcPr>
          <w:p w14:paraId="15E5EEA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+4.2 (-1.2 to 9.6)</w:t>
            </w:r>
          </w:p>
        </w:tc>
        <w:tc>
          <w:tcPr>
            <w:tcW w:w="2160" w:type="dxa"/>
            <w:shd w:val="clear" w:color="auto" w:fill="F8FAFC"/>
            <w:tcMar>
              <w:top w:w="80" w:type="dxa"/>
              <w:left w:w="80" w:type="dxa"/>
              <w:bottom w:w="80" w:type="dxa"/>
              <w:right w:w="80" w:type="dxa"/>
            </w:tcMar>
          </w:tcPr>
          <w:p w14:paraId="31017C3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+4.0 (-1.5 to 9.5)</w:t>
            </w:r>
          </w:p>
        </w:tc>
      </w:tr>
      <w:tr w:rsidR="00E52119" w:rsidRPr="0093616B" w14:paraId="578E0843" w14:textId="77777777">
        <w:trPr>
          <w:cantSplit/>
          <w:jc w:val="center"/>
        </w:trPr>
        <w:tc>
          <w:tcPr>
            <w:tcW w:w="2592" w:type="dxa"/>
            <w:shd w:val="clear" w:color="auto" w:fill="FFFFFF"/>
            <w:tcMar>
              <w:top w:w="80" w:type="dxa"/>
              <w:left w:w="80" w:type="dxa"/>
              <w:bottom w:w="80" w:type="dxa"/>
              <w:right w:w="80" w:type="dxa"/>
            </w:tcMar>
          </w:tcPr>
          <w:p w14:paraId="0E1781F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SF-36 Physical Component (24 mo)</w:t>
            </w:r>
          </w:p>
        </w:tc>
        <w:tc>
          <w:tcPr>
            <w:tcW w:w="1296" w:type="dxa"/>
            <w:shd w:val="clear" w:color="auto" w:fill="FFFFFF"/>
            <w:tcMar>
              <w:top w:w="80" w:type="dxa"/>
              <w:left w:w="80" w:type="dxa"/>
              <w:bottom w:w="80" w:type="dxa"/>
              <w:right w:w="80" w:type="dxa"/>
            </w:tcMar>
          </w:tcPr>
          <w:p w14:paraId="36E1122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4 (3.9%)</w:t>
            </w:r>
          </w:p>
        </w:tc>
        <w:tc>
          <w:tcPr>
            <w:tcW w:w="1872" w:type="dxa"/>
            <w:shd w:val="clear" w:color="auto" w:fill="FFFFFF"/>
            <w:tcMar>
              <w:top w:w="80" w:type="dxa"/>
              <w:left w:w="80" w:type="dxa"/>
              <w:bottom w:w="80" w:type="dxa"/>
              <w:right w:w="80" w:type="dxa"/>
            </w:tcMar>
          </w:tcPr>
          <w:p w14:paraId="7381676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Predictive Mean Matching</w:t>
            </w:r>
          </w:p>
        </w:tc>
        <w:tc>
          <w:tcPr>
            <w:tcW w:w="2160" w:type="dxa"/>
            <w:shd w:val="clear" w:color="auto" w:fill="FFFFFF"/>
            <w:tcMar>
              <w:top w:w="80" w:type="dxa"/>
              <w:left w:w="80" w:type="dxa"/>
              <w:bottom w:w="80" w:type="dxa"/>
              <w:right w:w="80" w:type="dxa"/>
            </w:tcMar>
          </w:tcPr>
          <w:p w14:paraId="4669F94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+7.3 (1.5 to 13.1)</w:t>
            </w:r>
          </w:p>
        </w:tc>
        <w:tc>
          <w:tcPr>
            <w:tcW w:w="2160" w:type="dxa"/>
            <w:shd w:val="clear" w:color="auto" w:fill="FFFFFF"/>
            <w:tcMar>
              <w:top w:w="80" w:type="dxa"/>
              <w:left w:w="80" w:type="dxa"/>
              <w:bottom w:w="80" w:type="dxa"/>
              <w:right w:w="80" w:type="dxa"/>
            </w:tcMar>
          </w:tcPr>
          <w:p w14:paraId="6A8DA8B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+7.2 (1.4 to 13.0)</w:t>
            </w:r>
          </w:p>
        </w:tc>
      </w:tr>
      <w:tr w:rsidR="00E52119" w:rsidRPr="0093616B" w14:paraId="5EC41E3D" w14:textId="77777777">
        <w:trPr>
          <w:cantSplit/>
          <w:jc w:val="center"/>
        </w:trPr>
        <w:tc>
          <w:tcPr>
            <w:tcW w:w="2592" w:type="dxa"/>
            <w:shd w:val="clear" w:color="auto" w:fill="F8FAFC"/>
            <w:tcMar>
              <w:top w:w="80" w:type="dxa"/>
              <w:left w:w="80" w:type="dxa"/>
              <w:bottom w:w="80" w:type="dxa"/>
              <w:right w:w="80" w:type="dxa"/>
            </w:tcMar>
          </w:tcPr>
          <w:p w14:paraId="7EDFCA6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Peak C-Reactive Protein (mg/L)</w:t>
            </w:r>
          </w:p>
        </w:tc>
        <w:tc>
          <w:tcPr>
            <w:tcW w:w="1296" w:type="dxa"/>
            <w:shd w:val="clear" w:color="auto" w:fill="F8FAFC"/>
            <w:tcMar>
              <w:top w:w="80" w:type="dxa"/>
              <w:left w:w="80" w:type="dxa"/>
              <w:bottom w:w="80" w:type="dxa"/>
              <w:right w:w="80" w:type="dxa"/>
            </w:tcMar>
          </w:tcPr>
          <w:p w14:paraId="6A63D57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6 (5.9%)</w:t>
            </w:r>
          </w:p>
        </w:tc>
        <w:tc>
          <w:tcPr>
            <w:tcW w:w="1872" w:type="dxa"/>
            <w:shd w:val="clear" w:color="auto" w:fill="F8FAFC"/>
            <w:tcMar>
              <w:top w:w="80" w:type="dxa"/>
              <w:left w:w="80" w:type="dxa"/>
              <w:bottom w:w="80" w:type="dxa"/>
              <w:right w:w="80" w:type="dxa"/>
            </w:tcMar>
          </w:tcPr>
          <w:p w14:paraId="1301E5C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Linear Regression</w:t>
            </w:r>
          </w:p>
        </w:tc>
        <w:tc>
          <w:tcPr>
            <w:tcW w:w="2160" w:type="dxa"/>
            <w:shd w:val="clear" w:color="auto" w:fill="F8FAFC"/>
            <w:tcMar>
              <w:top w:w="80" w:type="dxa"/>
              <w:left w:w="80" w:type="dxa"/>
              <w:bottom w:w="80" w:type="dxa"/>
              <w:right w:w="80" w:type="dxa"/>
            </w:tcMar>
          </w:tcPr>
          <w:p w14:paraId="4AD8636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-32.4 (-48.1 to -16.7)</w:t>
            </w:r>
          </w:p>
        </w:tc>
        <w:tc>
          <w:tcPr>
            <w:tcW w:w="2160" w:type="dxa"/>
            <w:shd w:val="clear" w:color="auto" w:fill="F8FAFC"/>
            <w:tcMar>
              <w:top w:w="80" w:type="dxa"/>
              <w:left w:w="80" w:type="dxa"/>
              <w:bottom w:w="80" w:type="dxa"/>
              <w:right w:w="80" w:type="dxa"/>
            </w:tcMar>
          </w:tcPr>
          <w:p w14:paraId="6A69252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-31.8 (-47.2 to -16.4)</w:t>
            </w:r>
          </w:p>
        </w:tc>
      </w:tr>
      <w:tr w:rsidR="00E52119" w:rsidRPr="0093616B" w14:paraId="5425D956" w14:textId="77777777">
        <w:trPr>
          <w:cantSplit/>
          <w:jc w:val="center"/>
        </w:trPr>
        <w:tc>
          <w:tcPr>
            <w:tcW w:w="2592" w:type="dxa"/>
            <w:shd w:val="clear" w:color="auto" w:fill="FFFFFF"/>
            <w:tcMar>
              <w:top w:w="80" w:type="dxa"/>
              <w:left w:w="80" w:type="dxa"/>
              <w:bottom w:w="80" w:type="dxa"/>
              <w:right w:w="80" w:type="dxa"/>
            </w:tcMar>
          </w:tcPr>
          <w:p w14:paraId="24C903C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Bile Leak Duration (days)</w:t>
            </w:r>
          </w:p>
        </w:tc>
        <w:tc>
          <w:tcPr>
            <w:tcW w:w="1296" w:type="dxa"/>
            <w:shd w:val="clear" w:color="auto" w:fill="FFFFFF"/>
            <w:tcMar>
              <w:top w:w="80" w:type="dxa"/>
              <w:left w:w="80" w:type="dxa"/>
              <w:bottom w:w="80" w:type="dxa"/>
              <w:right w:w="80" w:type="dxa"/>
            </w:tcMar>
          </w:tcPr>
          <w:p w14:paraId="4EA26ED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3 (2.9%)</w:t>
            </w:r>
          </w:p>
        </w:tc>
        <w:tc>
          <w:tcPr>
            <w:tcW w:w="1872" w:type="dxa"/>
            <w:shd w:val="clear" w:color="auto" w:fill="FFFFFF"/>
            <w:tcMar>
              <w:top w:w="80" w:type="dxa"/>
              <w:left w:w="80" w:type="dxa"/>
              <w:bottom w:w="80" w:type="dxa"/>
              <w:right w:w="80" w:type="dxa"/>
            </w:tcMar>
          </w:tcPr>
          <w:p w14:paraId="4882F28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Linear Regression</w:t>
            </w:r>
          </w:p>
        </w:tc>
        <w:tc>
          <w:tcPr>
            <w:tcW w:w="2160" w:type="dxa"/>
            <w:shd w:val="clear" w:color="auto" w:fill="FFFFFF"/>
            <w:tcMar>
              <w:top w:w="80" w:type="dxa"/>
              <w:left w:w="80" w:type="dxa"/>
              <w:bottom w:w="80" w:type="dxa"/>
              <w:right w:w="80" w:type="dxa"/>
            </w:tcMar>
          </w:tcPr>
          <w:p w14:paraId="629E859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-8.5 (-12.5 to -4.5)</w:t>
            </w:r>
          </w:p>
        </w:tc>
        <w:tc>
          <w:tcPr>
            <w:tcW w:w="2160" w:type="dxa"/>
            <w:shd w:val="clear" w:color="auto" w:fill="FFFFFF"/>
            <w:tcMar>
              <w:top w:w="80" w:type="dxa"/>
              <w:left w:w="80" w:type="dxa"/>
              <w:bottom w:w="80" w:type="dxa"/>
              <w:right w:w="80" w:type="dxa"/>
            </w:tcMar>
          </w:tcPr>
          <w:p w14:paraId="7677272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6"/>
              </w:rPr>
              <w:t>Diff: -8.3 (-12.1 to -4.5)</w:t>
            </w:r>
          </w:p>
        </w:tc>
      </w:tr>
    </w:tbl>
    <w:p w14:paraId="4B0F8DE3" w14:textId="77777777" w:rsidR="00E52119" w:rsidRPr="0093616B" w:rsidRDefault="00E52119" w:rsidP="0093616B">
      <w:pPr>
        <w:spacing w:after="80"/>
        <w:jc w:val="both"/>
        <w:rPr>
          <w:rFonts w:ascii="Times New Roman" w:hAnsi="Times New Roman" w:cs="Times New Roman"/>
        </w:rPr>
      </w:pPr>
    </w:p>
    <w:p w14:paraId="2EC3088B"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Supplementary Table S7: Multilevel Mixed-Effects Logistic Regression Accounting for Surgeon-Level Clustering</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3600"/>
        <w:gridCol w:w="2016"/>
        <w:gridCol w:w="2592"/>
        <w:gridCol w:w="1152"/>
      </w:tblGrid>
      <w:tr w:rsidR="00E52119" w:rsidRPr="0093616B" w14:paraId="5B6853CC" w14:textId="77777777">
        <w:trPr>
          <w:cantSplit/>
          <w:tblHeader/>
          <w:jc w:val="center"/>
        </w:trPr>
        <w:tc>
          <w:tcPr>
            <w:tcW w:w="3600" w:type="dxa"/>
            <w:shd w:val="clear" w:color="auto" w:fill="1B365D"/>
            <w:tcMar>
              <w:top w:w="80" w:type="dxa"/>
              <w:left w:w="80" w:type="dxa"/>
              <w:bottom w:w="80" w:type="dxa"/>
              <w:right w:w="80" w:type="dxa"/>
            </w:tcMar>
          </w:tcPr>
          <w:p w14:paraId="0B2B967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Fixed Effect / Random Effect Parameter</w:t>
            </w:r>
          </w:p>
        </w:tc>
        <w:tc>
          <w:tcPr>
            <w:tcW w:w="2016" w:type="dxa"/>
            <w:shd w:val="clear" w:color="auto" w:fill="1B365D"/>
            <w:tcMar>
              <w:top w:w="80" w:type="dxa"/>
              <w:left w:w="80" w:type="dxa"/>
              <w:bottom w:w="80" w:type="dxa"/>
              <w:right w:w="80" w:type="dxa"/>
            </w:tcMar>
          </w:tcPr>
          <w:p w14:paraId="2238F2A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Odds Ratio / Variance</w:t>
            </w:r>
          </w:p>
        </w:tc>
        <w:tc>
          <w:tcPr>
            <w:tcW w:w="2592" w:type="dxa"/>
            <w:shd w:val="clear" w:color="auto" w:fill="1B365D"/>
            <w:tcMar>
              <w:top w:w="80" w:type="dxa"/>
              <w:left w:w="80" w:type="dxa"/>
              <w:bottom w:w="80" w:type="dxa"/>
              <w:right w:w="80" w:type="dxa"/>
            </w:tcMar>
          </w:tcPr>
          <w:p w14:paraId="7DC1E82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95% Confidence Interval</w:t>
            </w:r>
          </w:p>
        </w:tc>
        <w:tc>
          <w:tcPr>
            <w:tcW w:w="1152" w:type="dxa"/>
            <w:shd w:val="clear" w:color="auto" w:fill="1B365D"/>
            <w:tcMar>
              <w:top w:w="80" w:type="dxa"/>
              <w:left w:w="80" w:type="dxa"/>
              <w:bottom w:w="80" w:type="dxa"/>
              <w:right w:w="80" w:type="dxa"/>
            </w:tcMar>
          </w:tcPr>
          <w:p w14:paraId="12F4FBB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p-value</w:t>
            </w:r>
          </w:p>
        </w:tc>
      </w:tr>
      <w:tr w:rsidR="00E52119" w:rsidRPr="0093616B" w14:paraId="385FEB6F" w14:textId="77777777">
        <w:trPr>
          <w:cantSplit/>
          <w:jc w:val="center"/>
        </w:trPr>
        <w:tc>
          <w:tcPr>
            <w:tcW w:w="3600" w:type="dxa"/>
            <w:shd w:val="clear" w:color="auto" w:fill="F8FAFC"/>
            <w:tcMar>
              <w:top w:w="80" w:type="dxa"/>
              <w:left w:w="80" w:type="dxa"/>
              <w:bottom w:w="80" w:type="dxa"/>
              <w:right w:w="80" w:type="dxa"/>
            </w:tcMar>
          </w:tcPr>
          <w:p w14:paraId="4C63902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Intraoperative BDI Detection (Fixed)</w:t>
            </w:r>
          </w:p>
        </w:tc>
        <w:tc>
          <w:tcPr>
            <w:tcW w:w="2016" w:type="dxa"/>
            <w:shd w:val="clear" w:color="auto" w:fill="F8FAFC"/>
            <w:tcMar>
              <w:top w:w="80" w:type="dxa"/>
              <w:left w:w="80" w:type="dxa"/>
              <w:bottom w:w="80" w:type="dxa"/>
              <w:right w:w="80" w:type="dxa"/>
            </w:tcMar>
          </w:tcPr>
          <w:p w14:paraId="229EEAB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0.33</w:t>
            </w:r>
          </w:p>
        </w:tc>
        <w:tc>
          <w:tcPr>
            <w:tcW w:w="2592" w:type="dxa"/>
            <w:shd w:val="clear" w:color="auto" w:fill="F8FAFC"/>
            <w:tcMar>
              <w:top w:w="80" w:type="dxa"/>
              <w:left w:w="80" w:type="dxa"/>
              <w:bottom w:w="80" w:type="dxa"/>
              <w:right w:w="80" w:type="dxa"/>
            </w:tcMar>
          </w:tcPr>
          <w:p w14:paraId="45A006B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0.12 to 0.88</w:t>
            </w:r>
          </w:p>
        </w:tc>
        <w:tc>
          <w:tcPr>
            <w:tcW w:w="1152" w:type="dxa"/>
            <w:shd w:val="clear" w:color="auto" w:fill="F8FAFC"/>
            <w:tcMar>
              <w:top w:w="80" w:type="dxa"/>
              <w:left w:w="80" w:type="dxa"/>
              <w:bottom w:w="80" w:type="dxa"/>
              <w:right w:w="80" w:type="dxa"/>
            </w:tcMar>
          </w:tcPr>
          <w:p w14:paraId="272E5AD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0.027</w:t>
            </w:r>
          </w:p>
        </w:tc>
      </w:tr>
      <w:tr w:rsidR="00E52119" w:rsidRPr="0093616B" w14:paraId="0CE9CFBE" w14:textId="77777777">
        <w:trPr>
          <w:cantSplit/>
          <w:jc w:val="center"/>
        </w:trPr>
        <w:tc>
          <w:tcPr>
            <w:tcW w:w="3600" w:type="dxa"/>
            <w:shd w:val="clear" w:color="auto" w:fill="FFFFFF"/>
            <w:tcMar>
              <w:top w:w="80" w:type="dxa"/>
              <w:left w:w="80" w:type="dxa"/>
              <w:bottom w:w="80" w:type="dxa"/>
              <w:right w:w="80" w:type="dxa"/>
            </w:tcMar>
          </w:tcPr>
          <w:p w14:paraId="52D7C86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Strasberg Type E Injury (Fixed)</w:t>
            </w:r>
          </w:p>
        </w:tc>
        <w:tc>
          <w:tcPr>
            <w:tcW w:w="2016" w:type="dxa"/>
            <w:shd w:val="clear" w:color="auto" w:fill="FFFFFF"/>
            <w:tcMar>
              <w:top w:w="80" w:type="dxa"/>
              <w:left w:w="80" w:type="dxa"/>
              <w:bottom w:w="80" w:type="dxa"/>
              <w:right w:w="80" w:type="dxa"/>
            </w:tcMar>
          </w:tcPr>
          <w:p w14:paraId="3B310C43"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3.12</w:t>
            </w:r>
          </w:p>
        </w:tc>
        <w:tc>
          <w:tcPr>
            <w:tcW w:w="2592" w:type="dxa"/>
            <w:shd w:val="clear" w:color="auto" w:fill="FFFFFF"/>
            <w:tcMar>
              <w:top w:w="80" w:type="dxa"/>
              <w:left w:w="80" w:type="dxa"/>
              <w:bottom w:w="80" w:type="dxa"/>
              <w:right w:w="80" w:type="dxa"/>
            </w:tcMar>
          </w:tcPr>
          <w:p w14:paraId="63B03A2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1.18 to 8.24</w:t>
            </w:r>
          </w:p>
        </w:tc>
        <w:tc>
          <w:tcPr>
            <w:tcW w:w="1152" w:type="dxa"/>
            <w:shd w:val="clear" w:color="auto" w:fill="FFFFFF"/>
            <w:tcMar>
              <w:top w:w="80" w:type="dxa"/>
              <w:left w:w="80" w:type="dxa"/>
              <w:bottom w:w="80" w:type="dxa"/>
              <w:right w:w="80" w:type="dxa"/>
            </w:tcMar>
          </w:tcPr>
          <w:p w14:paraId="7AB500B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0.022</w:t>
            </w:r>
          </w:p>
        </w:tc>
      </w:tr>
      <w:tr w:rsidR="00E52119" w:rsidRPr="0093616B" w14:paraId="73A63CE9" w14:textId="77777777">
        <w:trPr>
          <w:cantSplit/>
          <w:jc w:val="center"/>
        </w:trPr>
        <w:tc>
          <w:tcPr>
            <w:tcW w:w="3600" w:type="dxa"/>
            <w:shd w:val="clear" w:color="auto" w:fill="F8FAFC"/>
            <w:tcMar>
              <w:top w:w="80" w:type="dxa"/>
              <w:left w:w="80" w:type="dxa"/>
              <w:bottom w:w="80" w:type="dxa"/>
              <w:right w:w="80" w:type="dxa"/>
            </w:tcMar>
          </w:tcPr>
          <w:p w14:paraId="00D35C5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lastRenderedPageBreak/>
              <w:t>Patient Age &gt;60 Years (Fixed)</w:t>
            </w:r>
          </w:p>
        </w:tc>
        <w:tc>
          <w:tcPr>
            <w:tcW w:w="2016" w:type="dxa"/>
            <w:shd w:val="clear" w:color="auto" w:fill="F8FAFC"/>
            <w:tcMar>
              <w:top w:w="80" w:type="dxa"/>
              <w:left w:w="80" w:type="dxa"/>
              <w:bottom w:w="80" w:type="dxa"/>
              <w:right w:w="80" w:type="dxa"/>
            </w:tcMar>
          </w:tcPr>
          <w:p w14:paraId="478AC89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1.58</w:t>
            </w:r>
          </w:p>
        </w:tc>
        <w:tc>
          <w:tcPr>
            <w:tcW w:w="2592" w:type="dxa"/>
            <w:shd w:val="clear" w:color="auto" w:fill="F8FAFC"/>
            <w:tcMar>
              <w:top w:w="80" w:type="dxa"/>
              <w:left w:w="80" w:type="dxa"/>
              <w:bottom w:w="80" w:type="dxa"/>
              <w:right w:w="80" w:type="dxa"/>
            </w:tcMar>
          </w:tcPr>
          <w:p w14:paraId="323EA8F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0.62 to 4.05</w:t>
            </w:r>
          </w:p>
        </w:tc>
        <w:tc>
          <w:tcPr>
            <w:tcW w:w="1152" w:type="dxa"/>
            <w:shd w:val="clear" w:color="auto" w:fill="F8FAFC"/>
            <w:tcMar>
              <w:top w:w="80" w:type="dxa"/>
              <w:left w:w="80" w:type="dxa"/>
              <w:bottom w:w="80" w:type="dxa"/>
              <w:right w:w="80" w:type="dxa"/>
            </w:tcMar>
          </w:tcPr>
          <w:p w14:paraId="28E4FC0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0.334</w:t>
            </w:r>
          </w:p>
        </w:tc>
      </w:tr>
      <w:tr w:rsidR="00E52119" w:rsidRPr="0093616B" w14:paraId="012B920C" w14:textId="77777777">
        <w:trPr>
          <w:cantSplit/>
          <w:jc w:val="center"/>
        </w:trPr>
        <w:tc>
          <w:tcPr>
            <w:tcW w:w="3600" w:type="dxa"/>
            <w:shd w:val="clear" w:color="auto" w:fill="FFFFFF"/>
            <w:tcMar>
              <w:top w:w="80" w:type="dxa"/>
              <w:left w:w="80" w:type="dxa"/>
              <w:bottom w:w="80" w:type="dxa"/>
              <w:right w:w="80" w:type="dxa"/>
            </w:tcMar>
          </w:tcPr>
          <w:p w14:paraId="4B7BADB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Acute Cholecystitis (Fixed)</w:t>
            </w:r>
          </w:p>
        </w:tc>
        <w:tc>
          <w:tcPr>
            <w:tcW w:w="2016" w:type="dxa"/>
            <w:shd w:val="clear" w:color="auto" w:fill="FFFFFF"/>
            <w:tcMar>
              <w:top w:w="80" w:type="dxa"/>
              <w:left w:w="80" w:type="dxa"/>
              <w:bottom w:w="80" w:type="dxa"/>
              <w:right w:w="80" w:type="dxa"/>
            </w:tcMar>
          </w:tcPr>
          <w:p w14:paraId="62C3C45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1.48</w:t>
            </w:r>
          </w:p>
        </w:tc>
        <w:tc>
          <w:tcPr>
            <w:tcW w:w="2592" w:type="dxa"/>
            <w:shd w:val="clear" w:color="auto" w:fill="FFFFFF"/>
            <w:tcMar>
              <w:top w:w="80" w:type="dxa"/>
              <w:left w:w="80" w:type="dxa"/>
              <w:bottom w:w="80" w:type="dxa"/>
              <w:right w:w="80" w:type="dxa"/>
            </w:tcMar>
          </w:tcPr>
          <w:p w14:paraId="0B50BB7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0.60 to 3.62</w:t>
            </w:r>
          </w:p>
        </w:tc>
        <w:tc>
          <w:tcPr>
            <w:tcW w:w="1152" w:type="dxa"/>
            <w:shd w:val="clear" w:color="auto" w:fill="FFFFFF"/>
            <w:tcMar>
              <w:top w:w="80" w:type="dxa"/>
              <w:left w:w="80" w:type="dxa"/>
              <w:bottom w:w="80" w:type="dxa"/>
              <w:right w:w="80" w:type="dxa"/>
            </w:tcMar>
          </w:tcPr>
          <w:p w14:paraId="333486F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0.392</w:t>
            </w:r>
          </w:p>
        </w:tc>
      </w:tr>
      <w:tr w:rsidR="00E52119" w:rsidRPr="0093616B" w14:paraId="25239B98" w14:textId="77777777">
        <w:trPr>
          <w:cantSplit/>
          <w:jc w:val="center"/>
        </w:trPr>
        <w:tc>
          <w:tcPr>
            <w:tcW w:w="3600" w:type="dxa"/>
            <w:shd w:val="clear" w:color="auto" w:fill="F8FAFC"/>
            <w:tcMar>
              <w:top w:w="80" w:type="dxa"/>
              <w:left w:w="80" w:type="dxa"/>
              <w:bottom w:w="80" w:type="dxa"/>
              <w:right w:w="80" w:type="dxa"/>
            </w:tcMar>
          </w:tcPr>
          <w:p w14:paraId="7F8E8CA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Surgeon-Level Random Intercept Variance (σ²)</w:t>
            </w:r>
          </w:p>
        </w:tc>
        <w:tc>
          <w:tcPr>
            <w:tcW w:w="2016" w:type="dxa"/>
            <w:shd w:val="clear" w:color="auto" w:fill="F8FAFC"/>
            <w:tcMar>
              <w:top w:w="80" w:type="dxa"/>
              <w:left w:w="80" w:type="dxa"/>
              <w:bottom w:w="80" w:type="dxa"/>
              <w:right w:w="80" w:type="dxa"/>
            </w:tcMar>
          </w:tcPr>
          <w:p w14:paraId="1AB7E38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0.14</w:t>
            </w:r>
          </w:p>
        </w:tc>
        <w:tc>
          <w:tcPr>
            <w:tcW w:w="2592" w:type="dxa"/>
            <w:shd w:val="clear" w:color="auto" w:fill="F8FAFC"/>
            <w:tcMar>
              <w:top w:w="80" w:type="dxa"/>
              <w:left w:w="80" w:type="dxa"/>
              <w:bottom w:w="80" w:type="dxa"/>
              <w:right w:w="80" w:type="dxa"/>
            </w:tcMar>
          </w:tcPr>
          <w:p w14:paraId="1B9F874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0.02 to 0.85</w:t>
            </w:r>
          </w:p>
        </w:tc>
        <w:tc>
          <w:tcPr>
            <w:tcW w:w="1152" w:type="dxa"/>
            <w:shd w:val="clear" w:color="auto" w:fill="F8FAFC"/>
            <w:tcMar>
              <w:top w:w="80" w:type="dxa"/>
              <w:left w:w="80" w:type="dxa"/>
              <w:bottom w:w="80" w:type="dxa"/>
              <w:right w:w="80" w:type="dxa"/>
            </w:tcMar>
          </w:tcPr>
          <w:p w14:paraId="5215B09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N/A</w:t>
            </w:r>
          </w:p>
        </w:tc>
      </w:tr>
      <w:tr w:rsidR="00E52119" w:rsidRPr="0093616B" w14:paraId="054F1265" w14:textId="77777777">
        <w:trPr>
          <w:cantSplit/>
          <w:jc w:val="center"/>
        </w:trPr>
        <w:tc>
          <w:tcPr>
            <w:tcW w:w="3600" w:type="dxa"/>
            <w:shd w:val="clear" w:color="auto" w:fill="FFFFFF"/>
            <w:tcMar>
              <w:top w:w="80" w:type="dxa"/>
              <w:left w:w="80" w:type="dxa"/>
              <w:bottom w:w="80" w:type="dxa"/>
              <w:right w:w="80" w:type="dxa"/>
            </w:tcMar>
          </w:tcPr>
          <w:p w14:paraId="6214E5C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Intraclass Correlation Coefficient (ICC)</w:t>
            </w:r>
          </w:p>
        </w:tc>
        <w:tc>
          <w:tcPr>
            <w:tcW w:w="2016" w:type="dxa"/>
            <w:shd w:val="clear" w:color="auto" w:fill="FFFFFF"/>
            <w:tcMar>
              <w:top w:w="80" w:type="dxa"/>
              <w:left w:w="80" w:type="dxa"/>
              <w:bottom w:w="80" w:type="dxa"/>
              <w:right w:w="80" w:type="dxa"/>
            </w:tcMar>
          </w:tcPr>
          <w:p w14:paraId="56C072D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0.041 (4.1%)</w:t>
            </w:r>
          </w:p>
        </w:tc>
        <w:tc>
          <w:tcPr>
            <w:tcW w:w="2592" w:type="dxa"/>
            <w:shd w:val="clear" w:color="auto" w:fill="FFFFFF"/>
            <w:tcMar>
              <w:top w:w="80" w:type="dxa"/>
              <w:left w:w="80" w:type="dxa"/>
              <w:bottom w:w="80" w:type="dxa"/>
              <w:right w:w="80" w:type="dxa"/>
            </w:tcMar>
          </w:tcPr>
          <w:p w14:paraId="300270A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0.008 to 0.182</w:t>
            </w:r>
          </w:p>
        </w:tc>
        <w:tc>
          <w:tcPr>
            <w:tcW w:w="1152" w:type="dxa"/>
            <w:shd w:val="clear" w:color="auto" w:fill="FFFFFF"/>
            <w:tcMar>
              <w:top w:w="80" w:type="dxa"/>
              <w:left w:w="80" w:type="dxa"/>
              <w:bottom w:w="80" w:type="dxa"/>
              <w:right w:w="80" w:type="dxa"/>
            </w:tcMar>
          </w:tcPr>
          <w:p w14:paraId="68A7B81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N/A</w:t>
            </w:r>
          </w:p>
        </w:tc>
      </w:tr>
    </w:tbl>
    <w:p w14:paraId="458168B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rPr>
        <w:br w:type="page"/>
      </w:r>
    </w:p>
    <w:p w14:paraId="109AD48E" w14:textId="77777777" w:rsidR="00E52119" w:rsidRPr="0093616B" w:rsidRDefault="00000000" w:rsidP="0093616B">
      <w:pPr>
        <w:keepNext/>
        <w:spacing w:before="360" w:after="120"/>
        <w:jc w:val="both"/>
        <w:rPr>
          <w:rFonts w:ascii="Times New Roman" w:hAnsi="Times New Roman" w:cs="Times New Roman"/>
        </w:rPr>
      </w:pPr>
      <w:r w:rsidRPr="0093616B">
        <w:rPr>
          <w:rFonts w:ascii="Times New Roman" w:hAnsi="Times New Roman" w:cs="Times New Roman"/>
          <w:b/>
          <w:color w:val="1B365D"/>
          <w:sz w:val="30"/>
        </w:rPr>
        <w:lastRenderedPageBreak/>
        <w:t>Cohort Database Architecture &amp; Codebook Verification</w:t>
      </w:r>
    </w:p>
    <w:p w14:paraId="04426B8F"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Key Cohort Variable Mappings (Codebook Extract)</w:t>
      </w:r>
    </w:p>
    <w:tbl>
      <w:tblPr>
        <w:tblW w:w="0" w:type="auto"/>
        <w:jc w:val="center"/>
        <w:tblBorders>
          <w:top w:val="single" w:sz="6" w:space="0" w:color="1B365D"/>
          <w:bottom w:val="single" w:sz="6" w:space="0" w:color="1B365D"/>
          <w:insideH w:val="single" w:sz="4" w:space="0" w:color="CBD5E0"/>
        </w:tblBorders>
        <w:tblLayout w:type="fixed"/>
        <w:tblLook w:val="04A0" w:firstRow="1" w:lastRow="0" w:firstColumn="1" w:lastColumn="0" w:noHBand="0" w:noVBand="1"/>
      </w:tblPr>
      <w:tblGrid>
        <w:gridCol w:w="2160"/>
        <w:gridCol w:w="1584"/>
        <w:gridCol w:w="2016"/>
        <w:gridCol w:w="3600"/>
      </w:tblGrid>
      <w:tr w:rsidR="00E52119" w:rsidRPr="0093616B" w14:paraId="4E5054B7" w14:textId="77777777">
        <w:trPr>
          <w:cantSplit/>
          <w:tblHeader/>
          <w:jc w:val="center"/>
        </w:trPr>
        <w:tc>
          <w:tcPr>
            <w:tcW w:w="2160" w:type="dxa"/>
            <w:shd w:val="clear" w:color="auto" w:fill="1B365D"/>
            <w:tcMar>
              <w:top w:w="70" w:type="dxa"/>
              <w:left w:w="70" w:type="dxa"/>
              <w:bottom w:w="70" w:type="dxa"/>
              <w:right w:w="70" w:type="dxa"/>
            </w:tcMar>
          </w:tcPr>
          <w:p w14:paraId="032506D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Variable Name</w:t>
            </w:r>
          </w:p>
        </w:tc>
        <w:tc>
          <w:tcPr>
            <w:tcW w:w="1584" w:type="dxa"/>
            <w:shd w:val="clear" w:color="auto" w:fill="1B365D"/>
            <w:tcMar>
              <w:top w:w="70" w:type="dxa"/>
              <w:left w:w="70" w:type="dxa"/>
              <w:bottom w:w="70" w:type="dxa"/>
              <w:right w:w="70" w:type="dxa"/>
            </w:tcMar>
          </w:tcPr>
          <w:p w14:paraId="3E855C2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Excel Column</w:t>
            </w:r>
          </w:p>
        </w:tc>
        <w:tc>
          <w:tcPr>
            <w:tcW w:w="2016" w:type="dxa"/>
            <w:shd w:val="clear" w:color="auto" w:fill="1B365D"/>
            <w:tcMar>
              <w:top w:w="70" w:type="dxa"/>
              <w:left w:w="70" w:type="dxa"/>
              <w:bottom w:w="70" w:type="dxa"/>
              <w:right w:w="70" w:type="dxa"/>
            </w:tcMar>
          </w:tcPr>
          <w:p w14:paraId="1D2CEE0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Data Type / Units</w:t>
            </w:r>
          </w:p>
        </w:tc>
        <w:tc>
          <w:tcPr>
            <w:tcW w:w="3600" w:type="dxa"/>
            <w:shd w:val="clear" w:color="auto" w:fill="1B365D"/>
            <w:tcMar>
              <w:top w:w="70" w:type="dxa"/>
              <w:left w:w="70" w:type="dxa"/>
              <w:bottom w:w="70" w:type="dxa"/>
              <w:right w:w="70" w:type="dxa"/>
            </w:tcMar>
          </w:tcPr>
          <w:p w14:paraId="5FB56E2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b/>
                <w:color w:val="FFFFFF"/>
                <w:sz w:val="17"/>
              </w:rPr>
              <w:t>Coding / Operational Definition</w:t>
            </w:r>
          </w:p>
        </w:tc>
      </w:tr>
      <w:tr w:rsidR="00E52119" w:rsidRPr="0093616B" w14:paraId="4D2815DB" w14:textId="77777777">
        <w:trPr>
          <w:cantSplit/>
          <w:jc w:val="center"/>
        </w:trPr>
        <w:tc>
          <w:tcPr>
            <w:tcW w:w="2160" w:type="dxa"/>
            <w:shd w:val="clear" w:color="auto" w:fill="F8FAFC"/>
            <w:tcMar>
              <w:top w:w="70" w:type="dxa"/>
              <w:left w:w="70" w:type="dxa"/>
              <w:bottom w:w="70" w:type="dxa"/>
              <w:right w:w="70" w:type="dxa"/>
            </w:tcMar>
          </w:tcPr>
          <w:p w14:paraId="7ACEDC4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Patient_ID</w:t>
            </w:r>
          </w:p>
        </w:tc>
        <w:tc>
          <w:tcPr>
            <w:tcW w:w="1584" w:type="dxa"/>
            <w:shd w:val="clear" w:color="auto" w:fill="F8FAFC"/>
            <w:tcMar>
              <w:top w:w="70" w:type="dxa"/>
              <w:left w:w="70" w:type="dxa"/>
              <w:bottom w:w="70" w:type="dxa"/>
              <w:right w:w="70" w:type="dxa"/>
            </w:tcMar>
          </w:tcPr>
          <w:p w14:paraId="6CE65E6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A (0)</w:t>
            </w:r>
          </w:p>
        </w:tc>
        <w:tc>
          <w:tcPr>
            <w:tcW w:w="2016" w:type="dxa"/>
            <w:shd w:val="clear" w:color="auto" w:fill="F8FAFC"/>
            <w:tcMar>
              <w:top w:w="70" w:type="dxa"/>
              <w:left w:w="70" w:type="dxa"/>
              <w:bottom w:w="70" w:type="dxa"/>
              <w:right w:w="70" w:type="dxa"/>
            </w:tcMar>
          </w:tcPr>
          <w:p w14:paraId="5CC1372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String / ID</w:t>
            </w:r>
          </w:p>
        </w:tc>
        <w:tc>
          <w:tcPr>
            <w:tcW w:w="3600" w:type="dxa"/>
            <w:shd w:val="clear" w:color="auto" w:fill="F8FAFC"/>
            <w:tcMar>
              <w:top w:w="70" w:type="dxa"/>
              <w:left w:w="70" w:type="dxa"/>
              <w:bottom w:w="70" w:type="dxa"/>
              <w:right w:w="70" w:type="dxa"/>
            </w:tcMar>
          </w:tcPr>
          <w:p w14:paraId="7B6E2FA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Unique anonymized patient code (BDI-001 to BDI-102)</w:t>
            </w:r>
          </w:p>
        </w:tc>
      </w:tr>
      <w:tr w:rsidR="00E52119" w:rsidRPr="0093616B" w14:paraId="5AC3498D" w14:textId="77777777">
        <w:trPr>
          <w:cantSplit/>
          <w:jc w:val="center"/>
        </w:trPr>
        <w:tc>
          <w:tcPr>
            <w:tcW w:w="2160" w:type="dxa"/>
            <w:shd w:val="clear" w:color="auto" w:fill="FFFFFF"/>
            <w:tcMar>
              <w:top w:w="70" w:type="dxa"/>
              <w:left w:w="70" w:type="dxa"/>
              <w:bottom w:w="70" w:type="dxa"/>
              <w:right w:w="70" w:type="dxa"/>
            </w:tcMar>
          </w:tcPr>
          <w:p w14:paraId="15DB3EE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Detection_Timing</w:t>
            </w:r>
          </w:p>
        </w:tc>
        <w:tc>
          <w:tcPr>
            <w:tcW w:w="1584" w:type="dxa"/>
            <w:shd w:val="clear" w:color="auto" w:fill="FFFFFF"/>
            <w:tcMar>
              <w:top w:w="70" w:type="dxa"/>
              <w:left w:w="70" w:type="dxa"/>
              <w:bottom w:w="70" w:type="dxa"/>
              <w:right w:w="70" w:type="dxa"/>
            </w:tcMar>
          </w:tcPr>
          <w:p w14:paraId="17094E02"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G (6)</w:t>
            </w:r>
          </w:p>
        </w:tc>
        <w:tc>
          <w:tcPr>
            <w:tcW w:w="2016" w:type="dxa"/>
            <w:shd w:val="clear" w:color="auto" w:fill="FFFFFF"/>
            <w:tcMar>
              <w:top w:w="70" w:type="dxa"/>
              <w:left w:w="70" w:type="dxa"/>
              <w:bottom w:w="70" w:type="dxa"/>
              <w:right w:w="70" w:type="dxa"/>
            </w:tcMar>
          </w:tcPr>
          <w:p w14:paraId="5B0262A4"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Binary / Categorical</w:t>
            </w:r>
          </w:p>
        </w:tc>
        <w:tc>
          <w:tcPr>
            <w:tcW w:w="3600" w:type="dxa"/>
            <w:shd w:val="clear" w:color="auto" w:fill="FFFFFF"/>
            <w:tcMar>
              <w:top w:w="70" w:type="dxa"/>
              <w:left w:w="70" w:type="dxa"/>
              <w:bottom w:w="70" w:type="dxa"/>
              <w:right w:w="70" w:type="dxa"/>
            </w:tcMar>
          </w:tcPr>
          <w:p w14:paraId="058F051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 = Postoperative Detection; 1 = Intraoperative Recognition</w:t>
            </w:r>
          </w:p>
        </w:tc>
      </w:tr>
      <w:tr w:rsidR="00E52119" w:rsidRPr="0093616B" w14:paraId="23E56CE9" w14:textId="77777777">
        <w:trPr>
          <w:cantSplit/>
          <w:jc w:val="center"/>
        </w:trPr>
        <w:tc>
          <w:tcPr>
            <w:tcW w:w="2160" w:type="dxa"/>
            <w:shd w:val="clear" w:color="auto" w:fill="F8FAFC"/>
            <w:tcMar>
              <w:top w:w="70" w:type="dxa"/>
              <w:left w:w="70" w:type="dxa"/>
              <w:bottom w:w="70" w:type="dxa"/>
              <w:right w:w="70" w:type="dxa"/>
            </w:tcMar>
          </w:tcPr>
          <w:p w14:paraId="10E98C4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Strasberg_Class</w:t>
            </w:r>
          </w:p>
        </w:tc>
        <w:tc>
          <w:tcPr>
            <w:tcW w:w="1584" w:type="dxa"/>
            <w:shd w:val="clear" w:color="auto" w:fill="F8FAFC"/>
            <w:tcMar>
              <w:top w:w="70" w:type="dxa"/>
              <w:left w:w="70" w:type="dxa"/>
              <w:bottom w:w="70" w:type="dxa"/>
              <w:right w:w="70" w:type="dxa"/>
            </w:tcMar>
          </w:tcPr>
          <w:p w14:paraId="6AB7426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K (10)</w:t>
            </w:r>
          </w:p>
        </w:tc>
        <w:tc>
          <w:tcPr>
            <w:tcW w:w="2016" w:type="dxa"/>
            <w:shd w:val="clear" w:color="auto" w:fill="F8FAFC"/>
            <w:tcMar>
              <w:top w:w="70" w:type="dxa"/>
              <w:left w:w="70" w:type="dxa"/>
              <w:bottom w:w="70" w:type="dxa"/>
              <w:right w:w="70" w:type="dxa"/>
            </w:tcMar>
          </w:tcPr>
          <w:p w14:paraId="137B559E"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Categorical</w:t>
            </w:r>
          </w:p>
        </w:tc>
        <w:tc>
          <w:tcPr>
            <w:tcW w:w="3600" w:type="dxa"/>
            <w:shd w:val="clear" w:color="auto" w:fill="F8FAFC"/>
            <w:tcMar>
              <w:top w:w="70" w:type="dxa"/>
              <w:left w:w="70" w:type="dxa"/>
              <w:bottom w:w="70" w:type="dxa"/>
              <w:right w:w="70" w:type="dxa"/>
            </w:tcMar>
          </w:tcPr>
          <w:p w14:paraId="7D904CF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Type A, B, C, D, E1, E2, E3, E4, E5</w:t>
            </w:r>
          </w:p>
        </w:tc>
      </w:tr>
      <w:tr w:rsidR="00E52119" w:rsidRPr="0093616B" w14:paraId="13103CB9" w14:textId="77777777">
        <w:trPr>
          <w:cantSplit/>
          <w:jc w:val="center"/>
        </w:trPr>
        <w:tc>
          <w:tcPr>
            <w:tcW w:w="2160" w:type="dxa"/>
            <w:shd w:val="clear" w:color="auto" w:fill="FFFFFF"/>
            <w:tcMar>
              <w:top w:w="70" w:type="dxa"/>
              <w:left w:w="70" w:type="dxa"/>
              <w:bottom w:w="70" w:type="dxa"/>
              <w:right w:w="70" w:type="dxa"/>
            </w:tcMar>
          </w:tcPr>
          <w:p w14:paraId="338FDDB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High_Grade_Injury</w:t>
            </w:r>
          </w:p>
        </w:tc>
        <w:tc>
          <w:tcPr>
            <w:tcW w:w="1584" w:type="dxa"/>
            <w:shd w:val="clear" w:color="auto" w:fill="FFFFFF"/>
            <w:tcMar>
              <w:top w:w="70" w:type="dxa"/>
              <w:left w:w="70" w:type="dxa"/>
              <w:bottom w:w="70" w:type="dxa"/>
              <w:right w:w="70" w:type="dxa"/>
            </w:tcMar>
          </w:tcPr>
          <w:p w14:paraId="3139A2BA"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L (11)</w:t>
            </w:r>
          </w:p>
        </w:tc>
        <w:tc>
          <w:tcPr>
            <w:tcW w:w="2016" w:type="dxa"/>
            <w:shd w:val="clear" w:color="auto" w:fill="FFFFFF"/>
            <w:tcMar>
              <w:top w:w="70" w:type="dxa"/>
              <w:left w:w="70" w:type="dxa"/>
              <w:bottom w:w="70" w:type="dxa"/>
              <w:right w:w="70" w:type="dxa"/>
            </w:tcMar>
          </w:tcPr>
          <w:p w14:paraId="0B248CF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Binary</w:t>
            </w:r>
          </w:p>
        </w:tc>
        <w:tc>
          <w:tcPr>
            <w:tcW w:w="3600" w:type="dxa"/>
            <w:shd w:val="clear" w:color="auto" w:fill="FFFFFF"/>
            <w:tcMar>
              <w:top w:w="70" w:type="dxa"/>
              <w:left w:w="70" w:type="dxa"/>
              <w:bottom w:w="70" w:type="dxa"/>
              <w:right w:w="70" w:type="dxa"/>
            </w:tcMar>
          </w:tcPr>
          <w:p w14:paraId="1440BFF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 = Types A-D (Low grade); 1 = Type E (High grade)</w:t>
            </w:r>
          </w:p>
        </w:tc>
      </w:tr>
      <w:tr w:rsidR="00E52119" w:rsidRPr="0093616B" w14:paraId="49EFFE86" w14:textId="77777777">
        <w:trPr>
          <w:cantSplit/>
          <w:jc w:val="center"/>
        </w:trPr>
        <w:tc>
          <w:tcPr>
            <w:tcW w:w="2160" w:type="dxa"/>
            <w:shd w:val="clear" w:color="auto" w:fill="F8FAFC"/>
            <w:tcMar>
              <w:top w:w="70" w:type="dxa"/>
              <w:left w:w="70" w:type="dxa"/>
              <w:bottom w:w="70" w:type="dxa"/>
              <w:right w:w="70" w:type="dxa"/>
            </w:tcMar>
          </w:tcPr>
          <w:p w14:paraId="70F6333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Repair_Type</w:t>
            </w:r>
          </w:p>
        </w:tc>
        <w:tc>
          <w:tcPr>
            <w:tcW w:w="1584" w:type="dxa"/>
            <w:shd w:val="clear" w:color="auto" w:fill="F8FAFC"/>
            <w:tcMar>
              <w:top w:w="70" w:type="dxa"/>
              <w:left w:w="70" w:type="dxa"/>
              <w:bottom w:w="70" w:type="dxa"/>
              <w:right w:w="70" w:type="dxa"/>
            </w:tcMar>
          </w:tcPr>
          <w:p w14:paraId="30178CB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P (15)</w:t>
            </w:r>
          </w:p>
        </w:tc>
        <w:tc>
          <w:tcPr>
            <w:tcW w:w="2016" w:type="dxa"/>
            <w:shd w:val="clear" w:color="auto" w:fill="F8FAFC"/>
            <w:tcMar>
              <w:top w:w="70" w:type="dxa"/>
              <w:left w:w="70" w:type="dxa"/>
              <w:bottom w:w="70" w:type="dxa"/>
              <w:right w:w="70" w:type="dxa"/>
            </w:tcMar>
          </w:tcPr>
          <w:p w14:paraId="127D0F5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Categorical</w:t>
            </w:r>
          </w:p>
        </w:tc>
        <w:tc>
          <w:tcPr>
            <w:tcW w:w="3600" w:type="dxa"/>
            <w:shd w:val="clear" w:color="auto" w:fill="F8FAFC"/>
            <w:tcMar>
              <w:top w:w="70" w:type="dxa"/>
              <w:left w:w="70" w:type="dxa"/>
              <w:bottom w:w="70" w:type="dxa"/>
              <w:right w:w="70" w:type="dxa"/>
            </w:tcMar>
          </w:tcPr>
          <w:p w14:paraId="62C2101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1 = Primary suture/stent, 2 = Roux-en-Y Hepaticojejunostomy, 3 = Drain only</w:t>
            </w:r>
          </w:p>
        </w:tc>
      </w:tr>
      <w:tr w:rsidR="00E52119" w:rsidRPr="0093616B" w14:paraId="03274859" w14:textId="77777777">
        <w:trPr>
          <w:cantSplit/>
          <w:jc w:val="center"/>
        </w:trPr>
        <w:tc>
          <w:tcPr>
            <w:tcW w:w="2160" w:type="dxa"/>
            <w:shd w:val="clear" w:color="auto" w:fill="FFFFFF"/>
            <w:tcMar>
              <w:top w:w="70" w:type="dxa"/>
              <w:left w:w="70" w:type="dxa"/>
              <w:bottom w:w="70" w:type="dxa"/>
              <w:right w:w="70" w:type="dxa"/>
            </w:tcMar>
          </w:tcPr>
          <w:p w14:paraId="17042F0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Major_Morbidity_30d</w:t>
            </w:r>
          </w:p>
        </w:tc>
        <w:tc>
          <w:tcPr>
            <w:tcW w:w="1584" w:type="dxa"/>
            <w:shd w:val="clear" w:color="auto" w:fill="FFFFFF"/>
            <w:tcMar>
              <w:top w:w="70" w:type="dxa"/>
              <w:left w:w="70" w:type="dxa"/>
              <w:bottom w:w="70" w:type="dxa"/>
              <w:right w:w="70" w:type="dxa"/>
            </w:tcMar>
          </w:tcPr>
          <w:p w14:paraId="168DCD6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W (22)</w:t>
            </w:r>
          </w:p>
        </w:tc>
        <w:tc>
          <w:tcPr>
            <w:tcW w:w="2016" w:type="dxa"/>
            <w:shd w:val="clear" w:color="auto" w:fill="FFFFFF"/>
            <w:tcMar>
              <w:top w:w="70" w:type="dxa"/>
              <w:left w:w="70" w:type="dxa"/>
              <w:bottom w:w="70" w:type="dxa"/>
              <w:right w:w="70" w:type="dxa"/>
            </w:tcMar>
          </w:tcPr>
          <w:p w14:paraId="590EC848"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Binary</w:t>
            </w:r>
          </w:p>
        </w:tc>
        <w:tc>
          <w:tcPr>
            <w:tcW w:w="3600" w:type="dxa"/>
            <w:shd w:val="clear" w:color="auto" w:fill="FFFFFF"/>
            <w:tcMar>
              <w:top w:w="70" w:type="dxa"/>
              <w:left w:w="70" w:type="dxa"/>
              <w:bottom w:w="70" w:type="dxa"/>
              <w:right w:w="70" w:type="dxa"/>
            </w:tcMar>
          </w:tcPr>
          <w:p w14:paraId="27264B66"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 = Clavien-Dindo I-II; 1 = Clavien-Dindo III-V</w:t>
            </w:r>
          </w:p>
        </w:tc>
      </w:tr>
      <w:tr w:rsidR="00E52119" w:rsidRPr="0093616B" w14:paraId="3195B65A" w14:textId="77777777">
        <w:trPr>
          <w:cantSplit/>
          <w:jc w:val="center"/>
        </w:trPr>
        <w:tc>
          <w:tcPr>
            <w:tcW w:w="2160" w:type="dxa"/>
            <w:shd w:val="clear" w:color="auto" w:fill="F8FAFC"/>
            <w:tcMar>
              <w:top w:w="70" w:type="dxa"/>
              <w:left w:w="70" w:type="dxa"/>
              <w:bottom w:w="70" w:type="dxa"/>
              <w:right w:w="70" w:type="dxa"/>
            </w:tcMar>
          </w:tcPr>
          <w:p w14:paraId="150F2BF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Stricture_Development</w:t>
            </w:r>
          </w:p>
        </w:tc>
        <w:tc>
          <w:tcPr>
            <w:tcW w:w="1584" w:type="dxa"/>
            <w:shd w:val="clear" w:color="auto" w:fill="F8FAFC"/>
            <w:tcMar>
              <w:top w:w="70" w:type="dxa"/>
              <w:left w:w="70" w:type="dxa"/>
              <w:bottom w:w="70" w:type="dxa"/>
              <w:right w:w="70" w:type="dxa"/>
            </w:tcMar>
          </w:tcPr>
          <w:p w14:paraId="02166DF7"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AF (31)</w:t>
            </w:r>
          </w:p>
        </w:tc>
        <w:tc>
          <w:tcPr>
            <w:tcW w:w="2016" w:type="dxa"/>
            <w:shd w:val="clear" w:color="auto" w:fill="F8FAFC"/>
            <w:tcMar>
              <w:top w:w="70" w:type="dxa"/>
              <w:left w:w="70" w:type="dxa"/>
              <w:bottom w:w="70" w:type="dxa"/>
              <w:right w:w="70" w:type="dxa"/>
            </w:tcMar>
          </w:tcPr>
          <w:p w14:paraId="31854EE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Binary</w:t>
            </w:r>
          </w:p>
        </w:tc>
        <w:tc>
          <w:tcPr>
            <w:tcW w:w="3600" w:type="dxa"/>
            <w:shd w:val="clear" w:color="auto" w:fill="F8FAFC"/>
            <w:tcMar>
              <w:top w:w="70" w:type="dxa"/>
              <w:left w:w="70" w:type="dxa"/>
              <w:bottom w:w="70" w:type="dxa"/>
              <w:right w:w="70" w:type="dxa"/>
            </w:tcMar>
          </w:tcPr>
          <w:p w14:paraId="6231F520"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 = No stricture; 1 = Confirmed stricture on MRCP/ERCP</w:t>
            </w:r>
          </w:p>
        </w:tc>
      </w:tr>
      <w:tr w:rsidR="00E52119" w:rsidRPr="0093616B" w14:paraId="7BB7DD56" w14:textId="77777777">
        <w:trPr>
          <w:cantSplit/>
          <w:jc w:val="center"/>
        </w:trPr>
        <w:tc>
          <w:tcPr>
            <w:tcW w:w="2160" w:type="dxa"/>
            <w:shd w:val="clear" w:color="auto" w:fill="FFFFFF"/>
            <w:tcMar>
              <w:top w:w="70" w:type="dxa"/>
              <w:left w:w="70" w:type="dxa"/>
              <w:bottom w:w="70" w:type="dxa"/>
              <w:right w:w="70" w:type="dxa"/>
            </w:tcMar>
          </w:tcPr>
          <w:p w14:paraId="5781597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SF36_Physical_24m</w:t>
            </w:r>
          </w:p>
        </w:tc>
        <w:tc>
          <w:tcPr>
            <w:tcW w:w="1584" w:type="dxa"/>
            <w:shd w:val="clear" w:color="auto" w:fill="FFFFFF"/>
            <w:tcMar>
              <w:top w:w="70" w:type="dxa"/>
              <w:left w:w="70" w:type="dxa"/>
              <w:bottom w:w="70" w:type="dxa"/>
              <w:right w:w="70" w:type="dxa"/>
            </w:tcMar>
          </w:tcPr>
          <w:p w14:paraId="1852CC21"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AP (41)</w:t>
            </w:r>
          </w:p>
        </w:tc>
        <w:tc>
          <w:tcPr>
            <w:tcW w:w="2016" w:type="dxa"/>
            <w:shd w:val="clear" w:color="auto" w:fill="FFFFFF"/>
            <w:tcMar>
              <w:top w:w="70" w:type="dxa"/>
              <w:left w:w="70" w:type="dxa"/>
              <w:bottom w:w="70" w:type="dxa"/>
              <w:right w:w="70" w:type="dxa"/>
            </w:tcMar>
          </w:tcPr>
          <w:p w14:paraId="3B6DDEE9"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Continuous (0-100)</w:t>
            </w:r>
          </w:p>
        </w:tc>
        <w:tc>
          <w:tcPr>
            <w:tcW w:w="3600" w:type="dxa"/>
            <w:shd w:val="clear" w:color="auto" w:fill="FFFFFF"/>
            <w:tcMar>
              <w:top w:w="70" w:type="dxa"/>
              <w:left w:w="70" w:type="dxa"/>
              <w:bottom w:w="70" w:type="dxa"/>
              <w:right w:w="70" w:type="dxa"/>
            </w:tcMar>
          </w:tcPr>
          <w:p w14:paraId="010D7115"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Physical Component Summary score at 24 months follow-up</w:t>
            </w:r>
          </w:p>
        </w:tc>
      </w:tr>
      <w:tr w:rsidR="00E52119" w:rsidRPr="0093616B" w14:paraId="1D69CB61" w14:textId="77777777">
        <w:trPr>
          <w:cantSplit/>
          <w:jc w:val="center"/>
        </w:trPr>
        <w:tc>
          <w:tcPr>
            <w:tcW w:w="2160" w:type="dxa"/>
            <w:shd w:val="clear" w:color="auto" w:fill="F8FAFC"/>
            <w:tcMar>
              <w:top w:w="70" w:type="dxa"/>
              <w:left w:w="70" w:type="dxa"/>
              <w:bottom w:w="70" w:type="dxa"/>
              <w:right w:w="70" w:type="dxa"/>
            </w:tcMar>
          </w:tcPr>
          <w:p w14:paraId="57B31A9D"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Referral_Status</w:t>
            </w:r>
          </w:p>
        </w:tc>
        <w:tc>
          <w:tcPr>
            <w:tcW w:w="1584" w:type="dxa"/>
            <w:shd w:val="clear" w:color="auto" w:fill="F8FAFC"/>
            <w:tcMar>
              <w:top w:w="70" w:type="dxa"/>
              <w:left w:w="70" w:type="dxa"/>
              <w:bottom w:w="70" w:type="dxa"/>
              <w:right w:w="70" w:type="dxa"/>
            </w:tcMar>
          </w:tcPr>
          <w:p w14:paraId="0D10CD7C"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Col AW (48)</w:t>
            </w:r>
          </w:p>
        </w:tc>
        <w:tc>
          <w:tcPr>
            <w:tcW w:w="2016" w:type="dxa"/>
            <w:shd w:val="clear" w:color="auto" w:fill="F8FAFC"/>
            <w:tcMar>
              <w:top w:w="70" w:type="dxa"/>
              <w:left w:w="70" w:type="dxa"/>
              <w:bottom w:w="70" w:type="dxa"/>
              <w:right w:w="70" w:type="dxa"/>
            </w:tcMar>
          </w:tcPr>
          <w:p w14:paraId="58A7B65B"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Binary</w:t>
            </w:r>
          </w:p>
        </w:tc>
        <w:tc>
          <w:tcPr>
            <w:tcW w:w="3600" w:type="dxa"/>
            <w:shd w:val="clear" w:color="auto" w:fill="F8FAFC"/>
            <w:tcMar>
              <w:top w:w="70" w:type="dxa"/>
              <w:left w:w="70" w:type="dxa"/>
              <w:bottom w:w="70" w:type="dxa"/>
              <w:right w:w="70" w:type="dxa"/>
            </w:tcMar>
          </w:tcPr>
          <w:p w14:paraId="350BB69F" w14:textId="77777777" w:rsidR="00E52119" w:rsidRPr="0093616B" w:rsidRDefault="00000000" w:rsidP="0093616B">
            <w:pPr>
              <w:jc w:val="both"/>
              <w:rPr>
                <w:rFonts w:ascii="Times New Roman" w:hAnsi="Times New Roman" w:cs="Times New Roman"/>
              </w:rPr>
            </w:pPr>
            <w:r w:rsidRPr="0093616B">
              <w:rPr>
                <w:rFonts w:ascii="Times New Roman" w:hAnsi="Times New Roman" w:cs="Times New Roman"/>
                <w:color w:val="2D3748"/>
                <w:sz w:val="17"/>
              </w:rPr>
              <w:t>0 = Index Institution Primary Case; 1 = Tertiary Transfer</w:t>
            </w:r>
          </w:p>
        </w:tc>
      </w:tr>
    </w:tbl>
    <w:p w14:paraId="7EAC0500" w14:textId="77777777" w:rsidR="00E52119" w:rsidRPr="0093616B" w:rsidRDefault="00000000" w:rsidP="0093616B">
      <w:pPr>
        <w:keepNext/>
        <w:spacing w:before="240" w:after="80"/>
        <w:jc w:val="both"/>
        <w:rPr>
          <w:rFonts w:ascii="Times New Roman" w:hAnsi="Times New Roman" w:cs="Times New Roman"/>
        </w:rPr>
      </w:pPr>
      <w:r w:rsidRPr="0093616B">
        <w:rPr>
          <w:rFonts w:ascii="Times New Roman" w:hAnsi="Times New Roman" w:cs="Times New Roman"/>
          <w:b/>
          <w:color w:val="4A5568"/>
          <w:sz w:val="25"/>
        </w:rPr>
        <w:t>Key Counts &amp; Verification Checklist</w:t>
      </w:r>
    </w:p>
    <w:p w14:paraId="2848DD1E"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 Total Analyzed Cohort: 102 Patients (100% verification against Excel database rows 4 to 105).</w:t>
      </w:r>
    </w:p>
    <w:p w14:paraId="0E579527"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 Intraoperative Detection Group: 41 Patients (40.2%).</w:t>
      </w:r>
    </w:p>
    <w:p w14:paraId="5101B70F"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 Postoperative Detection Group: 61 Patients (59.8%).</w:t>
      </w:r>
    </w:p>
    <w:p w14:paraId="49D895A3"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 Propensity Score Matched Subgroup: 68 Patients (34 balanced pairs).</w:t>
      </w:r>
    </w:p>
    <w:p w14:paraId="14F16A3B"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 Tertiary Referral Transfers: 57 Patients (55.9%); Index Institution Cases: 45 Patients (44.1%).</w:t>
      </w:r>
    </w:p>
    <w:p w14:paraId="0C850F03" w14:textId="77777777" w:rsidR="00E52119" w:rsidRPr="0093616B" w:rsidRDefault="00000000" w:rsidP="0093616B">
      <w:pPr>
        <w:spacing w:after="120"/>
        <w:jc w:val="both"/>
        <w:rPr>
          <w:rFonts w:ascii="Times New Roman" w:hAnsi="Times New Roman" w:cs="Times New Roman"/>
        </w:rPr>
      </w:pPr>
      <w:r w:rsidRPr="0093616B">
        <w:rPr>
          <w:rFonts w:ascii="Times New Roman" w:hAnsi="Times New Roman" w:cs="Times New Roman"/>
          <w:color w:val="2D3748"/>
          <w:sz w:val="20"/>
        </w:rPr>
        <w:t>• Long-Term Follow-up Completion: 97 Patients (95.1%, median 36 months follow-up duration).</w:t>
      </w:r>
    </w:p>
    <w:sectPr w:rsidR="00E52119" w:rsidRPr="0093616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9189299">
    <w:abstractNumId w:val="8"/>
  </w:num>
  <w:num w:numId="2" w16cid:durableId="1835292349">
    <w:abstractNumId w:val="6"/>
  </w:num>
  <w:num w:numId="3" w16cid:durableId="1759866518">
    <w:abstractNumId w:val="5"/>
  </w:num>
  <w:num w:numId="4" w16cid:durableId="1210455325">
    <w:abstractNumId w:val="4"/>
  </w:num>
  <w:num w:numId="5" w16cid:durableId="1967419437">
    <w:abstractNumId w:val="7"/>
  </w:num>
  <w:num w:numId="6" w16cid:durableId="1293362462">
    <w:abstractNumId w:val="3"/>
  </w:num>
  <w:num w:numId="7" w16cid:durableId="1806120900">
    <w:abstractNumId w:val="2"/>
  </w:num>
  <w:num w:numId="8" w16cid:durableId="474685457">
    <w:abstractNumId w:val="1"/>
  </w:num>
  <w:num w:numId="9" w16cid:durableId="1724519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3616B"/>
    <w:rsid w:val="00AA1D8D"/>
    <w:rsid w:val="00AB0D97"/>
    <w:rsid w:val="00B47730"/>
    <w:rsid w:val="00CB0664"/>
    <w:rsid w:val="00E521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D2642"/>
  <w14:defaultImageDpi w14:val="300"/>
  <w15:docId w15:val="{8E3FABFC-5B27-495F-820C-99387F52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1739</Words>
  <Characters>9915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2026-08-21T14:13:00Z</dcterms:modified>
  <cp:category/>
</cp:coreProperties>
</file>