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4"/>
        </w:rPr>
        <w:t>Supplementary information</w:t>
      </w:r>
    </w:p>
    <w:p>
      <w:pPr>
        <w:pStyle w:val="Heading1"/>
      </w:pPr>
      <w:r>
        <w:t>Supplementary methods</w:t>
      </w:r>
    </w:p>
    <w:p>
      <w:pPr>
        <w:pStyle w:val="Heading2"/>
      </w:pPr>
      <w:r>
        <w:t>Indicator interpretation</w:t>
      </w:r>
    </w:p>
    <w:p>
      <w:r>
        <w:rPr>
          <w:rFonts w:ascii="Arial" w:hAnsi="Arial"/>
        </w:rPr>
        <w:t>All outputs are screening indicators. Dependency GVW and pressure-weighted magnitude are weighted magnitudes rather than proportions or monetary values. DWEE and PWEE use graded ENCORE scores. Geographic values are modelled or allocated origin shares of indicator signals.</w:t>
      </w:r>
    </w:p>
    <w:p>
      <w:pPr>
        <w:pStyle w:val="Heading2"/>
      </w:pPr>
      <w:r>
        <w:t>Rating groups</w:t>
      </w:r>
    </w:p>
    <w:p>
      <w:r>
        <w:rPr>
          <w:rFonts w:ascii="Arial" w:hAnsi="Arial"/>
        </w:rPr>
        <w:t>The production pipeline retains Very low, Low, Medium, High and Very high ratings and the grouped selections High + Very high, Medium + High + Very high and All ratings. Main analyses use High + Very high for thresholded indicators and all graded scores for DWEE/PWEE.</w:t>
      </w:r>
    </w:p>
    <w:p>
      <w:pPr>
        <w:pStyle w:val="Heading2"/>
      </w:pPr>
      <w:r>
        <w:t>Reconciliation</w:t>
      </w:r>
    </w:p>
    <w:p>
      <w:r>
        <w:rPr>
          <w:rFonts w:ascii="Arial" w:hAnsi="Arial"/>
        </w:rPr>
        <w:t>For each economy, indicator, threshold, rating and scope, origin-country contributions sum to the independently generated non-geographic total. Region summaries sum to the country-origin layer. Direct values are 100% focal-economy domestic. Dimension-level pilot outputs additionally reconcile service-specific rows to DWEE and pressure-specific rows to PWEE.</w:t>
      </w:r>
    </w:p>
    <w:p>
      <w:pPr>
        <w:pStyle w:val="Heading1"/>
      </w:pPr>
      <w:r>
        <w:t>Supplementary results</w:t>
      </w:r>
    </w:p>
    <w:p>
      <w:pPr>
        <w:pStyle w:val="Heading2"/>
      </w:pPr>
      <w:r>
        <w:t>Table S1. Joint screening classification counts</w:t>
      </w:r>
    </w:p>
    <w:p>
      <w:pPr>
        <w:pStyle w:val="Caption"/>
        <w:keepNext/>
      </w:pPr>
      <w:r>
        <w:rPr>
          <w:b/>
        </w:rPr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500"/>
        <w:gridCol w:w="2860"/>
      </w:tblGrid>
      <w:tr>
        <w:trPr>
          <w:tblHeader/>
        </w:trP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Profile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Number of economies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High dependency and pressure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40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Dependency-dominant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Pressure-dominant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Lower joint signal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133</w:t>
            </w:r>
          </w:p>
        </w:tc>
      </w:tr>
    </w:tbl>
    <w:p>
      <w:pPr>
        <w:spacing w:after="20"/>
      </w:pPr>
    </w:p>
    <w:p>
      <w:pPr>
        <w:pStyle w:val="Heading2"/>
      </w:pPr>
      <w:r>
        <w:t>Table S2. Dependency-dominant economies</w:t>
      </w:r>
    </w:p>
    <w:p>
      <w:r>
        <w:rPr>
          <w:rFonts w:ascii="Arial" w:hAnsi="Arial"/>
        </w:rPr>
        <w:t>Moldova; Kyrgyzstan; Egypt; North Korea; Democratic Republic of the Congo; Belarus; Nepal; Macao SAR.</w:t>
      </w:r>
    </w:p>
    <w:p>
      <w:pPr>
        <w:pStyle w:val="Heading2"/>
      </w:pPr>
      <w:r>
        <w:t>Table S3. Pressure-dominant economies</w:t>
      </w:r>
    </w:p>
    <w:p>
      <w:r>
        <w:rPr>
          <w:rFonts w:ascii="Arial" w:hAnsi="Arial"/>
        </w:rPr>
        <w:t>Syria; Dominican Republic; India; Eritrea; Mauritius; Ghana; Lesotho; Taiwan.</w:t>
      </w:r>
    </w:p>
    <w:p>
      <w:pPr>
        <w:pStyle w:val="Heading2"/>
      </w:pPr>
      <w:r>
        <w:t>Table S4. Threshold rank stability</w:t>
      </w:r>
    </w:p>
    <w:p>
      <w:pPr>
        <w:pStyle w:val="Caption"/>
        <w:keepNext/>
      </w:pPr>
      <w:r>
        <w:rPr>
          <w:b/>
        </w:rPr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Indicator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Spearman rho, 1% vs 5%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Spearman rho, 5% vs 10%</w:t>
            </w:r>
          </w:p>
        </w:tc>
      </w:tr>
      <w:tr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Dependency GVW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0.816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0.966</w:t>
            </w:r>
          </w:p>
        </w:tc>
      </w:tr>
      <w:tr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Pressure-weighted magnitude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0.758</w:t>
            </w:r>
          </w:p>
        </w:tc>
        <w:tc>
          <w:tcPr>
            <w:tcW w:type="dxa" w:w="312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0.929</w:t>
            </w:r>
          </w:p>
        </w:tc>
      </w:tr>
    </w:tbl>
    <w:p>
      <w:pPr>
        <w:spacing w:after="20"/>
      </w:pPr>
    </w:p>
    <w:p>
      <w:pPr>
        <w:pStyle w:val="Heading2"/>
      </w:pPr>
      <w:r>
        <w:t>Table S5. Validation gates</w:t>
      </w:r>
    </w:p>
    <w:p>
      <w:pPr>
        <w:pStyle w:val="Caption"/>
        <w:keepNext/>
      </w:pPr>
      <w:r>
        <w:rPr>
          <w:b/>
        </w:rPr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500"/>
        <w:gridCol w:w="2860"/>
      </w:tblGrid>
      <w:tr>
        <w:trPr>
          <w:tblHeader/>
        </w:trP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Gate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E9EEF0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Result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Economy coverage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189/189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Required files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five files for all economies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Calculation errors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none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Maximum origin vs non-geographic difference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3.46 x 10^-8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Maximum region vs country-origin difference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5.82 x 10^-11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Direct foreign contribution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zero</w:t>
            </w:r>
          </w:p>
        </w:tc>
      </w:tr>
      <w:tr>
        <w:tc>
          <w:tcPr>
            <w:tcW w:type="dxa" w:w="6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Threshold ordering</w:t>
            </w:r>
          </w:p>
        </w:tc>
        <w:tc>
          <w:tcPr>
            <w:tcW w:type="dxa" w:w="2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Pass: 756/756 profiles</w:t>
            </w:r>
          </w:p>
        </w:tc>
      </w:tr>
    </w:tbl>
    <w:p>
      <w:pPr>
        <w:spacing w:after="20"/>
      </w:pPr>
    </w:p>
    <w:p>
      <w:pPr>
        <w:pStyle w:val="Heading1"/>
      </w:pPr>
      <w:r>
        <w:t>Machine-readable supplementary tables</w:t>
      </w:r>
    </w:p>
    <w:p>
      <w:r>
        <w:rPr>
          <w:rFonts w:ascii="Arial" w:hAnsi="Arial"/>
        </w:rPr>
        <w:t>The accompanying analysis folder contains:</w:t>
      </w:r>
    </w:p>
    <w:p>
      <w:pPr>
        <w:pStyle w:val="ListBullet"/>
      </w:pPr>
      <w:r>
        <w:rPr>
          <w:rFonts w:ascii="Arial" w:hAnsi="Arial"/>
        </w:rPr>
        <w:t>country_joint_profiles.csv</w:t>
      </w:r>
    </w:p>
    <w:p>
      <w:pPr>
        <w:pStyle w:val="ListBullet"/>
      </w:pPr>
      <w:r>
        <w:rPr>
          <w:rFonts w:ascii="Arial" w:hAnsi="Arial"/>
        </w:rPr>
        <w:t>country_tier_domestic_foreign_profiles.csv</w:t>
      </w:r>
    </w:p>
    <w:p>
      <w:pPr>
        <w:pStyle w:val="ListBullet"/>
      </w:pPr>
      <w:r>
        <w:rPr>
          <w:rFonts w:ascii="Arial" w:hAnsi="Arial"/>
        </w:rPr>
        <w:t>country_origin_region_profiles.csv</w:t>
      </w:r>
    </w:p>
    <w:p>
      <w:pPr>
        <w:pStyle w:val="ListBullet"/>
      </w:pPr>
      <w:r>
        <w:rPr>
          <w:rFonts w:ascii="Arial" w:hAnsi="Arial"/>
        </w:rPr>
        <w:t>threshold_sensitivity_profiles.csv</w:t>
      </w:r>
    </w:p>
    <w:p>
      <w:pPr>
        <w:pStyle w:val="ListBullet"/>
      </w:pPr>
      <w:r>
        <w:rPr>
          <w:rFonts w:ascii="Arial" w:hAnsi="Arial"/>
        </w:rPr>
        <w:t>exploratory_correlations.csv</w:t>
      </w:r>
    </w:p>
    <w:p>
      <w:pPr>
        <w:pStyle w:val="ListBullet"/>
      </w:pPr>
      <w:r>
        <w:rPr>
          <w:rFonts w:ascii="Arial" w:hAnsi="Arial"/>
        </w:rPr>
        <w:t>summary_statistics.csv</w:t>
      </w:r>
    </w:p>
    <w:p>
      <w:pPr>
        <w:pStyle w:val="ListBullet"/>
      </w:pPr>
      <w:r>
        <w:rPr>
          <w:rFonts w:ascii="Arial" w:hAnsi="Arial"/>
        </w:rPr>
        <w:t>top20_joint_screening_profiles.csv</w:t>
      </w:r>
    </w:p>
    <w:p>
      <w:pPr>
        <w:pStyle w:val="ListBullet"/>
      </w:pPr>
      <w:r>
        <w:rPr>
          <w:rFonts w:ascii="Arial" w:hAnsi="Arial"/>
        </w:rPr>
        <w:t>validation_summary.json</w:t>
      </w:r>
    </w:p>
    <w:p>
      <w:r>
        <w:rPr>
          <w:rFonts w:ascii="Arial" w:hAnsi="Arial"/>
        </w:rPr>
        <w:t>These files are produced by scripts/build_submission_analysis.py from the corrected audited country outputs.</w:t>
      </w:r>
    </w:p>
    <w:sectPr w:rsidR="00FC693F" w:rsidRPr="0006063C" w:rsidSect="00034616">
      <w:footerReference w:type="default" r:id="rId9"/>
      <w:pgSz w:w="12240" w:h="15840"/>
      <w:pgMar w:top="1224" w:right="1296" w:bottom="1224" w:left="1296" w:header="576" w:footer="576" w:gutter="0"/>
      <w:cols w:space="720"/>
      <w:docGrid w:linePitch="360"/>
      <w:lnNumType w:countBy="1" w:restart="continuous" w:distance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A5A5A"/>
        <w:sz w:val="18"/>
      </w:rPr>
      <w:t xml:space="preserve">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408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64" w:lineRule="auto" w:before="80" w:after="160"/>
    </w:pPr>
    <w:rPr>
      <w:rFonts w:ascii="Arial" w:hAnsi="Arial"/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van Huyssteen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