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EC4706" w14:textId="77777777" w:rsidR="00DF062F" w:rsidRDefault="00DF062F" w:rsidP="00DF062F">
      <w:pPr>
        <w:spacing w:line="360" w:lineRule="auto"/>
        <w:rPr>
          <w:rFonts w:ascii="Arial" w:eastAsia="Calibri" w:hAnsi="Arial" w:cs="Arial"/>
          <w:b/>
          <w:bCs/>
          <w:sz w:val="28"/>
          <w:szCs w:val="28"/>
        </w:rPr>
      </w:pPr>
      <w:r w:rsidRPr="00DF062F">
        <w:rPr>
          <w:rFonts w:ascii="Arial" w:eastAsia="Calibri" w:hAnsi="Arial" w:cs="Arial"/>
          <w:b/>
          <w:bCs/>
          <w:sz w:val="28"/>
          <w:szCs w:val="28"/>
        </w:rPr>
        <w:t>FGD Health Office (</w:t>
      </w:r>
      <w:proofErr w:type="spellStart"/>
      <w:r w:rsidRPr="00DF062F">
        <w:rPr>
          <w:rFonts w:ascii="Arial" w:eastAsia="Calibri" w:hAnsi="Arial" w:cs="Arial"/>
          <w:b/>
          <w:bCs/>
          <w:sz w:val="28"/>
          <w:szCs w:val="28"/>
        </w:rPr>
        <w:t>Dinkes</w:t>
      </w:r>
      <w:proofErr w:type="spellEnd"/>
      <w:r w:rsidRPr="00DF062F">
        <w:rPr>
          <w:rFonts w:ascii="Arial" w:eastAsia="Calibri" w:hAnsi="Arial" w:cs="Arial"/>
          <w:b/>
          <w:bCs/>
          <w:sz w:val="28"/>
          <w:szCs w:val="28"/>
        </w:rPr>
        <w:t>) Southwest Sumba</w:t>
      </w:r>
    </w:p>
    <w:p w14:paraId="476D6268" w14:textId="77777777" w:rsidR="00DF062F" w:rsidRPr="00DF062F" w:rsidRDefault="00DF062F" w:rsidP="00DF062F">
      <w:pPr>
        <w:spacing w:line="360" w:lineRule="auto"/>
        <w:rPr>
          <w:rFonts w:ascii="Arial" w:eastAsia="Calibri" w:hAnsi="Arial" w:cs="Arial"/>
          <w:b/>
          <w:bCs/>
          <w:sz w:val="28"/>
          <w:szCs w:val="28"/>
        </w:rPr>
      </w:pPr>
    </w:p>
    <w:p w14:paraId="4A651695"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 xml:space="preserve">[Speaker 4] (0:05 - 0:14) Let's start with self-introductions from Mr. Jeffrey and Mr. Ronald first, then from Ms. </w:t>
      </w:r>
      <w:proofErr w:type="spellStart"/>
      <w:r w:rsidRPr="00DF062F">
        <w:rPr>
          <w:rFonts w:ascii="Arial" w:eastAsia="Calibri" w:hAnsi="Arial" w:cs="Arial"/>
          <w:sz w:val="22"/>
          <w:szCs w:val="22"/>
        </w:rPr>
        <w:t>Herdin's</w:t>
      </w:r>
      <w:proofErr w:type="spellEnd"/>
      <w:r w:rsidRPr="00DF062F">
        <w:rPr>
          <w:rFonts w:ascii="Arial" w:eastAsia="Calibri" w:hAnsi="Arial" w:cs="Arial"/>
          <w:sz w:val="22"/>
          <w:szCs w:val="22"/>
        </w:rPr>
        <w:t xml:space="preserve"> Health Office team, please introduce yourselves later.</w:t>
      </w:r>
    </w:p>
    <w:p w14:paraId="23203410"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 xml:space="preserve">[Speaker 1] (0:15 - 0:24) Thank you. My name is </w:t>
      </w:r>
      <w:proofErr w:type="spellStart"/>
      <w:r w:rsidRPr="00DF062F">
        <w:rPr>
          <w:rFonts w:ascii="Arial" w:eastAsia="Calibri" w:hAnsi="Arial" w:cs="Arial"/>
          <w:sz w:val="22"/>
          <w:szCs w:val="22"/>
        </w:rPr>
        <w:t>Redemptus</w:t>
      </w:r>
      <w:proofErr w:type="spellEnd"/>
      <w:r w:rsidRPr="00DF062F">
        <w:rPr>
          <w:rFonts w:ascii="Arial" w:eastAsia="Calibri" w:hAnsi="Arial" w:cs="Arial"/>
          <w:sz w:val="22"/>
          <w:szCs w:val="22"/>
        </w:rPr>
        <w:t xml:space="preserve"> Jepingongo, working at </w:t>
      </w:r>
      <w:proofErr w:type="spellStart"/>
      <w:r w:rsidRPr="00DF062F">
        <w:rPr>
          <w:rFonts w:ascii="Arial" w:eastAsia="Calibri" w:hAnsi="Arial" w:cs="Arial"/>
          <w:sz w:val="22"/>
          <w:szCs w:val="22"/>
        </w:rPr>
        <w:t>Bapperida</w:t>
      </w:r>
      <w:proofErr w:type="spellEnd"/>
      <w:r w:rsidRPr="00DF062F">
        <w:rPr>
          <w:rFonts w:ascii="Arial" w:eastAsia="Calibri" w:hAnsi="Arial" w:cs="Arial"/>
          <w:sz w:val="22"/>
          <w:szCs w:val="22"/>
        </w:rPr>
        <w:t>, Southwest Sumba.</w:t>
      </w:r>
    </w:p>
    <w:p w14:paraId="257A0CCD"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4] (0:26 - 0:27) In which section?</w:t>
      </w:r>
    </w:p>
    <w:p w14:paraId="5649D6C8"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1] (0:28 - 0:31) In the Governance and Socio-Cultural Division.</w:t>
      </w:r>
    </w:p>
    <w:p w14:paraId="69C1AD57"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5] (0:35 - 0:52) Yes, hello, my name is Maria Herlinda Dopo, I am from the Health Office. Currently, I work in the Medical Devices section as a manager of medical devices.</w:t>
      </w:r>
    </w:p>
    <w:p w14:paraId="4623D805"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4] (0:54 - 0:55) Welcome, Mr. Ronald.</w:t>
      </w:r>
    </w:p>
    <w:p w14:paraId="6823037E"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 xml:space="preserve">[Speaker 2] (0:58 - 1:13) Thank you. I am Ronald </w:t>
      </w:r>
      <w:proofErr w:type="spellStart"/>
      <w:r w:rsidRPr="00DF062F">
        <w:rPr>
          <w:rFonts w:ascii="Arial" w:eastAsia="Calibri" w:hAnsi="Arial" w:cs="Arial"/>
          <w:sz w:val="22"/>
          <w:szCs w:val="22"/>
        </w:rPr>
        <w:t>Astop</w:t>
      </w:r>
      <w:proofErr w:type="spellEnd"/>
      <w:r w:rsidRPr="00DF062F">
        <w:rPr>
          <w:rFonts w:ascii="Arial" w:eastAsia="Calibri" w:hAnsi="Arial" w:cs="Arial"/>
          <w:sz w:val="22"/>
          <w:szCs w:val="22"/>
        </w:rPr>
        <w:t>, a health administrator, and my assignment is in the secretariat of the planning section, as planning staff at the Health Office.</w:t>
      </w:r>
    </w:p>
    <w:p w14:paraId="2249E426"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4] (1:14 - 1:28) Perhaps we can proceed directly to Mr. Ronald. Sir, what has been your role in regional spatial and facility planning, including the planning for the Physical DAK over the past five years?</w:t>
      </w:r>
    </w:p>
    <w:p w14:paraId="07C24473"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 xml:space="preserve">[Speaker 2] (1:30 - 2:17) Thank you. I just started here in early 2024, so looking back five years ago, I wasn't here yet, as I was previously at the </w:t>
      </w:r>
      <w:proofErr w:type="spellStart"/>
      <w:r w:rsidRPr="00DF062F">
        <w:rPr>
          <w:rFonts w:ascii="Arial" w:eastAsia="Calibri" w:hAnsi="Arial" w:cs="Arial"/>
          <w:sz w:val="22"/>
          <w:szCs w:val="22"/>
        </w:rPr>
        <w:t>Puskesmas</w:t>
      </w:r>
      <w:proofErr w:type="spellEnd"/>
      <w:r w:rsidRPr="00DF062F">
        <w:rPr>
          <w:rFonts w:ascii="Arial" w:eastAsia="Calibri" w:hAnsi="Arial" w:cs="Arial"/>
          <w:sz w:val="22"/>
          <w:szCs w:val="22"/>
        </w:rPr>
        <w:t xml:space="preserve"> (Community Health </w:t>
      </w:r>
      <w:proofErr w:type="spellStart"/>
      <w:r w:rsidRPr="00DF062F">
        <w:rPr>
          <w:rFonts w:ascii="Arial" w:eastAsia="Calibri" w:hAnsi="Arial" w:cs="Arial"/>
          <w:sz w:val="22"/>
          <w:szCs w:val="22"/>
        </w:rPr>
        <w:t>Center</w:t>
      </w:r>
      <w:proofErr w:type="spellEnd"/>
      <w:r w:rsidRPr="00DF062F">
        <w:rPr>
          <w:rFonts w:ascii="Arial" w:eastAsia="Calibri" w:hAnsi="Arial" w:cs="Arial"/>
          <w:sz w:val="22"/>
          <w:szCs w:val="22"/>
        </w:rPr>
        <w:t>). The person in charge of this was Mr. Cherubim. Actually, we communicated, but he was unable to attend today regarding this Physical DAK, so I might share some information to the best of my knowledge. There are also things I might not fully understand or know due to not following the process in detail, which might require confirmation from more competent parties.</w:t>
      </w:r>
    </w:p>
    <w:p w14:paraId="42C89D8F"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4] (2:20 - 2:41) A question for Mr. Jeffrey: what has been your role in regional planning, including Physical DAK planning over the last five years? If you haven't been involved for the full five years, what has your role been during the time you have been involved?</w:t>
      </w:r>
    </w:p>
    <w:p w14:paraId="2551501E"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 xml:space="preserve">[Speaker 1] (2:41 - 4:34) Thank you. At </w:t>
      </w:r>
      <w:proofErr w:type="spellStart"/>
      <w:r w:rsidRPr="00DF062F">
        <w:rPr>
          <w:rFonts w:ascii="Arial" w:eastAsia="Calibri" w:hAnsi="Arial" w:cs="Arial"/>
          <w:sz w:val="22"/>
          <w:szCs w:val="22"/>
        </w:rPr>
        <w:t>Bapperida</w:t>
      </w:r>
      <w:proofErr w:type="spellEnd"/>
      <w:r w:rsidRPr="00DF062F">
        <w:rPr>
          <w:rFonts w:ascii="Arial" w:eastAsia="Calibri" w:hAnsi="Arial" w:cs="Arial"/>
          <w:sz w:val="22"/>
          <w:szCs w:val="22"/>
        </w:rPr>
        <w:t xml:space="preserve">, regarding planning specifically for DAK, we mostly wait for the availability of detailed activity types prepared by the ministry based on needs identified through surveys for the following year. Thus, in the following year, when the DAK menu opens, it reflects the average needs of regencies across Indonesia, though not all menus are opened for every regency. So we simply wait for the ministry, and if a menu is opened for Southwest Sumba Regency, it is proposed according to needs along with various technical requirements. Usually, its RSI (Readiness Criteria) varies. In previous years, everything depended on the RSI after being input into the app; we usually use the Krisna </w:t>
      </w:r>
      <w:r w:rsidRPr="00DF062F">
        <w:rPr>
          <w:rFonts w:ascii="Arial" w:eastAsia="Calibri" w:hAnsi="Arial" w:cs="Arial"/>
          <w:sz w:val="22"/>
          <w:szCs w:val="22"/>
        </w:rPr>
        <w:lastRenderedPageBreak/>
        <w:t>application. After the Desk evaluation, each regional government agency (OPD) explains their proposed needs. Our role during this time is to perform verification of these proposals.</w:t>
      </w:r>
    </w:p>
    <w:p w14:paraId="3B7B4838"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4] (4:35 - 4:47) So Mr. Jeffrey has actually been involved from the start of the Desk, discussing with the OPD, and verifying proposals, right?</w:t>
      </w:r>
    </w:p>
    <w:p w14:paraId="038E6477"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1] (4:49 - 5:21) Coincidentally, our human resources are limited in that division. Health falls under government and social affairs. The coordinator is in the OPD. Sometimes we participate, sometimes we don't. Often we receive the information after the Desk is finished; sometimes we join via Zoom, so we have to run back and forth. But the ones who truly understand the details are the technical officers. So our involvement is strictly limited to verification.</w:t>
      </w:r>
    </w:p>
    <w:p w14:paraId="08B0CDB9"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4] (5:23 - 5:26) Thank you. Please go ahead, Ms. Harlen.</w:t>
      </w:r>
    </w:p>
    <w:p w14:paraId="01D0F74C"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 xml:space="preserve">[Speaker 5] (5:27 - 6:16) Thank you. From our end in the Medical Devices Section, for submission proposals, we usually receive requests from the </w:t>
      </w:r>
      <w:proofErr w:type="spellStart"/>
      <w:r w:rsidRPr="00DF062F">
        <w:rPr>
          <w:rFonts w:ascii="Arial" w:eastAsia="Calibri" w:hAnsi="Arial" w:cs="Arial"/>
          <w:sz w:val="22"/>
          <w:szCs w:val="22"/>
        </w:rPr>
        <w:t>Puskesmas</w:t>
      </w:r>
      <w:proofErr w:type="spellEnd"/>
      <w:r w:rsidRPr="00DF062F">
        <w:rPr>
          <w:rFonts w:ascii="Arial" w:eastAsia="Calibri" w:hAnsi="Arial" w:cs="Arial"/>
          <w:sz w:val="22"/>
          <w:szCs w:val="22"/>
        </w:rPr>
        <w:t xml:space="preserve">. We process these </w:t>
      </w:r>
      <w:proofErr w:type="spellStart"/>
      <w:r w:rsidRPr="00DF062F">
        <w:rPr>
          <w:rFonts w:ascii="Arial" w:eastAsia="Calibri" w:hAnsi="Arial" w:cs="Arial"/>
          <w:sz w:val="22"/>
          <w:szCs w:val="22"/>
        </w:rPr>
        <w:t>Puskesmas</w:t>
      </w:r>
      <w:proofErr w:type="spellEnd"/>
      <w:r w:rsidRPr="00DF062F">
        <w:rPr>
          <w:rFonts w:ascii="Arial" w:eastAsia="Calibri" w:hAnsi="Arial" w:cs="Arial"/>
          <w:sz w:val="22"/>
          <w:szCs w:val="22"/>
        </w:rPr>
        <w:t xml:space="preserve"> proposals at the office level to submit them when there is a request for Physical DAK proposals, specifically for medical devices. We then process these proposals as has been done in recent years. We submit them via a link that will be uploaded to be reviewed by the ministry. After that, we attend the Desk session.</w:t>
      </w:r>
    </w:p>
    <w:p w14:paraId="48ABBDDB"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4] (6:20 - 6:52) A quick additional question for the Health Office and BAPPERIDA: are you also involved in determining priority locations (</w:t>
      </w:r>
      <w:proofErr w:type="spellStart"/>
      <w:r w:rsidRPr="00DF062F">
        <w:rPr>
          <w:rFonts w:ascii="Arial" w:eastAsia="Calibri" w:hAnsi="Arial" w:cs="Arial"/>
          <w:sz w:val="22"/>
          <w:szCs w:val="22"/>
        </w:rPr>
        <w:t>lokus</w:t>
      </w:r>
      <w:proofErr w:type="spellEnd"/>
      <w:r w:rsidRPr="00DF062F">
        <w:rPr>
          <w:rFonts w:ascii="Arial" w:eastAsia="Calibri" w:hAnsi="Arial" w:cs="Arial"/>
          <w:sz w:val="22"/>
          <w:szCs w:val="22"/>
        </w:rPr>
        <w:t xml:space="preserve"> </w:t>
      </w:r>
      <w:proofErr w:type="spellStart"/>
      <w:r w:rsidRPr="00DF062F">
        <w:rPr>
          <w:rFonts w:ascii="Arial" w:eastAsia="Calibri" w:hAnsi="Arial" w:cs="Arial"/>
          <w:sz w:val="22"/>
          <w:szCs w:val="22"/>
        </w:rPr>
        <w:t>prioritas</w:t>
      </w:r>
      <w:proofErr w:type="spellEnd"/>
      <w:r w:rsidRPr="00DF062F">
        <w:rPr>
          <w:rFonts w:ascii="Arial" w:eastAsia="Calibri" w:hAnsi="Arial" w:cs="Arial"/>
          <w:sz w:val="22"/>
          <w:szCs w:val="22"/>
        </w:rPr>
        <w:t>)? How is the coordination handled in deciding these priority locations before or after the DAK menu is released by the Ministry of Health? Are there priority locations predetermined by the local government first?</w:t>
      </w:r>
    </w:p>
    <w:p w14:paraId="7F9F4A95"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 xml:space="preserve">[Speaker 5] (6:53 - 7:51) Yes, we do refer to the local government's own plan. However, the obstacle is that sometimes the priority locations designated by the local government do not match the locations issued by the ministry. For example, previously regarding the auxiliary health </w:t>
      </w:r>
      <w:proofErr w:type="spellStart"/>
      <w:r w:rsidRPr="00DF062F">
        <w:rPr>
          <w:rFonts w:ascii="Arial" w:eastAsia="Calibri" w:hAnsi="Arial" w:cs="Arial"/>
          <w:sz w:val="22"/>
          <w:szCs w:val="22"/>
        </w:rPr>
        <w:t>centers</w:t>
      </w:r>
      <w:proofErr w:type="spellEnd"/>
      <w:r w:rsidRPr="00DF062F">
        <w:rPr>
          <w:rFonts w:ascii="Arial" w:eastAsia="Calibri" w:hAnsi="Arial" w:cs="Arial"/>
          <w:sz w:val="22"/>
          <w:szCs w:val="22"/>
        </w:rPr>
        <w:t xml:space="preserve"> (</w:t>
      </w:r>
      <w:proofErr w:type="spellStart"/>
      <w:r w:rsidRPr="00DF062F">
        <w:rPr>
          <w:rFonts w:ascii="Arial" w:eastAsia="Calibri" w:hAnsi="Arial" w:cs="Arial"/>
          <w:sz w:val="22"/>
          <w:szCs w:val="22"/>
        </w:rPr>
        <w:t>pustu</w:t>
      </w:r>
      <w:proofErr w:type="spellEnd"/>
      <w:r w:rsidRPr="00DF062F">
        <w:rPr>
          <w:rFonts w:ascii="Arial" w:eastAsia="Calibri" w:hAnsi="Arial" w:cs="Arial"/>
          <w:sz w:val="22"/>
          <w:szCs w:val="22"/>
        </w:rPr>
        <w:t>) and village maternity posts (</w:t>
      </w:r>
      <w:proofErr w:type="spellStart"/>
      <w:r w:rsidRPr="00DF062F">
        <w:rPr>
          <w:rFonts w:ascii="Arial" w:eastAsia="Calibri" w:hAnsi="Arial" w:cs="Arial"/>
          <w:sz w:val="22"/>
          <w:szCs w:val="22"/>
        </w:rPr>
        <w:t>polindes</w:t>
      </w:r>
      <w:proofErr w:type="spellEnd"/>
      <w:r w:rsidRPr="00DF062F">
        <w:rPr>
          <w:rFonts w:ascii="Arial" w:eastAsia="Calibri" w:hAnsi="Arial" w:cs="Arial"/>
          <w:sz w:val="22"/>
          <w:szCs w:val="22"/>
        </w:rPr>
        <w:t xml:space="preserve">) for medical equipment procurement, there were several </w:t>
      </w:r>
      <w:proofErr w:type="spellStart"/>
      <w:r w:rsidRPr="00DF062F">
        <w:rPr>
          <w:rFonts w:ascii="Arial" w:eastAsia="Calibri" w:hAnsi="Arial" w:cs="Arial"/>
          <w:sz w:val="22"/>
          <w:szCs w:val="22"/>
        </w:rPr>
        <w:t>pustu</w:t>
      </w:r>
      <w:proofErr w:type="spellEnd"/>
      <w:r w:rsidRPr="00DF062F">
        <w:rPr>
          <w:rFonts w:ascii="Arial" w:eastAsia="Calibri" w:hAnsi="Arial" w:cs="Arial"/>
          <w:sz w:val="22"/>
          <w:szCs w:val="22"/>
        </w:rPr>
        <w:t xml:space="preserve"> that we considered local priorities, but when the location list came out from the ministry, some of our priority </w:t>
      </w:r>
      <w:proofErr w:type="spellStart"/>
      <w:r w:rsidRPr="00DF062F">
        <w:rPr>
          <w:rFonts w:ascii="Arial" w:eastAsia="Calibri" w:hAnsi="Arial" w:cs="Arial"/>
          <w:sz w:val="22"/>
          <w:szCs w:val="22"/>
        </w:rPr>
        <w:t>pustu</w:t>
      </w:r>
      <w:proofErr w:type="spellEnd"/>
      <w:r w:rsidRPr="00DF062F">
        <w:rPr>
          <w:rFonts w:ascii="Arial" w:eastAsia="Calibri" w:hAnsi="Arial" w:cs="Arial"/>
          <w:sz w:val="22"/>
          <w:szCs w:val="22"/>
        </w:rPr>
        <w:t xml:space="preserve"> were not included. As a result, we had to reconfirm, and in some cases, those locations ended up being </w:t>
      </w:r>
      <w:proofErr w:type="spellStart"/>
      <w:r w:rsidRPr="00DF062F">
        <w:rPr>
          <w:rFonts w:ascii="Arial" w:eastAsia="Calibri" w:hAnsi="Arial" w:cs="Arial"/>
          <w:sz w:val="22"/>
          <w:szCs w:val="22"/>
        </w:rPr>
        <w:t>canceled</w:t>
      </w:r>
      <w:proofErr w:type="spellEnd"/>
      <w:r w:rsidRPr="00DF062F">
        <w:rPr>
          <w:rFonts w:ascii="Arial" w:eastAsia="Calibri" w:hAnsi="Arial" w:cs="Arial"/>
          <w:sz w:val="22"/>
          <w:szCs w:val="22"/>
        </w:rPr>
        <w:t xml:space="preserve"> altogether.</w:t>
      </w:r>
    </w:p>
    <w:p w14:paraId="1CFD26AC"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3] (8:02 - 8:21) Besides that, has the local government ever advocated for this to the ministry, perhaps to the Ministry of Health, and how did they respond or assist with such issues?</w:t>
      </w:r>
    </w:p>
    <w:p w14:paraId="36C16795"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5] (8:23 - 8:46) Actually, during the Desk, we already communicated the obstacles we faced. However, from the ministry's side, the answer was to simply follow the existing designated locations. The predetermined locations could no longer be changed. So we just had to comply with what was given.</w:t>
      </w:r>
    </w:p>
    <w:p w14:paraId="34AF8377"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lastRenderedPageBreak/>
        <w:t>[Speaker 4] (8:53 - 9:14) I wanted to confirm whether the priority locations are set when the Ministry of Health releases the Physical DAK menus. When is this policy usually communicated to the regions?</w:t>
      </w:r>
    </w:p>
    <w:p w14:paraId="4C5338E2"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5] (9:15 - 9:25) Usually, we are asked to submit supporting data first, and only after that do they determine the locations.</w:t>
      </w:r>
    </w:p>
    <w:p w14:paraId="2FBA08F9"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3] (9:25 - 9:30) What does that supporting data consist of?</w:t>
      </w:r>
    </w:p>
    <w:p w14:paraId="0EF70E41"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5] (9:34 - 9:45) For medical devices, it has mostly been price standards. But for other physical infrastructure, I haven't been following it personally. So for medical devices...</w:t>
      </w:r>
    </w:p>
    <w:p w14:paraId="36EA8644"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2] (9:53 - 10:23) Regarding physical construction related to land, land certificates, and ownership, those definitely require coordination across agencies and sectors, including land acquisition, permits, and so forth. That is a bit of what I was exposed to regarding that matter. As for priority locations, it might be different.</w:t>
      </w:r>
    </w:p>
    <w:p w14:paraId="5E2DB073"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1] (10:27 - 11:15) Regarding priority locations, they usually appear after the proposals are verified. The ministry informs us that in a given year, Krisna is opened for DAK options A, B, C, D. Then we inform the OPD to submit their proposals along with the technical requirements. For buildings, there are cost estimates (RAB), land certificates, and other documents. After submission, verification takes place during the Desk session. During the Desk, that's when a site becomes an official location, after the proposal verification.</w:t>
      </w:r>
    </w:p>
    <w:p w14:paraId="19D70C23"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3] (11:16 - 11:43) In your opinion, what causes the discrepancy where, before or during the Desk, local proposals are submitted for specific locations, but when the final locations are published during the Desk, they don't match? What do you think is the underlying cause?</w:t>
      </w:r>
    </w:p>
    <w:p w14:paraId="69F964D1"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1] (11:44 - 12:34) Usually, it happens because certain requirements were not met. For instance, some criteria were missing, or the ministry already had its own designated special locations. That is typically how locations are decided. If it's not due to unmet technical requirements, it means the ministry itself already had specific target points in mind. That's usually the case. It also depends on how the Desk session goes. During the Desk, we present our rationale and needs, but while we propose, the ultimate decision rests with the central government. That's how it usually goes.</w:t>
      </w:r>
    </w:p>
    <w:p w14:paraId="1F9D986B"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4] (12:35 - 13:03) When the proposals were submitted to the Ministry of Health, you mentioned that reasons were provided for prioritizing these locations. When the Ministry of Health releases menus and priority locations that differ from the regional plan, is there any explanation provided by MoH as to why the locations differ?</w:t>
      </w:r>
    </w:p>
    <w:p w14:paraId="7BED0953"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 xml:space="preserve">[Speaker 1] (13:05 - 14:32) So far, there hasn't been any. The process begins with opening the DAK submission platform. We submit our proposals, followed by a Desk session to evaluate them, which is then discussed at the ministry level. After discussions at the ministry level, another Desk session is held to determine which submitted items are accepted. </w:t>
      </w:r>
      <w:r w:rsidRPr="00DF062F">
        <w:rPr>
          <w:rFonts w:ascii="Arial" w:eastAsia="Calibri" w:hAnsi="Arial" w:cs="Arial"/>
          <w:sz w:val="22"/>
          <w:szCs w:val="22"/>
        </w:rPr>
        <w:lastRenderedPageBreak/>
        <w:t>Synchronization usually occurs after ministry discussions to complete remaining materials, often referred to as RSI or Readiness Criteria, for accepted proposals. Next, it goes to the House of Representatives (DPR RI) for discussion, and after DPR approval, the accepted proposals are officially enacted. Only after that do we break them down into the Regional Budget (APBD). That is the typical flow.</w:t>
      </w:r>
    </w:p>
    <w:p w14:paraId="4F8BA7CB"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 xml:space="preserve">[Speaker 3] (14:33 - 14:59) Has there ever been any ranking system? For instance, since the central government cannot accommodate every regional request due to budget constraints, has the central government ever offered options like allowing a region to choose top priority facilities, say 5 </w:t>
      </w:r>
      <w:proofErr w:type="spellStart"/>
      <w:r w:rsidRPr="00DF062F">
        <w:rPr>
          <w:rFonts w:ascii="Arial" w:eastAsia="Calibri" w:hAnsi="Arial" w:cs="Arial"/>
          <w:sz w:val="22"/>
          <w:szCs w:val="22"/>
        </w:rPr>
        <w:t>Puskesmas</w:t>
      </w:r>
      <w:proofErr w:type="spellEnd"/>
      <w:r w:rsidRPr="00DF062F">
        <w:rPr>
          <w:rFonts w:ascii="Arial" w:eastAsia="Calibri" w:hAnsi="Arial" w:cs="Arial"/>
          <w:sz w:val="22"/>
          <w:szCs w:val="22"/>
        </w:rPr>
        <w:t xml:space="preserve"> or facilities of their choice? Or is everything decided solely by the central government?</w:t>
      </w:r>
    </w:p>
    <w:p w14:paraId="3BB0ED24"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 xml:space="preserve">[Speaker 2] (15:03 - 17:19) As far as I know, it doesn't go that far, such as having explicit ranking or scoring to pick five top priorities. We personally wonder what the basic indicators are for the Ministry of Health's priority location determinations. Take waste management, for example. There are several </w:t>
      </w:r>
      <w:proofErr w:type="spellStart"/>
      <w:r w:rsidRPr="00DF062F">
        <w:rPr>
          <w:rFonts w:ascii="Arial" w:eastAsia="Calibri" w:hAnsi="Arial" w:cs="Arial"/>
          <w:sz w:val="22"/>
          <w:szCs w:val="22"/>
        </w:rPr>
        <w:t>Puskesmas</w:t>
      </w:r>
      <w:proofErr w:type="spellEnd"/>
      <w:r w:rsidRPr="00DF062F">
        <w:rPr>
          <w:rFonts w:ascii="Arial" w:eastAsia="Calibri" w:hAnsi="Arial" w:cs="Arial"/>
          <w:sz w:val="22"/>
          <w:szCs w:val="22"/>
        </w:rPr>
        <w:t xml:space="preserve"> that actually already have systems in place. Take the renovation in Kuri, for instance—some aspects could actually be redirected elsewhere. Alternatively, could the planning cycle not start in the middle of the year for the next fiscal year, but start earlier, say in February of the current year? That would give us about two months of buffer room to process things in a more focused and targeted manner, rather than rushing just to meet deadlines. It would provide space for the ministry to allow local governments—based on our Health Office assessment—to indicate which locations are most suitable for the current year based on local criteria. We could then align our criteria with those set by the Ministry, as the assessment tools are roughly similar. At the Health Office level, we align with those indicators. However, it is the local authorities who best understand the ground reality. Having that flexibility would be beneficial. Through discussions like this FGD, we can explore how to synchronize regional planning with central ministry planning. Since it involves top-down and bottom-up approaches, where do they meet? Perhaps in our planning cycle, could we start earlier, or at least know next year's menu in advance?</w:t>
      </w:r>
    </w:p>
    <w:p w14:paraId="0D86421E"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3] (17:19 - 17:40) Just release it. So it would be ideal if socialization regarding policy changes was conducted a full year in advance rather than just a few months prior. That way, regions could accurately plan their APBD.</w:t>
      </w:r>
    </w:p>
    <w:p w14:paraId="72A329AD"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4] (17:42 - 18:34) Ideally, next year's menu should be released this year so we can plan early. That would prevent rushing and allow better preparation if location changes occur. Especially regarding realization, which occurs in the same year. However, there might be constraints from the Ministry of Finance regarding budget allocation timing, causing MoH to only plan by mid-year. Inter-ministerial coordination seems crucial here.</w:t>
      </w:r>
    </w:p>
    <w:p w14:paraId="7882B533"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2] (18:34 - 18:36) We absorb the trickle-down impact.</w:t>
      </w:r>
    </w:p>
    <w:p w14:paraId="496E602F"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4] (18:36 - 18:37) Yes, exactly.</w:t>
      </w:r>
    </w:p>
    <w:p w14:paraId="2A6CD241"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lastRenderedPageBreak/>
        <w:t>[Speaker 2] (18:39 - 18:40) Between agencies and ministries.</w:t>
      </w:r>
    </w:p>
    <w:p w14:paraId="2BCABFA9"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 xml:space="preserve">[Speaker 6] (18:45 - 21:21) Regarding that concept earlier, there was an instance where the ministry designated a location that had already been built by the region the previous year, causing overlap. Changing the location involved </w:t>
      </w:r>
      <w:proofErr w:type="spellStart"/>
      <w:r w:rsidRPr="00DF062F">
        <w:rPr>
          <w:rFonts w:ascii="Arial" w:eastAsia="Calibri" w:hAnsi="Arial" w:cs="Arial"/>
          <w:sz w:val="22"/>
          <w:szCs w:val="22"/>
        </w:rPr>
        <w:t>Bappenas</w:t>
      </w:r>
      <w:proofErr w:type="spellEnd"/>
      <w:r w:rsidRPr="00DF062F">
        <w:rPr>
          <w:rFonts w:ascii="Arial" w:eastAsia="Calibri" w:hAnsi="Arial" w:cs="Arial"/>
          <w:sz w:val="22"/>
          <w:szCs w:val="22"/>
        </w:rPr>
        <w:t xml:space="preserve">, Ministry of Finance, and Ministry of Health. At that time, two </w:t>
      </w:r>
      <w:proofErr w:type="spellStart"/>
      <w:r w:rsidRPr="00DF062F">
        <w:rPr>
          <w:rFonts w:ascii="Arial" w:eastAsia="Calibri" w:hAnsi="Arial" w:cs="Arial"/>
          <w:sz w:val="22"/>
          <w:szCs w:val="22"/>
        </w:rPr>
        <w:t>Puskesmas</w:t>
      </w:r>
      <w:proofErr w:type="spellEnd"/>
      <w:r w:rsidRPr="00DF062F">
        <w:rPr>
          <w:rFonts w:ascii="Arial" w:eastAsia="Calibri" w:hAnsi="Arial" w:cs="Arial"/>
          <w:sz w:val="22"/>
          <w:szCs w:val="22"/>
        </w:rPr>
        <w:t xml:space="preserve"> experienced duplicate funding. Changing it required going all the way to ROREN at the Ministry of Health, along with the Regent, but the digital audit trail in the planning system made it extremely difficult. It is best to avoid such overlaps because resources are needed elsewhere. But situations occurred where completed sites received duplicate allocations. Ideally, this should be addressed from the start. We have bottom-up and top-down planning. Bottom-up starts with </w:t>
      </w:r>
      <w:proofErr w:type="spellStart"/>
      <w:r w:rsidRPr="00DF062F">
        <w:rPr>
          <w:rFonts w:ascii="Arial" w:eastAsia="Calibri" w:hAnsi="Arial" w:cs="Arial"/>
          <w:sz w:val="22"/>
          <w:szCs w:val="22"/>
        </w:rPr>
        <w:t>Musrenbang</w:t>
      </w:r>
      <w:proofErr w:type="spellEnd"/>
      <w:r w:rsidRPr="00DF062F">
        <w:rPr>
          <w:rFonts w:ascii="Arial" w:eastAsia="Calibri" w:hAnsi="Arial" w:cs="Arial"/>
          <w:sz w:val="22"/>
          <w:szCs w:val="22"/>
        </w:rPr>
        <w:t xml:space="preserve"> (Development Planning Deliberation), which we translate into the work plan starting early in the year. Starting in February is a great timeline. That way, essential regional priority guidelines are already established. During subsequent discussions regarding budget policies with the Ministry of Finance and </w:t>
      </w:r>
      <w:proofErr w:type="spellStart"/>
      <w:r w:rsidRPr="00DF062F">
        <w:rPr>
          <w:rFonts w:ascii="Arial" w:eastAsia="Calibri" w:hAnsi="Arial" w:cs="Arial"/>
          <w:sz w:val="22"/>
          <w:szCs w:val="22"/>
        </w:rPr>
        <w:t>Bappenas</w:t>
      </w:r>
      <w:proofErr w:type="spellEnd"/>
      <w:r w:rsidRPr="00DF062F">
        <w:rPr>
          <w:rFonts w:ascii="Arial" w:eastAsia="Calibri" w:hAnsi="Arial" w:cs="Arial"/>
          <w:sz w:val="22"/>
          <w:szCs w:val="22"/>
        </w:rPr>
        <w:t xml:space="preserve">, even if discrepancies exist, they won't be drastic. We've had instances where unrequested items appeared in the menu, and we couldn't reject them. First, it feels like a loss not to take it. But based on </w:t>
      </w:r>
      <w:proofErr w:type="spellStart"/>
      <w:r w:rsidRPr="00DF062F">
        <w:rPr>
          <w:rFonts w:ascii="Arial" w:eastAsia="Calibri" w:hAnsi="Arial" w:cs="Arial"/>
          <w:sz w:val="22"/>
          <w:szCs w:val="22"/>
        </w:rPr>
        <w:t>Musrenbang</w:t>
      </w:r>
      <w:proofErr w:type="spellEnd"/>
      <w:r w:rsidRPr="00DF062F">
        <w:rPr>
          <w:rFonts w:ascii="Arial" w:eastAsia="Calibri" w:hAnsi="Arial" w:cs="Arial"/>
          <w:sz w:val="22"/>
          <w:szCs w:val="22"/>
        </w:rPr>
        <w:t xml:space="preserve"> proposals, P1 (Priority 1) items should take precedence. Although primary healthcare reform makes </w:t>
      </w:r>
      <w:proofErr w:type="spellStart"/>
      <w:r w:rsidRPr="00DF062F">
        <w:rPr>
          <w:rFonts w:ascii="Arial" w:eastAsia="Calibri" w:hAnsi="Arial" w:cs="Arial"/>
          <w:sz w:val="22"/>
          <w:szCs w:val="22"/>
        </w:rPr>
        <w:t>Pustu</w:t>
      </w:r>
      <w:proofErr w:type="spellEnd"/>
      <w:r w:rsidRPr="00DF062F">
        <w:rPr>
          <w:rFonts w:ascii="Arial" w:eastAsia="Calibri" w:hAnsi="Arial" w:cs="Arial"/>
          <w:sz w:val="22"/>
          <w:szCs w:val="22"/>
        </w:rPr>
        <w:t xml:space="preserve"> a national priority, local needs must be aligned. If planning could connect central menus with local inputs from the very beginning, discrepancies wouldn't be so wide.</w:t>
      </w:r>
    </w:p>
    <w:p w14:paraId="1C278B24"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3] (21:22 - 21:34) So there is a massive gap between the bottom-up regional planning and the top-down central planning where they meet in the middle, right Sir?</w:t>
      </w:r>
    </w:p>
    <w:p w14:paraId="3411A844"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 xml:space="preserve">[Speaker 6] (21:35 - 22:00) In the past, to prevent funds from being wasted, allocations were shifted—for instance, to procurement of ambulances for </w:t>
      </w:r>
      <w:proofErr w:type="spellStart"/>
      <w:r w:rsidRPr="00DF062F">
        <w:rPr>
          <w:rFonts w:ascii="Arial" w:eastAsia="Calibri" w:hAnsi="Arial" w:cs="Arial"/>
          <w:sz w:val="22"/>
          <w:szCs w:val="22"/>
        </w:rPr>
        <w:t>Puskesmas</w:t>
      </w:r>
      <w:proofErr w:type="spellEnd"/>
      <w:r w:rsidRPr="00DF062F">
        <w:rPr>
          <w:rFonts w:ascii="Arial" w:eastAsia="Calibri" w:hAnsi="Arial" w:cs="Arial"/>
          <w:sz w:val="22"/>
          <w:szCs w:val="22"/>
        </w:rPr>
        <w:t>. However, due to duplicate allocations, we were directed to re-budget for the same location. It created administrative rework.</w:t>
      </w:r>
    </w:p>
    <w:p w14:paraId="2470F76C"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3] (22:02 - 22:14) When these issues were brought up to the central government, how quickly did they accommodate or resolve them?</w:t>
      </w:r>
    </w:p>
    <w:p w14:paraId="1CD09EFD"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 xml:space="preserve">[Speaker 6] (22:16 - 22:51) Regarding accommodating location changes, it is very difficult because everything is locked in the system. We even sent official letters directly to the Minister of Health, the Secretary General, Director General, down to the Directors, but the final verdict from the Director was that changes were impossible because system audit trails are digitally locked. </w:t>
      </w:r>
      <w:proofErr w:type="spellStart"/>
      <w:r w:rsidRPr="00DF062F">
        <w:rPr>
          <w:rFonts w:ascii="Arial" w:eastAsia="Calibri" w:hAnsi="Arial" w:cs="Arial"/>
          <w:sz w:val="22"/>
          <w:szCs w:val="22"/>
        </w:rPr>
        <w:t>Bappenas</w:t>
      </w:r>
      <w:proofErr w:type="spellEnd"/>
      <w:r w:rsidRPr="00DF062F">
        <w:rPr>
          <w:rFonts w:ascii="Arial" w:eastAsia="Calibri" w:hAnsi="Arial" w:cs="Arial"/>
          <w:sz w:val="22"/>
          <w:szCs w:val="22"/>
        </w:rPr>
        <w:t xml:space="preserve"> also didn't dare to override it.</w:t>
      </w:r>
    </w:p>
    <w:p w14:paraId="0A6FFE98"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7] (22:52 - 22:53) They didn't dare.</w:t>
      </w:r>
    </w:p>
    <w:p w14:paraId="0586C6EB"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6] (22:54 - 23:19) The best solution is starting early, as mentioned, so top-down and bottom-up processes allow room for discussion. We can state local priorities, while the central level presents regulatory requirements. Discussing these during Desk evaluations would make the planning framework much stronger.</w:t>
      </w:r>
    </w:p>
    <w:p w14:paraId="1E89D39B"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lastRenderedPageBreak/>
        <w:t>[Speaker 3] (23:20 - 23:58) A joint question for everyone: How do you respond to policy changes that are already locked in? How do you coordinate among local government agencies (OPDs)? For instance, how does Mr. Jeffrey coordinate with Mr. Ronald, the Head of Office, and team members? Could you share an example of how you handle sudden changes among yourselves?</w:t>
      </w:r>
    </w:p>
    <w:p w14:paraId="2887978F"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 xml:space="preserve">[Speaker 1] (24:02 - 26:54) Regarding the standard DAK cycle, it usually opens on March 1st annually. However, the last two years have been somewhat chaotic. Normally, March 1st coincides with the April 30th closing of </w:t>
      </w:r>
      <w:proofErr w:type="spellStart"/>
      <w:r w:rsidRPr="00DF062F">
        <w:rPr>
          <w:rFonts w:ascii="Arial" w:eastAsia="Calibri" w:hAnsi="Arial" w:cs="Arial"/>
          <w:sz w:val="22"/>
          <w:szCs w:val="22"/>
        </w:rPr>
        <w:t>Dapodik</w:t>
      </w:r>
      <w:proofErr w:type="spellEnd"/>
      <w:r w:rsidRPr="00DF062F">
        <w:rPr>
          <w:rFonts w:ascii="Arial" w:eastAsia="Calibri" w:hAnsi="Arial" w:cs="Arial"/>
          <w:sz w:val="22"/>
          <w:szCs w:val="22"/>
        </w:rPr>
        <w:t xml:space="preserve"> data inputs, where data is synced with Krisna around March 1st. Ideally, before the March 1st opening, the lead ministry could hold brief FGDs with regencies regarding their priority proposals, since February </w:t>
      </w:r>
      <w:proofErr w:type="spellStart"/>
      <w:r w:rsidRPr="00DF062F">
        <w:rPr>
          <w:rFonts w:ascii="Arial" w:eastAsia="Calibri" w:hAnsi="Arial" w:cs="Arial"/>
          <w:sz w:val="22"/>
          <w:szCs w:val="22"/>
        </w:rPr>
        <w:t>Musrenbang</w:t>
      </w:r>
      <w:proofErr w:type="spellEnd"/>
      <w:r w:rsidRPr="00DF062F">
        <w:rPr>
          <w:rFonts w:ascii="Arial" w:eastAsia="Calibri" w:hAnsi="Arial" w:cs="Arial"/>
          <w:sz w:val="22"/>
          <w:szCs w:val="22"/>
        </w:rPr>
        <w:t xml:space="preserve"> deliberations are already complete. We already have ranked local proposals up to the regency level by then. If ministries held FGDs, they could customize Krisna menus so Regency A proposes specific items relevant to them, and Regency B proposes theirs. This would ensure alignment throughout the DAK planning process. Regarding accepted proposals, if an item is approved, we cannot reject it. Rejecting it means funds get reallocated elsewhere, which creates a dilemma because we might lose future funding allocations. So despite the multi-stage Desk process, we have to accept whatever is approved. If we held FGDs or submission alignment meetings at the start, targeting would be far more accurate because local Priority 1 (P1) inputs are ready by February.</w:t>
      </w:r>
    </w:p>
    <w:p w14:paraId="74CE0FE7"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4] (26:57 - 27:01) Let Mr. Ronald share first.</w:t>
      </w:r>
    </w:p>
    <w:p w14:paraId="204511A6"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1] (27:04 - 27:15) If we conduct preliminary proposal reviews, these operational issues won't occur at the local level later.</w:t>
      </w:r>
    </w:p>
    <w:p w14:paraId="14C2C308"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4] (27:16 - 27:29) You mentioned that FGDs should ideally take place after policy changes. How have you responded to these situations in practice so far?</w:t>
      </w:r>
    </w:p>
    <w:p w14:paraId="0EC0C674"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1] (27:29 - 28:17) We are limited by communication channels. During Desk evaluations, we interact with operational staff rather than decision-makers. For example, if we propose items ABCD, needing AB, but the central level approves CD, items AB are already eliminated before the Desk even starts. When we meet during the Desk, we cannot revert back to AB because we are meeting with peer implementers who lack policy-making authority. So, like it or not, we have to accept what's approved.</w:t>
      </w:r>
    </w:p>
    <w:p w14:paraId="1489FAA1"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7] (28:20 - 28:25) Decision-makers can't change it either because everything is locked in the system.</w:t>
      </w:r>
    </w:p>
    <w:p w14:paraId="0C60A598"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1] (28:25 - 28:39) They present what has been approved—green checkmarks for accepted items and red X's for rejected ones. So we just have to accept it.</w:t>
      </w:r>
    </w:p>
    <w:p w14:paraId="72BD670C"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3] (28:40 - 29:10) Are there specific internal challenges at the local government level, such as staffing shortages or tight input deadlines? For instance, short input windows or massive amounts of data requiring additional personnel?</w:t>
      </w:r>
    </w:p>
    <w:p w14:paraId="6727255A"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lastRenderedPageBreak/>
        <w:t>[Speaker 1] (29:11 - 29:50) In a normal cycle, submissions open March 1st and close May 30th, giving a 2 to 3-month window. However, over the last 3 years, timelines shifted. Last year it opened in June instead of March. This year it opened in August. That depends on central policy. In a normal cycle, a two-month window provides adequate time for local submissions.</w:t>
      </w:r>
    </w:p>
    <w:p w14:paraId="63D0E069"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7] (29:50 - 29:56) We just submit. Timeline-wise, two months is sufficient.</w:t>
      </w:r>
    </w:p>
    <w:p w14:paraId="5F3DF981"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1] (29:56 - 30:11) With a normal 2-month window, we have sufficient time to compile and rectify supporting technical documents.</w:t>
      </w:r>
    </w:p>
    <w:p w14:paraId="6799B023"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3] (30:11 - 30:36) So shifting timelines—from March moving to April, May, July, and then August—complicate regional planning? Additionally, submission windows narrowed from 2 months down to 1 month or less.</w:t>
      </w:r>
    </w:p>
    <w:p w14:paraId="0E072C99"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1] (30:38 - 32:05) Indeed, fluctuating timelines cause major difficulties for regency planning, especially as technical documentation requirements increase annually and cannot be compiled overnight. This year, our submission window was open for only about 11 to 12 days. It opened August 11th and closed August 22nd. When it closed on the 22nd, central authorities realized many regions hadn't completed inputs, so they re-opened it for just 12 hours. We had to rush operators to input data within that 12-hour window. We must follow central directives because if we fail to input, we lose out on the allocation entirely.</w:t>
      </w:r>
    </w:p>
    <w:p w14:paraId="4446A30D"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4] (32:09 - 32:43) I'd like to confirm with Mr. Ronald: You mentioned inter-agency coordination is required for land acquisition for infrastructure development. What specific obstacles arise, for instance, in land clearance for health facilities?</w:t>
      </w:r>
    </w:p>
    <w:p w14:paraId="64EA0FC6" w14:textId="369035AA" w:rsidR="00DF062F" w:rsidRPr="00CF5D3A"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 xml:space="preserve">[Speaker 2] (32:44 - 36:02) Right. Physical construction involves either building new infrastructure or renovating existing structures. For new builds like </w:t>
      </w:r>
      <w:proofErr w:type="spellStart"/>
      <w:r w:rsidRPr="00DF062F">
        <w:rPr>
          <w:rFonts w:ascii="Arial" w:eastAsia="Calibri" w:hAnsi="Arial" w:cs="Arial"/>
          <w:sz w:val="22"/>
          <w:szCs w:val="22"/>
        </w:rPr>
        <w:t>Pustu</w:t>
      </w:r>
      <w:proofErr w:type="spellEnd"/>
      <w:r w:rsidRPr="00DF062F">
        <w:rPr>
          <w:rFonts w:ascii="Arial" w:eastAsia="Calibri" w:hAnsi="Arial" w:cs="Arial"/>
          <w:sz w:val="22"/>
          <w:szCs w:val="22"/>
        </w:rPr>
        <w:t xml:space="preserve">, which are being strengthened under the Primary Care Integration (ILP) framework, land ownership is often village-owned. While land is typically donated/granted, transfer documentation requires legal coordination with asset management. Otherwise, physical construction might trigger social conflicts if land titles are legally ambiguous. Echoing Mr. Jeffrey, planning cycles should follow standardized timelines. Health sector funding involves physical and non-physical components. Non-physical supporting data is less complex compared to physical requirements. Physical infrastructure involves numerous cross-sectoral preparation instruments. If possible, could the Ministry of Health provide advance indications for multi-year horizons? For instance, hospital planning provided multi-year equipment targets via SIREN up to 2027. Could physical infrastructure adopt a similar long-term roadmap? For example: 2025 focused on </w:t>
      </w:r>
      <w:proofErr w:type="spellStart"/>
      <w:r w:rsidRPr="00DF062F">
        <w:rPr>
          <w:rFonts w:ascii="Arial" w:eastAsia="Calibri" w:hAnsi="Arial" w:cs="Arial"/>
          <w:sz w:val="22"/>
          <w:szCs w:val="22"/>
        </w:rPr>
        <w:t>Pustu</w:t>
      </w:r>
      <w:proofErr w:type="spellEnd"/>
      <w:r w:rsidRPr="00DF062F">
        <w:rPr>
          <w:rFonts w:ascii="Arial" w:eastAsia="Calibri" w:hAnsi="Arial" w:cs="Arial"/>
          <w:sz w:val="22"/>
          <w:szCs w:val="22"/>
        </w:rPr>
        <w:t xml:space="preserve"> renovation, 2026 on healthcare waste management, and 2027 on </w:t>
      </w:r>
      <w:proofErr w:type="spellStart"/>
      <w:r w:rsidRPr="00DF062F">
        <w:rPr>
          <w:rFonts w:ascii="Arial" w:eastAsia="Calibri" w:hAnsi="Arial" w:cs="Arial"/>
          <w:sz w:val="22"/>
          <w:szCs w:val="22"/>
        </w:rPr>
        <w:t>Puskesmas</w:t>
      </w:r>
      <w:proofErr w:type="spellEnd"/>
      <w:r w:rsidRPr="00DF062F">
        <w:rPr>
          <w:rFonts w:ascii="Arial" w:eastAsia="Calibri" w:hAnsi="Arial" w:cs="Arial"/>
          <w:sz w:val="22"/>
          <w:szCs w:val="22"/>
        </w:rPr>
        <w:t xml:space="preserve"> renovation. With clear roadmaps, we could prepare land acquisition and titles years in advance, avoiding social conflicts.</w:t>
      </w:r>
      <w:r w:rsidR="00CF5D3A">
        <w:rPr>
          <w:rFonts w:ascii="Arial" w:eastAsia="Calibri" w:hAnsi="Arial" w:cs="Arial"/>
          <w:sz w:val="22"/>
          <w:szCs w:val="22"/>
        </w:rPr>
        <w:t xml:space="preserve"> </w:t>
      </w:r>
      <w:r w:rsidR="00CF5D3A" w:rsidRPr="00CF5D3A">
        <w:rPr>
          <w:rFonts w:ascii="Arial" w:eastAsia="Calibri" w:hAnsi="Arial" w:cs="Arial"/>
          <w:sz w:val="22"/>
          <w:szCs w:val="22"/>
          <w:lang w:val="en"/>
        </w:rPr>
        <w:t xml:space="preserve">This land issue is the most difficult issue for us to resolve because, as mentioned earlier, the time limit (for proposal) is very </w:t>
      </w:r>
      <w:r w:rsidR="00CF5D3A" w:rsidRPr="00CF5D3A">
        <w:rPr>
          <w:rFonts w:ascii="Arial" w:eastAsia="Calibri" w:hAnsi="Arial" w:cs="Arial"/>
          <w:sz w:val="22"/>
          <w:szCs w:val="22"/>
          <w:lang w:val="en"/>
        </w:rPr>
        <w:lastRenderedPageBreak/>
        <w:t>tight, so if we have to resolve the land issue as soon as possible, it is impossible because we know that the land in Papua is not privately owned or certified land, on average, the land that is suitable and the procedure for land transfer is also quite complicated, we have to do it several times</w:t>
      </w:r>
    </w:p>
    <w:p w14:paraId="026C07E9"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4] (36:03 - 36:05) Especially since land acquisition cannot be rushed.</w:t>
      </w:r>
    </w:p>
    <w:p w14:paraId="0578151E"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2] (36:05 - 36:53) Precisely. We welcome facility upgrades and construction. This FGD provides valuable space to convey ground realities from 3T (frontier, outermost, underdeveloped) regions like ours, where central allocation remains essential.</w:t>
      </w:r>
    </w:p>
    <w:p w14:paraId="6ACEDE77"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4] (37:00 - 37:35) Thank you for sharing those operational challenges. What factors, on the other hand, facilitate regional implementation of Physical DAK funding?</w:t>
      </w:r>
    </w:p>
    <w:p w14:paraId="1D395F68"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 xml:space="preserve">[Speaker 2] (37:35 - 39:20) First, strong local government commitment. The Regent and Vice Regent are highly supportive, and cross-OPD coordination between </w:t>
      </w:r>
      <w:proofErr w:type="spellStart"/>
      <w:r w:rsidRPr="00DF062F">
        <w:rPr>
          <w:rFonts w:ascii="Arial" w:eastAsia="Calibri" w:hAnsi="Arial" w:cs="Arial"/>
          <w:sz w:val="22"/>
          <w:szCs w:val="22"/>
        </w:rPr>
        <w:t>Bapperida</w:t>
      </w:r>
      <w:proofErr w:type="spellEnd"/>
      <w:r w:rsidRPr="00DF062F">
        <w:rPr>
          <w:rFonts w:ascii="Arial" w:eastAsia="Calibri" w:hAnsi="Arial" w:cs="Arial"/>
          <w:sz w:val="22"/>
          <w:szCs w:val="22"/>
        </w:rPr>
        <w:t xml:space="preserve"> and Finance is very open. Physical development increases regional assets and strengthens health services. Second, open communication channels within the Health Office technical teams at any hour. Third, community support. Better facility access directly benefits the public, provided proper community socialization occurs to prevent land disputes.</w:t>
      </w:r>
    </w:p>
    <w:p w14:paraId="3D0DE56F"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4] (39:21 - 39:22) Any additions regarding supporting factors?</w:t>
      </w:r>
    </w:p>
    <w:p w14:paraId="5927A632"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3] (39:25 - 39:57) Could you share specific instances where certain policies made DAK budgeting smooth for the local government, such as expanded sub-activity scopes or direct assistance?</w:t>
      </w:r>
    </w:p>
    <w:p w14:paraId="611FA1F5"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1] (39:58 - 40:08) Regarding support, DAK is essential because our fiscal capacity is limited...</w:t>
      </w:r>
    </w:p>
    <w:p w14:paraId="15950D06"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7] (40:11 - 40:17) Supporting factors are more about...</w:t>
      </w:r>
    </w:p>
    <w:p w14:paraId="12214A91"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 xml:space="preserve">[Speaker 3] (40:17 - 41:13) Not just how DAK supports development, but structural enablers—such as clear technical guidance, dedicated Ministry of Health assistance teams, or </w:t>
      </w:r>
      <w:proofErr w:type="spellStart"/>
      <w:r w:rsidRPr="00DF062F">
        <w:rPr>
          <w:rFonts w:ascii="Arial" w:eastAsia="Calibri" w:hAnsi="Arial" w:cs="Arial"/>
          <w:sz w:val="22"/>
          <w:szCs w:val="22"/>
        </w:rPr>
        <w:t>favorable</w:t>
      </w:r>
      <w:proofErr w:type="spellEnd"/>
      <w:r w:rsidRPr="00DF062F">
        <w:rPr>
          <w:rFonts w:ascii="Arial" w:eastAsia="Calibri" w:hAnsi="Arial" w:cs="Arial"/>
          <w:sz w:val="22"/>
          <w:szCs w:val="22"/>
        </w:rPr>
        <w:t xml:space="preserve"> submission windows that simplified DAK formulation?</w:t>
      </w:r>
    </w:p>
    <w:p w14:paraId="223656AC"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4] (41:13 - 41:20) Perhaps in years prior to the last two years?</w:t>
      </w:r>
    </w:p>
    <w:p w14:paraId="19A7CE97"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1] (41:26 - 42:12) Usually, lead ministries conduct socialization sessions prior to proposal stages, specifying nationwide DAK allocations and menu options. What works well is that initial input phases don't impose rigid budget ceilings per menu...</w:t>
      </w:r>
    </w:p>
    <w:p w14:paraId="55AD42FB"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9] (42:12 - 42:14) We...</w:t>
      </w:r>
    </w:p>
    <w:p w14:paraId="72EF8600"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1] (42:15 - 44:06) DAK follows a comprehensive package system (</w:t>
      </w:r>
      <w:proofErr w:type="spellStart"/>
      <w:r w:rsidRPr="00DF062F">
        <w:rPr>
          <w:rFonts w:ascii="Arial" w:eastAsia="Calibri" w:hAnsi="Arial" w:cs="Arial"/>
          <w:sz w:val="22"/>
          <w:szCs w:val="22"/>
        </w:rPr>
        <w:t>sistem</w:t>
      </w:r>
      <w:proofErr w:type="spellEnd"/>
      <w:r w:rsidRPr="00DF062F">
        <w:rPr>
          <w:rFonts w:ascii="Arial" w:eastAsia="Calibri" w:hAnsi="Arial" w:cs="Arial"/>
          <w:sz w:val="22"/>
          <w:szCs w:val="22"/>
        </w:rPr>
        <w:t xml:space="preserve"> </w:t>
      </w:r>
      <w:proofErr w:type="spellStart"/>
      <w:r w:rsidRPr="00DF062F">
        <w:rPr>
          <w:rFonts w:ascii="Arial" w:eastAsia="Calibri" w:hAnsi="Arial" w:cs="Arial"/>
          <w:sz w:val="22"/>
          <w:szCs w:val="22"/>
        </w:rPr>
        <w:t>tuntas</w:t>
      </w:r>
      <w:proofErr w:type="spellEnd"/>
      <w:r w:rsidRPr="00DF062F">
        <w:rPr>
          <w:rFonts w:ascii="Arial" w:eastAsia="Calibri" w:hAnsi="Arial" w:cs="Arial"/>
          <w:sz w:val="22"/>
          <w:szCs w:val="22"/>
        </w:rPr>
        <w:t xml:space="preserve">)—for example, ensuring a </w:t>
      </w:r>
      <w:proofErr w:type="spellStart"/>
      <w:r w:rsidRPr="00DF062F">
        <w:rPr>
          <w:rFonts w:ascii="Arial" w:eastAsia="Calibri" w:hAnsi="Arial" w:cs="Arial"/>
          <w:sz w:val="22"/>
          <w:szCs w:val="22"/>
        </w:rPr>
        <w:t>Puskesmas</w:t>
      </w:r>
      <w:proofErr w:type="spellEnd"/>
      <w:r w:rsidRPr="00DF062F">
        <w:rPr>
          <w:rFonts w:ascii="Arial" w:eastAsia="Calibri" w:hAnsi="Arial" w:cs="Arial"/>
          <w:sz w:val="22"/>
          <w:szCs w:val="22"/>
        </w:rPr>
        <w:t xml:space="preserve"> receives a complete set of required equipment. However, technical prerequisites like personnel or waste management (IPAL) must be pre-fulfilled. Occasionally, special allocations appear mid-process, such as remote doctor allowances. Last year, that option appeared right before closing, allowing us to submit proposals for specialist doctor incentives. While unexpected mid-stream menu additions can </w:t>
      </w:r>
      <w:r w:rsidRPr="00DF062F">
        <w:rPr>
          <w:rFonts w:ascii="Arial" w:eastAsia="Calibri" w:hAnsi="Arial" w:cs="Arial"/>
          <w:sz w:val="22"/>
          <w:szCs w:val="22"/>
        </w:rPr>
        <w:lastRenderedPageBreak/>
        <w:t xml:space="preserve">be challenging to </w:t>
      </w:r>
      <w:proofErr w:type="spellStart"/>
      <w:r w:rsidRPr="00DF062F">
        <w:rPr>
          <w:rFonts w:ascii="Arial" w:eastAsia="Calibri" w:hAnsi="Arial" w:cs="Arial"/>
          <w:sz w:val="22"/>
          <w:szCs w:val="22"/>
        </w:rPr>
        <w:t>fulfill</w:t>
      </w:r>
      <w:proofErr w:type="spellEnd"/>
      <w:r w:rsidRPr="00DF062F">
        <w:rPr>
          <w:rFonts w:ascii="Arial" w:eastAsia="Calibri" w:hAnsi="Arial" w:cs="Arial"/>
          <w:sz w:val="22"/>
          <w:szCs w:val="22"/>
        </w:rPr>
        <w:t xml:space="preserve"> on short notice, simplified technical requirements make them beneficial.</w:t>
      </w:r>
    </w:p>
    <w:p w14:paraId="69F4A0A3"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4] (44:06 - 44:09) So some surprises are positive!</w:t>
      </w:r>
    </w:p>
    <w:p w14:paraId="68C389F8"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 xml:space="preserve">[Speaker 1] (44:10 - 44:30) Indeed. When additional allocations open up, we push OPD teams to </w:t>
      </w:r>
      <w:proofErr w:type="spellStart"/>
      <w:r w:rsidRPr="00DF062F">
        <w:rPr>
          <w:rFonts w:ascii="Arial" w:eastAsia="Calibri" w:hAnsi="Arial" w:cs="Arial"/>
          <w:sz w:val="22"/>
          <w:szCs w:val="22"/>
        </w:rPr>
        <w:t>fulfill</w:t>
      </w:r>
      <w:proofErr w:type="spellEnd"/>
      <w:r w:rsidRPr="00DF062F">
        <w:rPr>
          <w:rFonts w:ascii="Arial" w:eastAsia="Calibri" w:hAnsi="Arial" w:cs="Arial"/>
          <w:sz w:val="22"/>
          <w:szCs w:val="22"/>
        </w:rPr>
        <w:t xml:space="preserve"> technical requirements immediately.</w:t>
      </w:r>
    </w:p>
    <w:p w14:paraId="3090D97E"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3] (44:31 - 45:06) Are there best practices from non-physical DAK or Revenue Sharing Funds (DBH) that Physical DAK mechanisms could adopt, such as better technical assistance?</w:t>
      </w:r>
    </w:p>
    <w:p w14:paraId="3FF48DEA"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8] (45:07 - 45:09) Maybe...</w:t>
      </w:r>
    </w:p>
    <w:p w14:paraId="23F52D5D"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1] (45:11 - 46:03) During Desk evaluations, post-COVID reliance on virtual meetings creates barriers due to local internet connectivity issues. It hampers our ability to defend local proposals. In-person Desk evaluations—whether regional visits by central officials or province-mediated offline Desks—are far more effective.</w:t>
      </w:r>
    </w:p>
    <w:p w14:paraId="0FDA1D15"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3] (46:08 - 46:19) Virtual Desks often limit discussions to 1-hour slots over unstable connections.</w:t>
      </w:r>
    </w:p>
    <w:p w14:paraId="3D9A6F5E"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1] (46:21 - 46:32) Detailed explanations become restricted, forcing us into passive acceptance.</w:t>
      </w:r>
    </w:p>
    <w:p w14:paraId="68AF4096"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3] (46:33 - 47:16) In-person interaction allows proper argumentation. If you were in the Ministry of Health's position, what key changes would you implement to improve Physical DAK planning for regions like Southwest Sumba?</w:t>
      </w:r>
    </w:p>
    <w:p w14:paraId="264DB9B9"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9] (47:19 - 47:20) Perhaps...</w:t>
      </w:r>
    </w:p>
    <w:p w14:paraId="0EDAB205"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3] (47:20 - 47:27) Please list your key recommendations.</w:t>
      </w:r>
    </w:p>
    <w:p w14:paraId="76EC2C0D"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 xml:space="preserve">[Speaker 1] (47:27 - 49:13) First, I would gather direct input from each regency regarding core local needs, utilizing verified </w:t>
      </w:r>
      <w:proofErr w:type="spellStart"/>
      <w:r w:rsidRPr="00DF062F">
        <w:rPr>
          <w:rFonts w:ascii="Arial" w:eastAsia="Calibri" w:hAnsi="Arial" w:cs="Arial"/>
          <w:sz w:val="22"/>
          <w:szCs w:val="22"/>
        </w:rPr>
        <w:t>Musrenbang</w:t>
      </w:r>
      <w:proofErr w:type="spellEnd"/>
      <w:r w:rsidRPr="00DF062F">
        <w:rPr>
          <w:rFonts w:ascii="Arial" w:eastAsia="Calibri" w:hAnsi="Arial" w:cs="Arial"/>
          <w:sz w:val="22"/>
          <w:szCs w:val="22"/>
        </w:rPr>
        <w:t xml:space="preserve"> priorities available by February. Second, compile nationwide proposals and tailor Krisna menus to specific regency requirements within ceiling limits. Third, cross-reference local inputs with existing central health applications/data. Compiling verified data against local requests ensures smooth procurement and implementation without downstream conflicts.</w:t>
      </w:r>
    </w:p>
    <w:p w14:paraId="5D62DE70"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5] (49:13 - 51:05) From the Medical Devices Section perspective, equipment data is pulled from the ASPAK application. ASPAK data must be updated accurately to reflect actual local inventories and deficits based on national standards. If ASPAK accurately reflects local gaps, central data extraction will clearly indicate specific device shortages for Southwest Sumba Regency. Additionally, application standards and policies shouldn't change constantly before local teams master existing systems. Furthermore, direct ASPAK training is needed. We have been learning ASPAK self-taught without formal training since 2018; virtual Zoom overviews are insufficient.</w:t>
      </w:r>
    </w:p>
    <w:p w14:paraId="34FC684C"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3] (51:06 - 51:09) So hands-on technical assistance is essential.</w:t>
      </w:r>
    </w:p>
    <w:p w14:paraId="5239FDE1"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lastRenderedPageBreak/>
        <w:t>[Speaker 2] (51:19 - 51:27) To add from a central policy perspective:</w:t>
      </w:r>
    </w:p>
    <w:p w14:paraId="15CD8B84"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3] (51:27 - 51:30) Regarding MoH or Ministry of Finance policies?</w:t>
      </w:r>
    </w:p>
    <w:p w14:paraId="096DF437"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2] (51:31 - 52:09) First, apply principles of equity by grading regencies (Grades A, B, C, D or DTPK/remote status). For Physical DAK, the central government should fund major capital investments, while minor routine items are assigned to local budgets (APBD).</w:t>
      </w:r>
    </w:p>
    <w:p w14:paraId="5A3E8A5E"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8] (52:09 - 52:11) Because we...</w:t>
      </w:r>
    </w:p>
    <w:p w14:paraId="2C4F0E51"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 xml:space="preserve">[Speaker 2] (52:11 - 54:57) This role-sharing ensures efficiency. Take the hospital construction prototype in our regency (PHDC)—central government bypassed standard hurdles to directly fund macro infrastructure. Could similar mini-prototypes be applied for </w:t>
      </w:r>
      <w:proofErr w:type="spellStart"/>
      <w:r w:rsidRPr="00DF062F">
        <w:rPr>
          <w:rFonts w:ascii="Arial" w:eastAsia="Calibri" w:hAnsi="Arial" w:cs="Arial"/>
          <w:sz w:val="22"/>
          <w:szCs w:val="22"/>
        </w:rPr>
        <w:t>Puskesmas</w:t>
      </w:r>
      <w:proofErr w:type="spellEnd"/>
      <w:r w:rsidRPr="00DF062F">
        <w:rPr>
          <w:rFonts w:ascii="Arial" w:eastAsia="Calibri" w:hAnsi="Arial" w:cs="Arial"/>
          <w:sz w:val="22"/>
          <w:szCs w:val="22"/>
        </w:rPr>
        <w:t xml:space="preserve">, while local government handles staffing, routine operations, and device training? Second, establish multi-year planning horizons up to 2030 specifying targets for hospitals, </w:t>
      </w:r>
      <w:proofErr w:type="spellStart"/>
      <w:r w:rsidRPr="00DF062F">
        <w:rPr>
          <w:rFonts w:ascii="Arial" w:eastAsia="Calibri" w:hAnsi="Arial" w:cs="Arial"/>
          <w:sz w:val="22"/>
          <w:szCs w:val="22"/>
        </w:rPr>
        <w:t>Pustu</w:t>
      </w:r>
      <w:proofErr w:type="spellEnd"/>
      <w:r w:rsidRPr="00DF062F">
        <w:rPr>
          <w:rFonts w:ascii="Arial" w:eastAsia="Calibri" w:hAnsi="Arial" w:cs="Arial"/>
          <w:sz w:val="22"/>
          <w:szCs w:val="22"/>
        </w:rPr>
        <w:t>, and waste facilities. Knowing 3-year targets allows us to prioritize high-need/hard-to-reach clusters and prepare supporting documentation in advance. Lastly, move beyond exclusive reliance on Zoom. Face-to-face forums allow informal side-discussions where nuanced regional ideas can be properly accommodated.</w:t>
      </w:r>
    </w:p>
    <w:p w14:paraId="6FE50EEB"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4] (54:58 - 55:06) Large Zoom webinars often restrict meaningful dialogue.</w:t>
      </w:r>
    </w:p>
    <w:p w14:paraId="417A30E0"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2] (55:07 - 55:23) Exactly. Dedicated spaces for direct dialogue are crucial.</w:t>
      </w:r>
    </w:p>
    <w:p w14:paraId="07B1E39C"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3] (55:28 - 55:44) As we wrap up, are there any remaining questions or points you would like to convey?</w:t>
      </w:r>
    </w:p>
    <w:p w14:paraId="4E75902B"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2] (55:45 - 57:24) Two quick questions:</w:t>
      </w:r>
    </w:p>
    <w:p w14:paraId="0F2899D1" w14:textId="77777777" w:rsidR="00DF062F" w:rsidRPr="00DF062F" w:rsidRDefault="00DF062F" w:rsidP="00DF062F">
      <w:pPr>
        <w:numPr>
          <w:ilvl w:val="0"/>
          <w:numId w:val="2"/>
        </w:numPr>
        <w:spacing w:line="360" w:lineRule="auto"/>
        <w:rPr>
          <w:rFonts w:ascii="Arial" w:eastAsia="Calibri" w:hAnsi="Arial" w:cs="Arial"/>
          <w:sz w:val="22"/>
          <w:szCs w:val="22"/>
        </w:rPr>
      </w:pPr>
      <w:r w:rsidRPr="00DF062F">
        <w:rPr>
          <w:rFonts w:ascii="Arial" w:eastAsia="Calibri" w:hAnsi="Arial" w:cs="Arial"/>
          <w:sz w:val="22"/>
          <w:szCs w:val="22"/>
        </w:rPr>
        <w:t>Where can we access the final study document after this research?</w:t>
      </w:r>
    </w:p>
    <w:p w14:paraId="23A19263" w14:textId="77777777" w:rsidR="00DF062F" w:rsidRPr="00DF062F" w:rsidRDefault="00DF062F" w:rsidP="00DF062F">
      <w:pPr>
        <w:numPr>
          <w:ilvl w:val="0"/>
          <w:numId w:val="2"/>
        </w:numPr>
        <w:spacing w:line="360" w:lineRule="auto"/>
        <w:rPr>
          <w:rFonts w:ascii="Arial" w:eastAsia="Calibri" w:hAnsi="Arial" w:cs="Arial"/>
          <w:sz w:val="22"/>
          <w:szCs w:val="22"/>
        </w:rPr>
      </w:pPr>
      <w:r w:rsidRPr="00DF062F">
        <w:rPr>
          <w:rFonts w:ascii="Arial" w:eastAsia="Calibri" w:hAnsi="Arial" w:cs="Arial"/>
          <w:sz w:val="22"/>
          <w:szCs w:val="22"/>
        </w:rPr>
        <w:t xml:space="preserve">What feedback can be shared with our Health Office planning team to improve </w:t>
      </w:r>
      <w:proofErr w:type="spellStart"/>
      <w:r w:rsidRPr="00DF062F">
        <w:rPr>
          <w:rFonts w:ascii="Arial" w:eastAsia="Calibri" w:hAnsi="Arial" w:cs="Arial"/>
          <w:sz w:val="22"/>
          <w:szCs w:val="22"/>
        </w:rPr>
        <w:t>center</w:t>
      </w:r>
      <w:proofErr w:type="spellEnd"/>
      <w:r w:rsidRPr="00DF062F">
        <w:rPr>
          <w:rFonts w:ascii="Arial" w:eastAsia="Calibri" w:hAnsi="Arial" w:cs="Arial"/>
          <w:sz w:val="22"/>
          <w:szCs w:val="22"/>
        </w:rPr>
        <w:t>-region alignment for DAK? Uncertain timelines and 1-week submission windows create immense pressure for local planning teams. Having clear roadmaps would provide much-needed operational certainty.</w:t>
      </w:r>
    </w:p>
    <w:p w14:paraId="0879A0EE"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3] (57:25 - 57:49) We can pause the recording to discuss those post-study access questions in detail. Mr. Jeffrey or Ms. Erin, any final closing remarks?</w:t>
      </w:r>
    </w:p>
    <w:p w14:paraId="3D1F9072"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2] (57:49 - 57:50) Polishing step.</w:t>
      </w:r>
    </w:p>
    <w:p w14:paraId="7EF531EA"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3] (57:50 - 57:54) I think that covers it.</w:t>
      </w:r>
    </w:p>
    <w:p w14:paraId="1F88C94F"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1] (57:54 - 57:54) That's all.</w:t>
      </w:r>
    </w:p>
    <w:p w14:paraId="5D9F935F"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2] (57:55 - 57:56) Represented by...</w:t>
      </w:r>
    </w:p>
    <w:p w14:paraId="4DE57BC7"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1] (57:56 - 57:57) Sir.</w:t>
      </w:r>
    </w:p>
    <w:p w14:paraId="77CA5A14"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3] (57:57 - 58:01) I will stop the recording now.</w:t>
      </w:r>
    </w:p>
    <w:p w14:paraId="28EEBAD6" w14:textId="77777777" w:rsidR="00DF062F" w:rsidRPr="00DF062F" w:rsidRDefault="00DF062F" w:rsidP="00DF062F">
      <w:pPr>
        <w:spacing w:line="360" w:lineRule="auto"/>
        <w:rPr>
          <w:rFonts w:ascii="Arial" w:eastAsia="Calibri" w:hAnsi="Arial" w:cs="Arial"/>
          <w:sz w:val="22"/>
          <w:szCs w:val="22"/>
        </w:rPr>
      </w:pPr>
      <w:r w:rsidRPr="00DF062F">
        <w:rPr>
          <w:rFonts w:ascii="Arial" w:eastAsia="Calibri" w:hAnsi="Arial" w:cs="Arial"/>
          <w:sz w:val="22"/>
          <w:szCs w:val="22"/>
        </w:rPr>
        <w:t>[Speaker 1] (58:01 - 58:02) I will answer next.</w:t>
      </w:r>
    </w:p>
    <w:p w14:paraId="69826A19" w14:textId="77777777" w:rsidR="000F17BE" w:rsidRPr="00DF062F" w:rsidRDefault="000F17BE" w:rsidP="00DF062F">
      <w:pPr>
        <w:spacing w:line="360" w:lineRule="auto"/>
        <w:rPr>
          <w:rFonts w:ascii="Arial" w:hAnsi="Arial" w:cs="Arial"/>
          <w:sz w:val="22"/>
          <w:szCs w:val="22"/>
        </w:rPr>
      </w:pPr>
    </w:p>
    <w:sectPr w:rsidR="000F17BE" w:rsidRPr="00DF062F">
      <w:footerReference w:type="even"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C2F02D" w14:textId="77777777" w:rsidR="0023359A" w:rsidRDefault="0023359A" w:rsidP="00CF5D3A">
      <w:r>
        <w:separator/>
      </w:r>
    </w:p>
  </w:endnote>
  <w:endnote w:type="continuationSeparator" w:id="0">
    <w:p w14:paraId="2B0333F6" w14:textId="77777777" w:rsidR="0023359A" w:rsidRDefault="0023359A" w:rsidP="00CF5D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94161139"/>
      <w:docPartObj>
        <w:docPartGallery w:val="Page Numbers (Bottom of Page)"/>
        <w:docPartUnique/>
      </w:docPartObj>
    </w:sdtPr>
    <w:sdtContent>
      <w:p w14:paraId="0863D21B" w14:textId="65246DD7" w:rsidR="00CF5D3A" w:rsidRDefault="00CF5D3A" w:rsidP="0080668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9687BD8" w14:textId="77777777" w:rsidR="00CF5D3A" w:rsidRDefault="00CF5D3A" w:rsidP="00CF5D3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50210367"/>
      <w:docPartObj>
        <w:docPartGallery w:val="Page Numbers (Bottom of Page)"/>
        <w:docPartUnique/>
      </w:docPartObj>
    </w:sdtPr>
    <w:sdtContent>
      <w:p w14:paraId="32AF5EA6" w14:textId="0E7D4817" w:rsidR="00CF5D3A" w:rsidRDefault="00CF5D3A" w:rsidP="0080668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399F6340" w14:textId="77777777" w:rsidR="00CF5D3A" w:rsidRDefault="00CF5D3A" w:rsidP="00CF5D3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6ADE13" w14:textId="77777777" w:rsidR="0023359A" w:rsidRDefault="0023359A" w:rsidP="00CF5D3A">
      <w:r>
        <w:separator/>
      </w:r>
    </w:p>
  </w:footnote>
  <w:footnote w:type="continuationSeparator" w:id="0">
    <w:p w14:paraId="1BEC7BA8" w14:textId="77777777" w:rsidR="0023359A" w:rsidRDefault="0023359A" w:rsidP="00CF5D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BC1564"/>
    <w:multiLevelType w:val="multilevel"/>
    <w:tmpl w:val="8A08E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FB7459F"/>
    <w:multiLevelType w:val="hybridMultilevel"/>
    <w:tmpl w:val="5AEEFA78"/>
    <w:lvl w:ilvl="0" w:tplc="72665364">
      <w:start w:val="1"/>
      <w:numFmt w:val="bullet"/>
      <w:lvlText w:val="●"/>
      <w:lvlJc w:val="left"/>
      <w:pPr>
        <w:ind w:left="720" w:hanging="360"/>
      </w:pPr>
    </w:lvl>
    <w:lvl w:ilvl="1" w:tplc="7F5A4326">
      <w:start w:val="1"/>
      <w:numFmt w:val="bullet"/>
      <w:lvlText w:val="○"/>
      <w:lvlJc w:val="left"/>
      <w:pPr>
        <w:ind w:left="1440" w:hanging="360"/>
      </w:pPr>
    </w:lvl>
    <w:lvl w:ilvl="2" w:tplc="68D87C40">
      <w:start w:val="1"/>
      <w:numFmt w:val="bullet"/>
      <w:lvlText w:val="■"/>
      <w:lvlJc w:val="left"/>
      <w:pPr>
        <w:ind w:left="2160" w:hanging="360"/>
      </w:pPr>
    </w:lvl>
    <w:lvl w:ilvl="3" w:tplc="1D0A5FA8">
      <w:start w:val="1"/>
      <w:numFmt w:val="bullet"/>
      <w:lvlText w:val="●"/>
      <w:lvlJc w:val="left"/>
      <w:pPr>
        <w:ind w:left="2880" w:hanging="360"/>
      </w:pPr>
    </w:lvl>
    <w:lvl w:ilvl="4" w:tplc="1DA83A58">
      <w:start w:val="1"/>
      <w:numFmt w:val="bullet"/>
      <w:lvlText w:val="○"/>
      <w:lvlJc w:val="left"/>
      <w:pPr>
        <w:ind w:left="3600" w:hanging="360"/>
      </w:pPr>
    </w:lvl>
    <w:lvl w:ilvl="5" w:tplc="B7B8900A">
      <w:start w:val="1"/>
      <w:numFmt w:val="bullet"/>
      <w:lvlText w:val="■"/>
      <w:lvlJc w:val="left"/>
      <w:pPr>
        <w:ind w:left="4320" w:hanging="360"/>
      </w:pPr>
    </w:lvl>
    <w:lvl w:ilvl="6" w:tplc="332A4D22">
      <w:start w:val="1"/>
      <w:numFmt w:val="bullet"/>
      <w:lvlText w:val="●"/>
      <w:lvlJc w:val="left"/>
      <w:pPr>
        <w:ind w:left="5040" w:hanging="360"/>
      </w:pPr>
    </w:lvl>
    <w:lvl w:ilvl="7" w:tplc="6FF4679A">
      <w:start w:val="1"/>
      <w:numFmt w:val="bullet"/>
      <w:lvlText w:val="●"/>
      <w:lvlJc w:val="left"/>
      <w:pPr>
        <w:ind w:left="5760" w:hanging="360"/>
      </w:pPr>
    </w:lvl>
    <w:lvl w:ilvl="8" w:tplc="0F50BE2A">
      <w:start w:val="1"/>
      <w:numFmt w:val="bullet"/>
      <w:lvlText w:val="●"/>
      <w:lvlJc w:val="left"/>
      <w:pPr>
        <w:ind w:left="6480" w:hanging="360"/>
      </w:pPr>
    </w:lvl>
  </w:abstractNum>
  <w:num w:numId="1" w16cid:durableId="2122529205">
    <w:abstractNumId w:val="1"/>
    <w:lvlOverride w:ilvl="0">
      <w:startOverride w:val="1"/>
    </w:lvlOverride>
  </w:num>
  <w:num w:numId="2" w16cid:durableId="188344074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7BE"/>
    <w:rsid w:val="000F17BE"/>
    <w:rsid w:val="0023359A"/>
    <w:rsid w:val="00565E16"/>
    <w:rsid w:val="00AB23BC"/>
    <w:rsid w:val="00CF5D3A"/>
    <w:rsid w:val="00DF062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78F31394"/>
  <w15:docId w15:val="{B782B786-B303-A647-B934-4480E5B48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Footer">
    <w:name w:val="footer"/>
    <w:basedOn w:val="Normal"/>
    <w:link w:val="FooterChar"/>
    <w:uiPriority w:val="99"/>
    <w:unhideWhenUsed/>
    <w:rsid w:val="00CF5D3A"/>
    <w:pPr>
      <w:tabs>
        <w:tab w:val="center" w:pos="4680"/>
        <w:tab w:val="right" w:pos="9360"/>
      </w:tabs>
    </w:pPr>
  </w:style>
  <w:style w:type="character" w:customStyle="1" w:styleId="FooterChar">
    <w:name w:val="Footer Char"/>
    <w:basedOn w:val="DefaultParagraphFont"/>
    <w:link w:val="Footer"/>
    <w:uiPriority w:val="99"/>
    <w:rsid w:val="00CF5D3A"/>
  </w:style>
  <w:style w:type="character" w:styleId="PageNumber">
    <w:name w:val="page number"/>
    <w:basedOn w:val="DefaultParagraphFont"/>
    <w:uiPriority w:val="99"/>
    <w:semiHidden/>
    <w:unhideWhenUsed/>
    <w:rsid w:val="00CF5D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7454343">
      <w:bodyDiv w:val="1"/>
      <w:marLeft w:val="0"/>
      <w:marRight w:val="0"/>
      <w:marTop w:val="0"/>
      <w:marBottom w:val="0"/>
      <w:divBdr>
        <w:top w:val="none" w:sz="0" w:space="0" w:color="auto"/>
        <w:left w:val="none" w:sz="0" w:space="0" w:color="auto"/>
        <w:bottom w:val="none" w:sz="0" w:space="0" w:color="auto"/>
        <w:right w:val="none" w:sz="0" w:space="0" w:color="auto"/>
      </w:divBdr>
    </w:div>
    <w:div w:id="20836748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4288</Words>
  <Characters>24442</Characters>
  <Application>Microsoft Office Word</Application>
  <DocSecurity>0</DocSecurity>
  <Lines>203</Lines>
  <Paragraphs>57</Paragraphs>
  <ScaleCrop>false</ScaleCrop>
  <Company/>
  <LinksUpToDate>false</LinksUpToDate>
  <CharactersWithSpaces>28673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FGD Dinkes Sumba Barat Daya</dc:title>
  <dc:creator>TurboScribe.ai</dc:creator>
  <cp:lastModifiedBy>Cynthia Febrina Maharani</cp:lastModifiedBy>
  <cp:revision>3</cp:revision>
  <dcterms:created xsi:type="dcterms:W3CDTF">2026-08-31T02:14:00Z</dcterms:created>
  <dcterms:modified xsi:type="dcterms:W3CDTF">2026-08-31T15:03:00Z</dcterms:modified>
</cp:coreProperties>
</file>