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1495A0" w14:textId="37805D0A" w:rsidR="00C62B41" w:rsidRDefault="00C62B41" w:rsidP="00C62B41">
      <w:pPr>
        <w:spacing w:line="360" w:lineRule="auto"/>
        <w:rPr>
          <w:rFonts w:ascii="Arial" w:eastAsia="Calibri" w:hAnsi="Arial" w:cs="Arial"/>
          <w:b/>
          <w:sz w:val="28"/>
          <w:szCs w:val="28"/>
        </w:rPr>
      </w:pPr>
      <w:r w:rsidRPr="00C62B41">
        <w:rPr>
          <w:rFonts w:ascii="Arial" w:eastAsia="Calibri" w:hAnsi="Arial" w:cs="Arial"/>
          <w:b/>
          <w:iCs/>
          <w:sz w:val="28"/>
          <w:szCs w:val="28"/>
        </w:rPr>
        <w:t>In</w:t>
      </w:r>
      <w:r w:rsidRPr="00C62B41">
        <w:rPr>
          <w:rFonts w:ascii="Arial" w:eastAsia="Calibri" w:hAnsi="Arial" w:cs="Arial"/>
          <w:b/>
          <w:sz w:val="28"/>
          <w:szCs w:val="28"/>
        </w:rPr>
        <w:t>-Depth Interview Recording - Ministry of Finance</w:t>
      </w:r>
    </w:p>
    <w:p w14:paraId="5539B1D7" w14:textId="77777777" w:rsidR="00C62B41" w:rsidRPr="00C62B41" w:rsidRDefault="00C62B41" w:rsidP="00C62B41">
      <w:pPr>
        <w:spacing w:line="360" w:lineRule="auto"/>
        <w:rPr>
          <w:rFonts w:ascii="Arial" w:eastAsia="Calibri" w:hAnsi="Arial" w:cs="Arial"/>
          <w:b/>
          <w:sz w:val="28"/>
          <w:szCs w:val="28"/>
        </w:rPr>
      </w:pPr>
    </w:p>
    <w:p w14:paraId="3BBCC682"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3]</w:t>
      </w:r>
    </w:p>
    <w:p w14:paraId="54184995"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Good morning, Sir.</w:t>
      </w:r>
    </w:p>
    <w:p w14:paraId="42CBC999"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1F01BEB6"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Good morning, Ms. Cynthia. Good morning, Sir. Sir, good morning, Sir.</w:t>
      </w:r>
    </w:p>
    <w:p w14:paraId="20FE1493"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Oh yes, Sir. Nice to meet you, Sir. Will we still be waiting for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 right, Ma'am?</w:t>
      </w:r>
    </w:p>
    <w:p w14:paraId="4E6817AE"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Yes. Paired with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 right?</w:t>
      </w:r>
    </w:p>
    <w:p w14:paraId="0A61449B"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5091B258"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Yes.</w:t>
      </w:r>
    </w:p>
    <w:p w14:paraId="0073B11D"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715E6286"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Okay, great.</w:t>
      </w:r>
    </w:p>
    <w:p w14:paraId="4CF6A957"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3]</w:t>
      </w:r>
    </w:p>
    <w:p w14:paraId="2DCB3ACF"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Thank you, Ma'am. Thank you. Good morning,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w:t>
      </w:r>
    </w:p>
    <w:p w14:paraId="689BE69F"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Morning,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w:t>
      </w:r>
    </w:p>
    <w:p w14:paraId="3FEB5048"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4173B0EC"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Morning too, Mr. Ahmad.</w:t>
      </w:r>
    </w:p>
    <w:p w14:paraId="0E57349D"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3]</w:t>
      </w:r>
    </w:p>
    <w:p w14:paraId="428A2D92"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Morning,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 xml:space="preserve">. Morning, Mr. Ahmad,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 xml:space="preserve">, and Mr. </w:t>
      </w:r>
      <w:proofErr w:type="spellStart"/>
      <w:r w:rsidRPr="00C62B41">
        <w:rPr>
          <w:rFonts w:ascii="Arial" w:eastAsia="Calibri" w:hAnsi="Arial" w:cs="Arial"/>
          <w:bCs/>
          <w:sz w:val="22"/>
          <w:szCs w:val="22"/>
        </w:rPr>
        <w:t>Sauki</w:t>
      </w:r>
      <w:proofErr w:type="spellEnd"/>
      <w:r w:rsidRPr="00C62B41">
        <w:rPr>
          <w:rFonts w:ascii="Arial" w:eastAsia="Calibri" w:hAnsi="Arial" w:cs="Arial"/>
          <w:bCs/>
          <w:sz w:val="22"/>
          <w:szCs w:val="22"/>
        </w:rPr>
        <w:t>.</w:t>
      </w:r>
    </w:p>
    <w:p w14:paraId="4A031F44"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74D35CC0"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Can we start now, Sir? Permission to ask.</w:t>
      </w:r>
    </w:p>
    <w:p w14:paraId="6B9A24EA"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138705E5"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Mr. Ahmad, good morning,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 xml:space="preserve">. Permission, Ma'am, maybe wait for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 xml:space="preserve"> for a moment, right Ma'am? Still processing work.</w:t>
      </w:r>
    </w:p>
    <w:p w14:paraId="3DF9D06C"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3]</w:t>
      </w:r>
    </w:p>
    <w:p w14:paraId="33BD9BD9"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Oh yes, ready. Thank you, Sir. Sir, can you hear my voice?</w:t>
      </w:r>
    </w:p>
    <w:p w14:paraId="0C109ACB"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Audible, Ma'am,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w:t>
      </w:r>
    </w:p>
    <w:p w14:paraId="740F11BE"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0128A87A"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Audible,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w:t>
      </w:r>
    </w:p>
    <w:p w14:paraId="0FD40CF1"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3]</w:t>
      </w:r>
    </w:p>
    <w:p w14:paraId="55012B01"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Thank you.</w:t>
      </w:r>
    </w:p>
    <w:p w14:paraId="28DBA636"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0D842383"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Is this really only with the DJPK, Mr. Gini?</w:t>
      </w:r>
    </w:p>
    <w:p w14:paraId="21530D6B"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3]</w:t>
      </w:r>
    </w:p>
    <w:p w14:paraId="0A367786"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Correct.</w:t>
      </w:r>
    </w:p>
    <w:p w14:paraId="66940540"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579A6395"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lastRenderedPageBreak/>
        <w:t>Correct, yes.</w:t>
      </w:r>
    </w:p>
    <w:p w14:paraId="58EB2438"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3]</w:t>
      </w:r>
    </w:p>
    <w:p w14:paraId="4FD9510F"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Correct, only with DJPK, Ma'am.</w:t>
      </w:r>
    </w:p>
    <w:p w14:paraId="5F0788AF"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3F13926B"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Okay, if it's okay to start, it's fine if you want to start.</w:t>
      </w:r>
    </w:p>
    <w:p w14:paraId="6CE4DB79"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22C4B189"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Okay, ready. We ask permission to start, Ma'am. Maybe first, an introduction.</w:t>
      </w:r>
    </w:p>
    <w:p w14:paraId="6EDBA2EB"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Let me introduce myself, my name is Stanley, so maybe I should rename myself a bit here first.</w:t>
      </w:r>
    </w:p>
    <w:p w14:paraId="7B05FC84"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2FB54A6B"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Cynthia and Stanley.</w:t>
      </w:r>
    </w:p>
    <w:p w14:paraId="58F4A517"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3C6E425D"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Where is it?</w:t>
      </w:r>
    </w:p>
    <w:p w14:paraId="6CF4CFE9"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06D90D97"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Rename.</w:t>
      </w:r>
    </w:p>
    <w:p w14:paraId="4FEB1B91"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098D6EFC"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Oh, sorry, I didn't rename. Cynthia. Okay, ready.</w:t>
      </w:r>
    </w:p>
    <w:p w14:paraId="11E75CD7"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Maybe let us introduce ourselves, Ma'am, my name is Stanley and...</w:t>
      </w:r>
    </w:p>
    <w:p w14:paraId="73E16CC8"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2A173C34"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I am Cynthia.</w:t>
      </w:r>
    </w:p>
    <w:p w14:paraId="586D60FE"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772EE2C3"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Cynthia. The two of us happen to be consultants from the Ministry of Health, Ma'am, for the IHSS project or Indonesia Health System Strengthening. The reason and purpose of our discussion with you is because actually in the implementation of this IHSS project—maybe as a bit of background—the IHSS project is a project led by the Ministry of Health together with four Multilateral Development Banks (MDBs): the World Bank, ADB, AIIB, and Islamic Development Bank.</w:t>
      </w:r>
    </w:p>
    <w:p w14:paraId="5CBE41A8"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In this mechanism, the main objective of the project is to strengthen the health system, where various types of medical devices will be purchased, delivered, and installed across various regions to equalize access to healthcare services. However, in this IHSS project, it actually only covers matters related to the medical devices themselves. Meanwhile, facilities, infrastructure, and other needs will all be borne by the Ministry of Health.</w:t>
      </w:r>
    </w:p>
    <w:p w14:paraId="09E9BCC0"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Now, the mechanism for equalizing these facilities and infrastructure is carried out through </w:t>
      </w:r>
      <w:proofErr w:type="spellStart"/>
      <w:r w:rsidRPr="00C62B41">
        <w:rPr>
          <w:rFonts w:ascii="Arial" w:eastAsia="Calibri" w:hAnsi="Arial" w:cs="Arial"/>
          <w:bCs/>
          <w:sz w:val="22"/>
          <w:szCs w:val="22"/>
        </w:rPr>
        <w:t>fulfillment</w:t>
      </w:r>
      <w:proofErr w:type="spellEnd"/>
      <w:r w:rsidRPr="00C62B41">
        <w:rPr>
          <w:rFonts w:ascii="Arial" w:eastAsia="Calibri" w:hAnsi="Arial" w:cs="Arial"/>
          <w:bCs/>
          <w:sz w:val="22"/>
          <w:szCs w:val="22"/>
        </w:rPr>
        <w:t xml:space="preserve"> via Physical DAK (Special Allocation Fund), among other means. However, while we have been joined with this project for some time, we identified various issues. Besides the ongoing restructuring of the Physical DAK system itself, we also observed potential obstacles at the regional level in accessing the Physical DAK. In this context, the obstacles </w:t>
      </w:r>
      <w:r w:rsidRPr="00C62B41">
        <w:rPr>
          <w:rFonts w:ascii="Arial" w:eastAsia="Calibri" w:hAnsi="Arial" w:cs="Arial"/>
          <w:bCs/>
          <w:sz w:val="22"/>
          <w:szCs w:val="22"/>
        </w:rPr>
        <w:lastRenderedPageBreak/>
        <w:t>could be caused by the regional governments themselves, or perhaps due to a gap between the central government and regional governments.</w:t>
      </w:r>
    </w:p>
    <w:p w14:paraId="66FAC8BF"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Therefore, we are conducting a study on the bottleneck factors and supporting factors related to the Physical DAK. A while ago, we completed our sampling and interviews with several regency and provincial health offices in the regions. Now, we are conducting discussions at the central government level.</w:t>
      </w:r>
    </w:p>
    <w:p w14:paraId="3DF42DAA"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So, the relevant respondents are the Ministry of Health itself, then the Ministry of Home Affairs, </w:t>
      </w:r>
      <w:proofErr w:type="spellStart"/>
      <w:r w:rsidRPr="00C62B41">
        <w:rPr>
          <w:rFonts w:ascii="Arial" w:eastAsia="Calibri" w:hAnsi="Arial" w:cs="Arial"/>
          <w:bCs/>
          <w:sz w:val="22"/>
          <w:szCs w:val="22"/>
        </w:rPr>
        <w:t>Bappenas</w:t>
      </w:r>
      <w:proofErr w:type="spellEnd"/>
      <w:r w:rsidRPr="00C62B41">
        <w:rPr>
          <w:rFonts w:ascii="Arial" w:eastAsia="Calibri" w:hAnsi="Arial" w:cs="Arial"/>
          <w:bCs/>
          <w:sz w:val="22"/>
          <w:szCs w:val="22"/>
        </w:rPr>
        <w:t>, and the Ministry of Finance. Permission, Ma'am, during this session—which will last approximately one hour—if possible, you could provide inputs regarding the bottleneck and supporting factors. Additionally, we ask for permission that this meeting, while already being recorded, will be transcribed and anonymized so that the results remain confidential for all of us.</w:t>
      </w:r>
    </w:p>
    <w:p w14:paraId="5B88AA46"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Cynthia, do you have anything to add, or is there anything you would like to ask before we begin?</w:t>
      </w:r>
    </w:p>
    <w:p w14:paraId="24F91F44"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04313365"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Is there anything you'd like to ask before we start?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 Mr. Ahmad. Are there two of you?</w:t>
      </w:r>
    </w:p>
    <w:p w14:paraId="6E8D6C4D"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Is it okay if we just start? Yes, let's start directly.</w:t>
      </w:r>
    </w:p>
    <w:p w14:paraId="4280B22B"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5E40008C"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Maybe we can introduce ourselves first from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 xml:space="preserve">, Mr. Fauzi, and Mr. </w:t>
      </w:r>
      <w:proofErr w:type="spellStart"/>
      <w:r w:rsidRPr="00C62B41">
        <w:rPr>
          <w:rFonts w:ascii="Arial" w:eastAsia="Calibri" w:hAnsi="Arial" w:cs="Arial"/>
          <w:bCs/>
          <w:sz w:val="22"/>
          <w:szCs w:val="22"/>
        </w:rPr>
        <w:t>Sauki</w:t>
      </w:r>
      <w:proofErr w:type="spellEnd"/>
      <w:r w:rsidRPr="00C62B41">
        <w:rPr>
          <w:rFonts w:ascii="Arial" w:eastAsia="Calibri" w:hAnsi="Arial" w:cs="Arial"/>
          <w:bCs/>
          <w:sz w:val="22"/>
          <w:szCs w:val="22"/>
        </w:rPr>
        <w:t>. A brief introduction regarding your names and your roles in the planning of Physical DAK policies over the past few years, or perhaps the last five years.</w:t>
      </w:r>
    </w:p>
    <w:p w14:paraId="5861EE66"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40039C57"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Alright, thank you. </w:t>
      </w:r>
      <w:proofErr w:type="spellStart"/>
      <w:r w:rsidRPr="00C62B41">
        <w:rPr>
          <w:rFonts w:ascii="Arial" w:eastAsia="Calibri" w:hAnsi="Arial" w:cs="Arial"/>
          <w:bCs/>
          <w:sz w:val="22"/>
          <w:szCs w:val="22"/>
        </w:rPr>
        <w:t>Assalamu’alaikum</w:t>
      </w:r>
      <w:proofErr w:type="spellEnd"/>
      <w:r w:rsidRPr="00C62B41">
        <w:rPr>
          <w:rFonts w:ascii="Arial" w:eastAsia="Calibri" w:hAnsi="Arial" w:cs="Arial"/>
          <w:bCs/>
          <w:sz w:val="22"/>
          <w:szCs w:val="22"/>
        </w:rPr>
        <w:t xml:space="preserve"> </w:t>
      </w:r>
      <w:proofErr w:type="spellStart"/>
      <w:r w:rsidRPr="00C62B41">
        <w:rPr>
          <w:rFonts w:ascii="Arial" w:eastAsia="Calibri" w:hAnsi="Arial" w:cs="Arial"/>
          <w:bCs/>
          <w:sz w:val="22"/>
          <w:szCs w:val="22"/>
        </w:rPr>
        <w:t>Wr</w:t>
      </w:r>
      <w:proofErr w:type="spellEnd"/>
      <w:r w:rsidRPr="00C62B41">
        <w:rPr>
          <w:rFonts w:ascii="Arial" w:eastAsia="Calibri" w:hAnsi="Arial" w:cs="Arial"/>
          <w:bCs/>
          <w:sz w:val="22"/>
          <w:szCs w:val="22"/>
        </w:rPr>
        <w:t>. Wb.</w:t>
      </w:r>
    </w:p>
    <w:p w14:paraId="659194EA" w14:textId="77777777" w:rsidR="00C62B41" w:rsidRPr="00C62B41" w:rsidRDefault="00C62B41" w:rsidP="00C62B41">
      <w:pPr>
        <w:spacing w:line="360" w:lineRule="auto"/>
        <w:rPr>
          <w:rFonts w:ascii="Arial" w:eastAsia="Calibri" w:hAnsi="Arial" w:cs="Arial"/>
          <w:bCs/>
          <w:sz w:val="22"/>
          <w:szCs w:val="22"/>
        </w:rPr>
      </w:pPr>
      <w:proofErr w:type="spellStart"/>
      <w:r w:rsidRPr="00C62B41">
        <w:rPr>
          <w:rFonts w:ascii="Arial" w:eastAsia="Calibri" w:hAnsi="Arial" w:cs="Arial"/>
          <w:bCs/>
          <w:sz w:val="22"/>
          <w:szCs w:val="22"/>
        </w:rPr>
        <w:t>Assalamu’alaikum</w:t>
      </w:r>
      <w:proofErr w:type="spellEnd"/>
      <w:r w:rsidRPr="00C62B41">
        <w:rPr>
          <w:rFonts w:ascii="Arial" w:eastAsia="Calibri" w:hAnsi="Arial" w:cs="Arial"/>
          <w:bCs/>
          <w:sz w:val="22"/>
          <w:szCs w:val="22"/>
        </w:rPr>
        <w:t xml:space="preserve"> </w:t>
      </w:r>
      <w:proofErr w:type="spellStart"/>
      <w:r w:rsidRPr="00C62B41">
        <w:rPr>
          <w:rFonts w:ascii="Arial" w:eastAsia="Calibri" w:hAnsi="Arial" w:cs="Arial"/>
          <w:bCs/>
          <w:sz w:val="22"/>
          <w:szCs w:val="22"/>
        </w:rPr>
        <w:t>Wr</w:t>
      </w:r>
      <w:proofErr w:type="spellEnd"/>
      <w:r w:rsidRPr="00C62B41">
        <w:rPr>
          <w:rFonts w:ascii="Arial" w:eastAsia="Calibri" w:hAnsi="Arial" w:cs="Arial"/>
          <w:bCs/>
          <w:sz w:val="22"/>
          <w:szCs w:val="22"/>
        </w:rPr>
        <w:t>. Wb. Nice to meet you.</w:t>
      </w:r>
    </w:p>
    <w:p w14:paraId="1D0AB0A6"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Maybe here it will just be Mr. </w:t>
      </w:r>
      <w:proofErr w:type="spellStart"/>
      <w:r w:rsidRPr="00C62B41">
        <w:rPr>
          <w:rFonts w:ascii="Arial" w:eastAsia="Calibri" w:hAnsi="Arial" w:cs="Arial"/>
          <w:bCs/>
          <w:sz w:val="22"/>
          <w:szCs w:val="22"/>
        </w:rPr>
        <w:t>Sauki</w:t>
      </w:r>
      <w:proofErr w:type="spellEnd"/>
      <w:r w:rsidRPr="00C62B41">
        <w:rPr>
          <w:rFonts w:ascii="Arial" w:eastAsia="Calibri" w:hAnsi="Arial" w:cs="Arial"/>
          <w:bCs/>
          <w:sz w:val="22"/>
          <w:szCs w:val="22"/>
        </w:rPr>
        <w:t xml:space="preserve">. But </w:t>
      </w:r>
      <w:proofErr w:type="spellStart"/>
      <w:r w:rsidRPr="00C62B41">
        <w:rPr>
          <w:rFonts w:ascii="Arial" w:eastAsia="Calibri" w:hAnsi="Arial" w:cs="Arial"/>
          <w:bCs/>
          <w:sz w:val="22"/>
          <w:szCs w:val="22"/>
        </w:rPr>
        <w:t>Sauki</w:t>
      </w:r>
      <w:proofErr w:type="spellEnd"/>
      <w:r w:rsidRPr="00C62B41">
        <w:rPr>
          <w:rFonts w:ascii="Arial" w:eastAsia="Calibri" w:hAnsi="Arial" w:cs="Arial"/>
          <w:bCs/>
          <w:sz w:val="22"/>
          <w:szCs w:val="22"/>
        </w:rPr>
        <w:t xml:space="preserve"> doesn't need to speak either, it's fine. He is supporting me.</w:t>
      </w:r>
    </w:p>
    <w:p w14:paraId="3E278967"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So, I am Alisa Imanarsari, currently serving as a State Finance Functional Expert for Central and Regional Financial Relations at the Directorate General of Fiscal Balance (DJPK). Since October 2022, I have been entrusted with managing the Health Sector Physical DAK. So, for the Health Sector Physical DAK, God willing, from the planning of 2023 up to 2026, we have been overseeing it together with the Bureau of Planning of the Ministry of Health and the KGM Directorate of </w:t>
      </w:r>
      <w:proofErr w:type="spellStart"/>
      <w:r w:rsidRPr="00C62B41">
        <w:rPr>
          <w:rFonts w:ascii="Arial" w:eastAsia="Calibri" w:hAnsi="Arial" w:cs="Arial"/>
          <w:bCs/>
          <w:sz w:val="22"/>
          <w:szCs w:val="22"/>
        </w:rPr>
        <w:t>Bappenas</w:t>
      </w:r>
      <w:proofErr w:type="spellEnd"/>
      <w:r w:rsidRPr="00C62B41">
        <w:rPr>
          <w:rFonts w:ascii="Arial" w:eastAsia="Calibri" w:hAnsi="Arial" w:cs="Arial"/>
          <w:bCs/>
          <w:sz w:val="22"/>
          <w:szCs w:val="22"/>
        </w:rPr>
        <w:t>.</w:t>
      </w:r>
    </w:p>
    <w:p w14:paraId="0DCEF7A2"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3]</w:t>
      </w:r>
    </w:p>
    <w:p w14:paraId="57FEB2B4"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Ready, Mr. Fauzi?</w:t>
      </w:r>
    </w:p>
    <w:p w14:paraId="611A8DB6"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52BB75A7"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No need, </w:t>
      </w:r>
      <w:proofErr w:type="spellStart"/>
      <w:r w:rsidRPr="00C62B41">
        <w:rPr>
          <w:rFonts w:ascii="Arial" w:eastAsia="Calibri" w:hAnsi="Arial" w:cs="Arial"/>
          <w:bCs/>
          <w:sz w:val="22"/>
          <w:szCs w:val="22"/>
        </w:rPr>
        <w:t>Sauki</w:t>
      </w:r>
      <w:proofErr w:type="spellEnd"/>
      <w:r w:rsidRPr="00C62B41">
        <w:rPr>
          <w:rFonts w:ascii="Arial" w:eastAsia="Calibri" w:hAnsi="Arial" w:cs="Arial"/>
          <w:bCs/>
          <w:sz w:val="22"/>
          <w:szCs w:val="22"/>
        </w:rPr>
        <w:t xml:space="preserve"> and Fauzi don't need to. So it will just be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 right? Yes.</w:t>
      </w:r>
    </w:p>
    <w:p w14:paraId="7C9D6F24"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lastRenderedPageBreak/>
        <w:t xml:space="preserve">Ms. </w:t>
      </w:r>
      <w:proofErr w:type="spellStart"/>
      <w:r w:rsidRPr="00C62B41">
        <w:rPr>
          <w:rFonts w:ascii="Arial" w:eastAsia="Calibri" w:hAnsi="Arial" w:cs="Arial"/>
          <w:bCs/>
          <w:sz w:val="22"/>
          <w:szCs w:val="22"/>
        </w:rPr>
        <w:t>Sauki</w:t>
      </w:r>
      <w:proofErr w:type="spellEnd"/>
      <w:r w:rsidRPr="00C62B41">
        <w:rPr>
          <w:rFonts w:ascii="Arial" w:eastAsia="Calibri" w:hAnsi="Arial" w:cs="Arial"/>
          <w:bCs/>
          <w:sz w:val="22"/>
          <w:szCs w:val="22"/>
        </w:rPr>
        <w:t xml:space="preserve"> is just supporting.</w:t>
      </w:r>
    </w:p>
    <w:p w14:paraId="3EBDB25D"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0E705E0C"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Okay, ready. Maybe the next question, Ma'am: regarding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 xml:space="preserve"> herself, how many years have you been involved in the world of the Health Sector Physical DAK?</w:t>
      </w:r>
    </w:p>
    <w:p w14:paraId="07D4B80C"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06A554FE"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Since the allocations of 2023, 2024, 2025, and 2026. So, 3, 4, 5, 6—four years, God willing.</w:t>
      </w:r>
    </w:p>
    <w:p w14:paraId="0FBA4355"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77B5CA0D"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Okay, ready. Maybe we can move to the bottleneck factors first, Ma'am. Based on your experience, generally, how is the absorption of Physical DAK in the regions currently, Ma'am?</w:t>
      </w:r>
    </w:p>
    <w:p w14:paraId="14153B14"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0D882664"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Okay, well. Thank you. Can I share my screen while explaining?</w:t>
      </w:r>
    </w:p>
    <w:p w14:paraId="3B357FAD"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Sure, sure. Look, if it's related to that, if I may explain from the Central Government's perspective, right, Ma'am, first with us at the Ministry of Finance?</w:t>
      </w:r>
    </w:p>
    <w:p w14:paraId="0E6FF647"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3]</w:t>
      </w:r>
    </w:p>
    <w:p w14:paraId="7847C0E1"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Okay, good.</w:t>
      </w:r>
    </w:p>
    <w:p w14:paraId="73BF75B1"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1312EE2E"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So, the cycle of Physical DAK management has its latest technical guidelines in PMK 25 of 2024. The sequence, God willing—even though I mentioned I've been managing DAK since 2023—in the planning phase has not changed much from the previous regulations (PMK 198/2021 to PMK 25/2024). The sequence is that in February–April, we discuss determining the policy direction of the Physical DAK.</w:t>
      </w:r>
    </w:p>
    <w:p w14:paraId="58481D52"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Then, in June–July, regions submit proposals as mentioned by Ms. Cynthia and Mr. Stanley. With the projection of "Rens of Input" starting to enter around 2024, if I'm not mistaken, there is a funding synergy between Physical DAK and Line Ministry Expenditure (</w:t>
      </w:r>
      <w:proofErr w:type="spellStart"/>
      <w:r w:rsidRPr="00C62B41">
        <w:rPr>
          <w:rFonts w:ascii="Arial" w:eastAsia="Calibri" w:hAnsi="Arial" w:cs="Arial"/>
          <w:bCs/>
          <w:sz w:val="22"/>
          <w:szCs w:val="22"/>
        </w:rPr>
        <w:t>Belanja</w:t>
      </w:r>
      <w:proofErr w:type="spellEnd"/>
      <w:r w:rsidRPr="00C62B41">
        <w:rPr>
          <w:rFonts w:ascii="Arial" w:eastAsia="Calibri" w:hAnsi="Arial" w:cs="Arial"/>
          <w:bCs/>
          <w:sz w:val="22"/>
          <w:szCs w:val="22"/>
        </w:rPr>
        <w:t xml:space="preserve"> K/L). The construction of facilities and infrastructure is focused through Physical DAK, while the implementation of medical devices comes from the "Rens of Input," even though this might focus on SOPHI for healthcare services as well.</w:t>
      </w:r>
    </w:p>
    <w:p w14:paraId="6199BEFC"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Regarding the obstacles: if we understand the sequence from pre-proposal, proposal, assessment, allocation, to the policy plan result, several things can become bottlenecks.</w:t>
      </w:r>
    </w:p>
    <w:p w14:paraId="6240AE79"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First, in the pre-proposal phase: usually together with KGM, the </w:t>
      </w:r>
      <w:proofErr w:type="spellStart"/>
      <w:r w:rsidRPr="00C62B41">
        <w:rPr>
          <w:rFonts w:ascii="Arial" w:eastAsia="Calibri" w:hAnsi="Arial" w:cs="Arial"/>
          <w:bCs/>
          <w:sz w:val="22"/>
          <w:szCs w:val="22"/>
        </w:rPr>
        <w:t>Bappenas</w:t>
      </w:r>
      <w:proofErr w:type="spellEnd"/>
      <w:r w:rsidRPr="00C62B41">
        <w:rPr>
          <w:rFonts w:ascii="Arial" w:eastAsia="Calibri" w:hAnsi="Arial" w:cs="Arial"/>
          <w:bCs/>
          <w:sz w:val="22"/>
          <w:szCs w:val="22"/>
        </w:rPr>
        <w:t xml:space="preserve"> Sectoral Directorate, and the Ministry of Health's Bureau of Planning, we determine which regions will become priority locations, what the policy direction is, and what the indicative ceiling is. The challenge usually lies in the supporting data from the regions. The guideline used to see whether a region is eligible or how its facility conditions are relies on ASPAK supporting data—the activation of facilities, infrastructure, and medical devices owned by the Ministry of Health.</w:t>
      </w:r>
    </w:p>
    <w:p w14:paraId="66724B7F"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lastRenderedPageBreak/>
        <w:t>In practice, we agree every year in a Multilateral Meeting (MM) Minutes of Meeting (BA). For example, a region eligible for facility menu packages for KJSU-KIA (whose medical devices come from SOPHI) might be those whose ASPAK score is below 80%. We determine these regions, and the Ministry of Health creates a long list based on standard criteria.</w:t>
      </w:r>
    </w:p>
    <w:p w14:paraId="49C7246C"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When it comes to implementation during the proposal stage, the value of proposals submitted by regions is usually very high compared to the ceiling we calculated. The Ministry of Health already has an estimated ceiling for how much a region needs based on ASPAK data and unit costs. However, regional proposals come in higher, and then assessment takes place.</w:t>
      </w:r>
    </w:p>
    <w:p w14:paraId="77CD228A"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During assessment, the Ministry of Health and KGM request supporting data from the regions. Sometimes regions fail to complete their supporting data, leading to proposals being rejected or declared non-compliant with regulations. Once rejected, they cannot receive a Physical DAK allocation.</w:t>
      </w:r>
    </w:p>
    <w:p w14:paraId="13B30A23"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Second, in the allocation phase: when calculating allocations, we do not simply take the raw assessment results from the Ministry of Health. We make adjustments or calculations considering performance. For example, in the 2026 sequence, we are currently entering the Activity Plan (</w:t>
      </w:r>
      <w:proofErr w:type="spellStart"/>
      <w:r w:rsidRPr="00C62B41">
        <w:rPr>
          <w:rFonts w:ascii="Arial" w:eastAsia="Calibri" w:hAnsi="Arial" w:cs="Arial"/>
          <w:bCs/>
          <w:sz w:val="22"/>
          <w:szCs w:val="22"/>
        </w:rPr>
        <w:t>Rencana</w:t>
      </w:r>
      <w:proofErr w:type="spellEnd"/>
      <w:r w:rsidRPr="00C62B41">
        <w:rPr>
          <w:rFonts w:ascii="Arial" w:eastAsia="Calibri" w:hAnsi="Arial" w:cs="Arial"/>
          <w:bCs/>
          <w:sz w:val="22"/>
          <w:szCs w:val="22"/>
        </w:rPr>
        <w:t xml:space="preserve"> </w:t>
      </w:r>
      <w:proofErr w:type="spellStart"/>
      <w:r w:rsidRPr="00C62B41">
        <w:rPr>
          <w:rFonts w:ascii="Arial" w:eastAsia="Calibri" w:hAnsi="Arial" w:cs="Arial"/>
          <w:bCs/>
          <w:sz w:val="22"/>
          <w:szCs w:val="22"/>
        </w:rPr>
        <w:t>Kegiatan</w:t>
      </w:r>
      <w:proofErr w:type="spellEnd"/>
      <w:r w:rsidRPr="00C62B41">
        <w:rPr>
          <w:rFonts w:ascii="Arial" w:eastAsia="Calibri" w:hAnsi="Arial" w:cs="Arial"/>
          <w:bCs/>
          <w:sz w:val="22"/>
          <w:szCs w:val="22"/>
        </w:rPr>
        <w:t xml:space="preserve"> / RK) stage, where details of the ceiling are finalized so they can be implemented.</w:t>
      </w:r>
    </w:p>
    <w:p w14:paraId="569899E2"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Looking at this cycle, challenges exist. In the pre-proposal stage, data supporting priority location determination is sometimes inaccurate, resulting in regional proposals not matching central government expectations.</w:t>
      </w:r>
    </w:p>
    <w:p w14:paraId="375463A5"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In the second stage (assessment): ASPAK data in the regions often differs from the ASPAK data we hold central database-wise because data entry sequences in ASPAK were not synchronized properly, creating an information gap.</w:t>
      </w:r>
    </w:p>
    <w:p w14:paraId="3B7F840A"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In the allocation stage, there are performance-based adjustments. When a region scores 100 in technical assessment, its performance score might bring it down. If performance is flagged red, we reduce the allocation by 5%. Reducing 5% in health is not like in the road sector. In roads, a 5% penalty can be handled by shortening road </w:t>
      </w:r>
      <w:proofErr w:type="spellStart"/>
      <w:r w:rsidRPr="00C62B41">
        <w:rPr>
          <w:rFonts w:ascii="Arial" w:eastAsia="Calibri" w:hAnsi="Arial" w:cs="Arial"/>
          <w:bCs/>
          <w:sz w:val="22"/>
          <w:szCs w:val="22"/>
        </w:rPr>
        <w:t>kilometers</w:t>
      </w:r>
      <w:proofErr w:type="spellEnd"/>
      <w:r w:rsidRPr="00C62B41">
        <w:rPr>
          <w:rFonts w:ascii="Arial" w:eastAsia="Calibri" w:hAnsi="Arial" w:cs="Arial"/>
          <w:bCs/>
          <w:sz w:val="22"/>
          <w:szCs w:val="22"/>
        </w:rPr>
        <w:t xml:space="preserve">. But in health, a ceiling reduction cannot suddenly remove one floor of a building or eliminate a component. This creates issues during allocation and RK </w:t>
      </w:r>
      <w:proofErr w:type="spellStart"/>
      <w:r w:rsidRPr="00C62B41">
        <w:rPr>
          <w:rFonts w:ascii="Arial" w:eastAsia="Calibri" w:hAnsi="Arial" w:cs="Arial"/>
          <w:bCs/>
          <w:sz w:val="22"/>
          <w:szCs w:val="22"/>
        </w:rPr>
        <w:t>detailment</w:t>
      </w:r>
      <w:proofErr w:type="spellEnd"/>
      <w:r w:rsidRPr="00C62B41">
        <w:rPr>
          <w:rFonts w:ascii="Arial" w:eastAsia="Calibri" w:hAnsi="Arial" w:cs="Arial"/>
          <w:bCs/>
          <w:sz w:val="22"/>
          <w:szCs w:val="22"/>
        </w:rPr>
        <w:t>.</w:t>
      </w:r>
    </w:p>
    <w:p w14:paraId="25F937F8"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Thus, there is a clear gap between Physical DAK data across the stages: from ceiling, to RK, to contract, to disbursement.</w:t>
      </w:r>
    </w:p>
    <w:p w14:paraId="64E4F1BE"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For example, even if we grant a ceiling based on assessment minus performance penalty, a region might say, "I need 100, but I only got 95." We gave 95 because of poor performance; we cannot give full allocation to an underperforming region.</w:t>
      </w:r>
    </w:p>
    <w:p w14:paraId="3E1AFF42"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lastRenderedPageBreak/>
        <w:t>Furthermore, when moving from ceiling to RK, figures drop again because even with a 95 ceiling, regional supporting data can only justify 90. So the ceiling isn't fully optimized into the RK.</w:t>
      </w:r>
    </w:p>
    <w:p w14:paraId="2CBF5CC5"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Then moving to contracts, issues persist. Take Riau Province this year: for the hospital, everything was set in the RK with co-funding from APBD (Regional Budget). In reality, APBD funding failed to materialize, so they didn't execute the finalized RK and didn't sign contracts. Without contracts, the allocated funds were unexecuted, output wasn't built, despite a large ceiling of around 10 billion. We also cannot grant Riau Province another Physical DAK ceiling for 2026 just because of next year's SOPHI intervention if they failed to utilize their 2025 ceiling.</w:t>
      </w:r>
    </w:p>
    <w:p w14:paraId="4456CA95"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Another obstacle occurs at disbursement (</w:t>
      </w:r>
      <w:proofErr w:type="spellStart"/>
      <w:r w:rsidRPr="00C62B41">
        <w:rPr>
          <w:rFonts w:ascii="Arial" w:eastAsia="Calibri" w:hAnsi="Arial" w:cs="Arial"/>
          <w:bCs/>
          <w:sz w:val="22"/>
          <w:szCs w:val="22"/>
        </w:rPr>
        <w:t>salur</w:t>
      </w:r>
      <w:proofErr w:type="spellEnd"/>
      <w:r w:rsidRPr="00C62B41">
        <w:rPr>
          <w:rFonts w:ascii="Arial" w:eastAsia="Calibri" w:hAnsi="Arial" w:cs="Arial"/>
          <w:bCs/>
          <w:sz w:val="22"/>
          <w:szCs w:val="22"/>
        </w:rPr>
        <w:t>). Physical DAK differs from Line Ministry expenditure, but we expect regions to perform. Prerequisites under PMK 25 are sometimes unmet by regions, leading to non-disbursement. From 2020–2025, 8 regions failed at RK, 12 failed at contract, and 2 failed at disbursement. This is why Physical DAK outputs are not achieved.</w:t>
      </w:r>
    </w:p>
    <w:p w14:paraId="50A687E0"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Regarding performance calculations, here are the metrics we evaluate: RK performance, ceiling performance, contract volume vs. RK volume, and absorption/disbursement performance. These four metrics guide our performance assessment.</w:t>
      </w:r>
    </w:p>
    <w:p w14:paraId="1FB77CBC"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Between 2020 and 2025, 128 regions repeatedly had performance issues. A region might have a red performance tag in 2020, but because Physical DAK focuses on national priority assignments, it receives funding again in 2021 while remaining in the red.</w:t>
      </w:r>
    </w:p>
    <w:p w14:paraId="5D390266"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Since we joined Physical DAK management, we have strengthened coordination with MoH and KGM to reduce problematic regions, especially as total Physical DAK ceilings have dropped from Rp20 Trillion in 2020 to just Rp1.8 Trillion now. With Rp1.8 T, we must narrow down which regions qualify. That's the initial overview for our discussion. Thank you.</w:t>
      </w:r>
    </w:p>
    <w:p w14:paraId="6F1DF58B"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6B61C450"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 may I confirm the timeline? Is it always like this every year, or over the past 5 years, have Multilateral Meetings been severely delayed, shifting subsequent steps?</w:t>
      </w:r>
    </w:p>
    <w:p w14:paraId="20B523C8"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602A66BA"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It can be dynamic. For 2026—though usually we mitigate health through pre-MMs—pre-MMs are initiated by the Sectoral Directorate at </w:t>
      </w:r>
      <w:proofErr w:type="spellStart"/>
      <w:r w:rsidRPr="00C62B41">
        <w:rPr>
          <w:rFonts w:ascii="Arial" w:eastAsia="Calibri" w:hAnsi="Arial" w:cs="Arial"/>
          <w:bCs/>
          <w:sz w:val="22"/>
          <w:szCs w:val="22"/>
        </w:rPr>
        <w:t>Bappenas</w:t>
      </w:r>
      <w:proofErr w:type="spellEnd"/>
      <w:r w:rsidRPr="00C62B41">
        <w:rPr>
          <w:rFonts w:ascii="Arial" w:eastAsia="Calibri" w:hAnsi="Arial" w:cs="Arial"/>
          <w:bCs/>
          <w:sz w:val="22"/>
          <w:szCs w:val="22"/>
        </w:rPr>
        <w:t xml:space="preserve"> (KGM Directorate). They usually run on schedule, so supporting data is ready.</w:t>
      </w:r>
    </w:p>
    <w:p w14:paraId="55B3DAD1"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MMs were delayed for the 2026 planning cycle due to national dynamics. APBN 2026 discussions had dynamics where indicative Physical DAK ceilings only emerged around July or September. </w:t>
      </w:r>
      <w:proofErr w:type="spellStart"/>
      <w:r w:rsidRPr="00C62B41">
        <w:rPr>
          <w:rFonts w:ascii="Arial" w:eastAsia="Calibri" w:hAnsi="Arial" w:cs="Arial"/>
          <w:bCs/>
          <w:sz w:val="22"/>
          <w:szCs w:val="22"/>
        </w:rPr>
        <w:t>Bappenas</w:t>
      </w:r>
      <w:proofErr w:type="spellEnd"/>
      <w:r w:rsidRPr="00C62B41">
        <w:rPr>
          <w:rFonts w:ascii="Arial" w:eastAsia="Calibri" w:hAnsi="Arial" w:cs="Arial"/>
          <w:bCs/>
          <w:sz w:val="22"/>
          <w:szCs w:val="22"/>
        </w:rPr>
        <w:t xml:space="preserve"> (PPTKD Directorate as lead for DAK Physical MM) only wanted to hold MMs once there was ceiling clarity.</w:t>
      </w:r>
    </w:p>
    <w:p w14:paraId="6FDE5752"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lastRenderedPageBreak/>
        <w:t xml:space="preserve">So the sequence can shift, but we are communicating with PPTKD </w:t>
      </w:r>
      <w:proofErr w:type="spellStart"/>
      <w:r w:rsidRPr="00C62B41">
        <w:rPr>
          <w:rFonts w:ascii="Arial" w:eastAsia="Calibri" w:hAnsi="Arial" w:cs="Arial"/>
          <w:bCs/>
          <w:sz w:val="22"/>
          <w:szCs w:val="22"/>
        </w:rPr>
        <w:t>Bappenas</w:t>
      </w:r>
      <w:proofErr w:type="spellEnd"/>
      <w:r w:rsidRPr="00C62B41">
        <w:rPr>
          <w:rFonts w:ascii="Arial" w:eastAsia="Calibri" w:hAnsi="Arial" w:cs="Arial"/>
          <w:bCs/>
          <w:sz w:val="22"/>
          <w:szCs w:val="22"/>
        </w:rPr>
        <w:t xml:space="preserve"> to keep the cycle normal regardless of ceiling clarity timing. We are emphasizing this in the revision of PMK 25/2024.</w:t>
      </w:r>
    </w:p>
    <w:p w14:paraId="3FC8C4FF"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143A4D2C"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 xml:space="preserve">, one more question regarding </w:t>
      </w:r>
      <w:proofErr w:type="spellStart"/>
      <w:r w:rsidRPr="00C62B41">
        <w:rPr>
          <w:rFonts w:ascii="Arial" w:eastAsia="Calibri" w:hAnsi="Arial" w:cs="Arial"/>
          <w:bCs/>
          <w:sz w:val="22"/>
          <w:szCs w:val="22"/>
        </w:rPr>
        <w:t>MoHA</w:t>
      </w:r>
      <w:proofErr w:type="spellEnd"/>
      <w:r w:rsidRPr="00C62B41">
        <w:rPr>
          <w:rFonts w:ascii="Arial" w:eastAsia="Calibri" w:hAnsi="Arial" w:cs="Arial"/>
          <w:bCs/>
          <w:sz w:val="22"/>
          <w:szCs w:val="22"/>
        </w:rPr>
        <w:t xml:space="preserve"> (</w:t>
      </w:r>
      <w:proofErr w:type="spellStart"/>
      <w:r w:rsidRPr="00C62B41">
        <w:rPr>
          <w:rFonts w:ascii="Arial" w:eastAsia="Calibri" w:hAnsi="Arial" w:cs="Arial"/>
          <w:bCs/>
          <w:sz w:val="22"/>
          <w:szCs w:val="22"/>
        </w:rPr>
        <w:t>Kemendagri</w:t>
      </w:r>
      <w:proofErr w:type="spellEnd"/>
      <w:r w:rsidRPr="00C62B41">
        <w:rPr>
          <w:rFonts w:ascii="Arial" w:eastAsia="Calibri" w:hAnsi="Arial" w:cs="Arial"/>
          <w:bCs/>
          <w:sz w:val="22"/>
          <w:szCs w:val="22"/>
        </w:rPr>
        <w:t xml:space="preserve">). Is there a contact person at </w:t>
      </w:r>
      <w:proofErr w:type="spellStart"/>
      <w:r w:rsidRPr="00C62B41">
        <w:rPr>
          <w:rFonts w:ascii="Arial" w:eastAsia="Calibri" w:hAnsi="Arial" w:cs="Arial"/>
          <w:bCs/>
          <w:sz w:val="22"/>
          <w:szCs w:val="22"/>
        </w:rPr>
        <w:t>MoHA</w:t>
      </w:r>
      <w:proofErr w:type="spellEnd"/>
      <w:r w:rsidRPr="00C62B41">
        <w:rPr>
          <w:rFonts w:ascii="Arial" w:eastAsia="Calibri" w:hAnsi="Arial" w:cs="Arial"/>
          <w:bCs/>
          <w:sz w:val="22"/>
          <w:szCs w:val="22"/>
        </w:rPr>
        <w:t xml:space="preserve"> we can reach out to who is involved in Physical DAK planning?</w:t>
      </w:r>
    </w:p>
    <w:p w14:paraId="1BAF3EFE"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2D105DFB"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At </w:t>
      </w:r>
      <w:proofErr w:type="spellStart"/>
      <w:r w:rsidRPr="00C62B41">
        <w:rPr>
          <w:rFonts w:ascii="Arial" w:eastAsia="Calibri" w:hAnsi="Arial" w:cs="Arial"/>
          <w:bCs/>
          <w:sz w:val="22"/>
          <w:szCs w:val="22"/>
        </w:rPr>
        <w:t>MoHA</w:t>
      </w:r>
      <w:proofErr w:type="spellEnd"/>
      <w:r w:rsidRPr="00C62B41">
        <w:rPr>
          <w:rFonts w:ascii="Arial" w:eastAsia="Calibri" w:hAnsi="Arial" w:cs="Arial"/>
          <w:bCs/>
          <w:sz w:val="22"/>
          <w:szCs w:val="22"/>
        </w:rPr>
        <w:t>, it's under the Directorate of Regional Financial Facilitation. Echelon 3 is Mr. Zainal, Echelon 4 is Mr. Randi. We have Mr. Randi's number; should we post it in the chat box?</w:t>
      </w:r>
    </w:p>
    <w:p w14:paraId="67F23980"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5294E31A"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Yes, please. Thank you,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w:t>
      </w:r>
    </w:p>
    <w:p w14:paraId="34D94319"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0DEFEA14" w14:textId="77777777" w:rsidR="00C62B41" w:rsidRPr="00C62B41" w:rsidRDefault="00C62B41" w:rsidP="00C62B41">
      <w:pPr>
        <w:spacing w:line="360" w:lineRule="auto"/>
        <w:rPr>
          <w:rFonts w:ascii="Arial" w:eastAsia="Calibri" w:hAnsi="Arial" w:cs="Arial"/>
          <w:bCs/>
          <w:sz w:val="22"/>
          <w:szCs w:val="22"/>
        </w:rPr>
      </w:pPr>
      <w:proofErr w:type="spellStart"/>
      <w:r w:rsidRPr="00C62B41">
        <w:rPr>
          <w:rFonts w:ascii="Arial" w:eastAsia="Calibri" w:hAnsi="Arial" w:cs="Arial"/>
          <w:bCs/>
          <w:sz w:val="22"/>
          <w:szCs w:val="22"/>
        </w:rPr>
        <w:t>MoHA</w:t>
      </w:r>
      <w:proofErr w:type="spellEnd"/>
      <w:r w:rsidRPr="00C62B41">
        <w:rPr>
          <w:rFonts w:ascii="Arial" w:eastAsia="Calibri" w:hAnsi="Arial" w:cs="Arial"/>
          <w:bCs/>
          <w:sz w:val="22"/>
          <w:szCs w:val="22"/>
        </w:rPr>
        <w:t xml:space="preserve"> is mainly involved during the MM stage only. Once it reaches Technical MMs (TNM), it's strictly just us (MoF), </w:t>
      </w:r>
      <w:proofErr w:type="spellStart"/>
      <w:r w:rsidRPr="00C62B41">
        <w:rPr>
          <w:rFonts w:ascii="Arial" w:eastAsia="Calibri" w:hAnsi="Arial" w:cs="Arial"/>
          <w:bCs/>
          <w:sz w:val="22"/>
          <w:szCs w:val="22"/>
        </w:rPr>
        <w:t>Bappenas</w:t>
      </w:r>
      <w:proofErr w:type="spellEnd"/>
      <w:r w:rsidRPr="00C62B41">
        <w:rPr>
          <w:rFonts w:ascii="Arial" w:eastAsia="Calibri" w:hAnsi="Arial" w:cs="Arial"/>
          <w:bCs/>
          <w:sz w:val="22"/>
          <w:szCs w:val="22"/>
        </w:rPr>
        <w:t>, and MoH.</w:t>
      </w:r>
    </w:p>
    <w:p w14:paraId="47F3CC7E"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However, for general planning or bottleneck/supporting factor insights, can we still consult </w:t>
      </w:r>
      <w:proofErr w:type="spellStart"/>
      <w:r w:rsidRPr="00C62B41">
        <w:rPr>
          <w:rFonts w:ascii="Arial" w:eastAsia="Calibri" w:hAnsi="Arial" w:cs="Arial"/>
          <w:bCs/>
          <w:sz w:val="22"/>
          <w:szCs w:val="22"/>
        </w:rPr>
        <w:t>MoHA</w:t>
      </w:r>
      <w:proofErr w:type="spellEnd"/>
      <w:r w:rsidRPr="00C62B41">
        <w:rPr>
          <w:rFonts w:ascii="Arial" w:eastAsia="Calibri" w:hAnsi="Arial" w:cs="Arial"/>
          <w:bCs/>
          <w:sz w:val="22"/>
          <w:szCs w:val="22"/>
        </w:rPr>
        <w:t>?</w:t>
      </w:r>
    </w:p>
    <w:p w14:paraId="6EF8E5B2"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You still can, but for the broader macro view, the main planning lead remains </w:t>
      </w:r>
      <w:proofErr w:type="spellStart"/>
      <w:r w:rsidRPr="00C62B41">
        <w:rPr>
          <w:rFonts w:ascii="Arial" w:eastAsia="Calibri" w:hAnsi="Arial" w:cs="Arial"/>
          <w:bCs/>
          <w:sz w:val="22"/>
          <w:szCs w:val="22"/>
        </w:rPr>
        <w:t>Bappenas</w:t>
      </w:r>
      <w:proofErr w:type="spellEnd"/>
      <w:r w:rsidRPr="00C62B41">
        <w:rPr>
          <w:rFonts w:ascii="Arial" w:eastAsia="Calibri" w:hAnsi="Arial" w:cs="Arial"/>
          <w:bCs/>
          <w:sz w:val="22"/>
          <w:szCs w:val="22"/>
        </w:rPr>
        <w:t xml:space="preserve"> (KGM Directorate). That's why pre-MM invitations come from KGM to us and </w:t>
      </w:r>
      <w:proofErr w:type="spellStart"/>
      <w:r w:rsidRPr="00C62B41">
        <w:rPr>
          <w:rFonts w:ascii="Arial" w:eastAsia="Calibri" w:hAnsi="Arial" w:cs="Arial"/>
          <w:bCs/>
          <w:sz w:val="22"/>
          <w:szCs w:val="22"/>
        </w:rPr>
        <w:t>MoHA</w:t>
      </w:r>
      <w:proofErr w:type="spellEnd"/>
      <w:r w:rsidRPr="00C62B41">
        <w:rPr>
          <w:rFonts w:ascii="Arial" w:eastAsia="Calibri" w:hAnsi="Arial" w:cs="Arial"/>
          <w:bCs/>
          <w:sz w:val="22"/>
          <w:szCs w:val="22"/>
        </w:rPr>
        <w:t>. Our point of view at MoF focuses on the performance side. We strongly hope priority locations assigned aren't regions that will degrade DAK performance. We want high-performing regions to receive allocations.</w:t>
      </w:r>
    </w:p>
    <w:p w14:paraId="5D90DB64"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Yet, we understand SOPHI completion doesn't strictly look at performance history; it looks at regional hospital needs. We face a dilemma when this is </w:t>
      </w:r>
      <w:proofErr w:type="spellStart"/>
      <w:r w:rsidRPr="00C62B41">
        <w:rPr>
          <w:rFonts w:ascii="Arial" w:eastAsia="Calibri" w:hAnsi="Arial" w:cs="Arial"/>
          <w:bCs/>
          <w:sz w:val="22"/>
          <w:szCs w:val="22"/>
        </w:rPr>
        <w:t>funneled</w:t>
      </w:r>
      <w:proofErr w:type="spellEnd"/>
      <w:r w:rsidRPr="00C62B41">
        <w:rPr>
          <w:rFonts w:ascii="Arial" w:eastAsia="Calibri" w:hAnsi="Arial" w:cs="Arial"/>
          <w:bCs/>
          <w:sz w:val="22"/>
          <w:szCs w:val="22"/>
        </w:rPr>
        <w:t xml:space="preserve"> into Physical DAK: we cannot easily disburse funds via DAK if a region performs poorly.</w:t>
      </w:r>
    </w:p>
    <w:p w14:paraId="193D8397"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67EDFFC9"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 I'd like to ask about policy-making. Regarding policy changes or creation for Physical DAK—including mechanisms and formula calculations—what are MoF's primary concerns? For instance, is regional accountability a major concern, or document administration, etc.?</w:t>
      </w:r>
    </w:p>
    <w:p w14:paraId="307AAA3F"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6CE1FFC3"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Our focus follows the direction set during the former Minister's tenure: "Every single Rupiah must result in clear output." That is our core focus. We want to ensure that money produces tangible results in the regions.</w:t>
      </w:r>
    </w:p>
    <w:p w14:paraId="351DC39E"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That's why some regional feedback might say Physical DAK disbursement conditions are too cumbersome or procedural. But it's because we want to safeguard that disbursed funds translate into real assets. Real implementation issues exist.</w:t>
      </w:r>
    </w:p>
    <w:p w14:paraId="51E64DE7"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lastRenderedPageBreak/>
        <w:t>System-wise, once an Activity Plan (RK) is locked—say 1.5 billion for hospital upgrading—the data flows to the OMSPAN application (the disbursement platform). Menus and contracts must align. However, once money enters regional treasury accounts (RKUD), some regions divert it to cover other expenditures.</w:t>
      </w:r>
    </w:p>
    <w:p w14:paraId="0B477807"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For example, at RSUD </w:t>
      </w:r>
      <w:proofErr w:type="spellStart"/>
      <w:r w:rsidRPr="00C62B41">
        <w:rPr>
          <w:rFonts w:ascii="Arial" w:eastAsia="Calibri" w:hAnsi="Arial" w:cs="Arial"/>
          <w:bCs/>
          <w:sz w:val="22"/>
          <w:szCs w:val="22"/>
        </w:rPr>
        <w:t>Jailolo</w:t>
      </w:r>
      <w:proofErr w:type="spellEnd"/>
      <w:r w:rsidRPr="00C62B41">
        <w:rPr>
          <w:rFonts w:ascii="Arial" w:eastAsia="Calibri" w:hAnsi="Arial" w:cs="Arial"/>
          <w:bCs/>
          <w:sz w:val="22"/>
          <w:szCs w:val="22"/>
        </w:rPr>
        <w:t>, we received information from their contractor's lawyer that funds we disbursed in 2020 for medical devices were used for other things, leaving the contractor unpaid and seeking settlement.</w:t>
      </w:r>
    </w:p>
    <w:p w14:paraId="4FD4679A"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Data-wise, things look good—we achieved 95% disbursement last year. But on the ground, because we at MoF or Treasury do not manage material compliance directly (material compliance is legally under regional responsibility), regional commitment is crucial. When revising policies, we coordinate at the central level, but safeguarding every Rupiah remains our shared priority.</w:t>
      </w:r>
    </w:p>
    <w:p w14:paraId="22976E97"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During your time with DAK, have you received complaints or reports from regions regarding obstacles in planning or executing Physical DAK?</w:t>
      </w:r>
    </w:p>
    <w:p w14:paraId="267A630F"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403705E0"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Complaints usually </w:t>
      </w:r>
      <w:proofErr w:type="spellStart"/>
      <w:r w:rsidRPr="00C62B41">
        <w:rPr>
          <w:rFonts w:ascii="Arial" w:eastAsia="Calibri" w:hAnsi="Arial" w:cs="Arial"/>
          <w:bCs/>
          <w:sz w:val="22"/>
          <w:szCs w:val="22"/>
        </w:rPr>
        <w:t>center</w:t>
      </w:r>
      <w:proofErr w:type="spellEnd"/>
      <w:r w:rsidRPr="00C62B41">
        <w:rPr>
          <w:rFonts w:ascii="Arial" w:eastAsia="Calibri" w:hAnsi="Arial" w:cs="Arial"/>
          <w:bCs/>
          <w:sz w:val="22"/>
          <w:szCs w:val="22"/>
        </w:rPr>
        <w:t xml:space="preserve"> on insufficient ceilings. This creates a dilemma for MoH and planners. DAK planning concepts driven by </w:t>
      </w:r>
      <w:proofErr w:type="spellStart"/>
      <w:r w:rsidRPr="00C62B41">
        <w:rPr>
          <w:rFonts w:ascii="Arial" w:eastAsia="Calibri" w:hAnsi="Arial" w:cs="Arial"/>
          <w:bCs/>
          <w:sz w:val="22"/>
          <w:szCs w:val="22"/>
        </w:rPr>
        <w:t>Bappenas</w:t>
      </w:r>
      <w:proofErr w:type="spellEnd"/>
      <w:r w:rsidRPr="00C62B41">
        <w:rPr>
          <w:rFonts w:ascii="Arial" w:eastAsia="Calibri" w:hAnsi="Arial" w:cs="Arial"/>
          <w:bCs/>
          <w:sz w:val="22"/>
          <w:szCs w:val="22"/>
        </w:rPr>
        <w:t xml:space="preserve"> emphasize "completeness/totality" (</w:t>
      </w:r>
      <w:proofErr w:type="spellStart"/>
      <w:r w:rsidRPr="00C62B41">
        <w:rPr>
          <w:rFonts w:ascii="Arial" w:eastAsia="Calibri" w:hAnsi="Arial" w:cs="Arial"/>
          <w:bCs/>
          <w:sz w:val="22"/>
          <w:szCs w:val="22"/>
        </w:rPr>
        <w:t>ketuntasan</w:t>
      </w:r>
      <w:proofErr w:type="spellEnd"/>
      <w:r w:rsidRPr="00C62B41">
        <w:rPr>
          <w:rFonts w:ascii="Arial" w:eastAsia="Calibri" w:hAnsi="Arial" w:cs="Arial"/>
          <w:bCs/>
          <w:sz w:val="22"/>
          <w:szCs w:val="22"/>
        </w:rPr>
        <w:t>). But in reality, medical equipment can never be fully "complete"—it expires after 10 years and needs updating, or facilities age and need renovation.</w:t>
      </w:r>
    </w:p>
    <w:p w14:paraId="19E92A89"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We cannot see all of Indonesia directly, so we rely on regional data. If regional ASPAK shows 50% or 80%, we prioritize those with lower scores. With limited ceilings, not everything can be built. Regions then complain that only one part got built while another didn't due to lack of funds.</w:t>
      </w:r>
    </w:p>
    <w:p w14:paraId="21117A2D"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Regional mapping must be strengthened so limited funds yield optimal results. We have committed not to spread funds thinly everywhere ("</w:t>
      </w:r>
      <w:proofErr w:type="spellStart"/>
      <w:r w:rsidRPr="00C62B41">
        <w:rPr>
          <w:rFonts w:ascii="Arial" w:eastAsia="Calibri" w:hAnsi="Arial" w:cs="Arial"/>
          <w:bCs/>
          <w:sz w:val="22"/>
          <w:szCs w:val="22"/>
        </w:rPr>
        <w:t>tidak</w:t>
      </w:r>
      <w:proofErr w:type="spellEnd"/>
      <w:r w:rsidRPr="00C62B41">
        <w:rPr>
          <w:rFonts w:ascii="Arial" w:eastAsia="Calibri" w:hAnsi="Arial" w:cs="Arial"/>
          <w:bCs/>
          <w:sz w:val="22"/>
          <w:szCs w:val="22"/>
        </w:rPr>
        <w:t xml:space="preserve"> tipis </w:t>
      </w:r>
      <w:proofErr w:type="spellStart"/>
      <w:r w:rsidRPr="00C62B41">
        <w:rPr>
          <w:rFonts w:ascii="Arial" w:eastAsia="Calibri" w:hAnsi="Arial" w:cs="Arial"/>
          <w:bCs/>
          <w:sz w:val="22"/>
          <w:szCs w:val="22"/>
        </w:rPr>
        <w:t>merata</w:t>
      </w:r>
      <w:proofErr w:type="spellEnd"/>
      <w:r w:rsidRPr="00C62B41">
        <w:rPr>
          <w:rFonts w:ascii="Arial" w:eastAsia="Calibri" w:hAnsi="Arial" w:cs="Arial"/>
          <w:bCs/>
          <w:sz w:val="22"/>
          <w:szCs w:val="22"/>
        </w:rPr>
        <w:t>"). Priority locations are narrowed down—this year only 266 regional governments share the 1.8 T ceiling.</w:t>
      </w:r>
    </w:p>
    <w:p w14:paraId="3688D0DD"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During final TMs, we confirm low-allocation regions directly with MoH to verify if small allocations are viable and can result in actual construction. MoH confirms technical assessments, and we rely on them while ensuring funds disburse properly.</w:t>
      </w:r>
    </w:p>
    <w:p w14:paraId="39C170D2"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4D120D84"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Thank you very much. That was a very comprehensive explanation. If we may ask further: regarding regional obstacles, has there ever been bottom-up advocacy to MoF that was raised by regions and subsequently accommodated by the central government?</w:t>
      </w:r>
    </w:p>
    <w:p w14:paraId="489D6A01"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59F8752A"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What gets accommodated by the central government is usually deadline extensions. In PMK 25, there are "critical dates." The most common issue raised by regions revolves around July 22nd.</w:t>
      </w:r>
    </w:p>
    <w:p w14:paraId="2BB3AD11"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lastRenderedPageBreak/>
        <w:t>July 22nd is the contract deadline. If a region fails to contract by July 22nd, funds will not be disbursed, because disbursement is based on contract data.</w:t>
      </w:r>
    </w:p>
    <w:p w14:paraId="270332BA"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Nearing July 22nd, during 2023, 2024, and 2025, we consistently granted extensions until July 31st based on regional letters stating contracts were still pending.</w:t>
      </w:r>
    </w:p>
    <w:p w14:paraId="40BDE356"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This year, aligned with Presidential and Ministerial directives to ensure the 1.8 T ceiling is fully utilized, we extended the July 22nd deadline to August 29th—a longer extension than usual. Phase 2 and Phase 3 deadlines were also pushed back (from Oct 22 to Nov 21, and final deadline to Dec 22) to prevent failed disbursements.</w:t>
      </w:r>
    </w:p>
    <w:p w14:paraId="4FC724F2"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These policy adjustments directly accommodate regional requests and data analysis. If funds don't disburse, national priority targets fail. So extensions are driven both bottom-up and by central target monitoring.</w:t>
      </w:r>
    </w:p>
    <w:p w14:paraId="25E1356D"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Regarding inter-ministerial coordination (</w:t>
      </w:r>
      <w:proofErr w:type="spellStart"/>
      <w:r w:rsidRPr="00C62B41">
        <w:rPr>
          <w:rFonts w:ascii="Arial" w:eastAsia="Calibri" w:hAnsi="Arial" w:cs="Arial"/>
          <w:bCs/>
          <w:sz w:val="22"/>
          <w:szCs w:val="22"/>
        </w:rPr>
        <w:t>Bappenas</w:t>
      </w:r>
      <w:proofErr w:type="spellEnd"/>
      <w:r w:rsidRPr="00C62B41">
        <w:rPr>
          <w:rFonts w:ascii="Arial" w:eastAsia="Calibri" w:hAnsi="Arial" w:cs="Arial"/>
          <w:bCs/>
          <w:sz w:val="22"/>
          <w:szCs w:val="22"/>
        </w:rPr>
        <w:t>, MoH, MoF), are there any friction points?</w:t>
      </w:r>
    </w:p>
    <w:p w14:paraId="4BCB6473"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54D95F0D"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Thank God, central cross-ministerial coordination runs smoothly. Our main link is MoH's Bureau of Planning, but we have strong mutual support with technical directorates (Health Services, Primary, and Referral). We share data seamlessly and support each other in planning.</w:t>
      </w:r>
    </w:p>
    <w:p w14:paraId="3220564E"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Compared to other sectors, the health sector holds frequent coordination meetings—both online and offline.</w:t>
      </w:r>
    </w:p>
    <w:p w14:paraId="1D9BCD59"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7D218F18"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Moving to supporting factors: based on your experience, what are the key drivers that facilitate regional SARPAS </w:t>
      </w:r>
      <w:proofErr w:type="spellStart"/>
      <w:r w:rsidRPr="00C62B41">
        <w:rPr>
          <w:rFonts w:ascii="Arial" w:eastAsia="Calibri" w:hAnsi="Arial" w:cs="Arial"/>
          <w:bCs/>
          <w:sz w:val="22"/>
          <w:szCs w:val="22"/>
        </w:rPr>
        <w:t>fulfillment</w:t>
      </w:r>
      <w:proofErr w:type="spellEnd"/>
      <w:r w:rsidRPr="00C62B41">
        <w:rPr>
          <w:rFonts w:ascii="Arial" w:eastAsia="Calibri" w:hAnsi="Arial" w:cs="Arial"/>
          <w:bCs/>
          <w:sz w:val="22"/>
          <w:szCs w:val="22"/>
        </w:rPr>
        <w:t xml:space="preserve"> via Physical DAK?</w:t>
      </w:r>
    </w:p>
    <w:p w14:paraId="0B7B7BAA"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1B43EA79"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For non-remote regions, construction of SARPAS generally proceeds quickly. At the central level, a key supporting factor is the leadership of </w:t>
      </w:r>
      <w:proofErr w:type="spellStart"/>
      <w:r w:rsidRPr="00C62B41">
        <w:rPr>
          <w:rFonts w:ascii="Arial" w:eastAsia="Calibri" w:hAnsi="Arial" w:cs="Arial"/>
          <w:bCs/>
          <w:sz w:val="22"/>
          <w:szCs w:val="22"/>
        </w:rPr>
        <w:t>Bappenas's</w:t>
      </w:r>
      <w:proofErr w:type="spellEnd"/>
      <w:r w:rsidRPr="00C62B41">
        <w:rPr>
          <w:rFonts w:ascii="Arial" w:eastAsia="Calibri" w:hAnsi="Arial" w:cs="Arial"/>
          <w:bCs/>
          <w:sz w:val="22"/>
          <w:szCs w:val="22"/>
        </w:rPr>
        <w:t xml:space="preserve"> KGM Directorate in initiating meetings to ensure MoH data aligns with regional execution capabilities.</w:t>
      </w:r>
    </w:p>
    <w:p w14:paraId="1786E2E6"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KGM helps connect operational plans with RPJMN macro targets. Secondly, where regional leadership is committed and free of political/administrative friction, project execution succeeds smoothly. Other regions require heavier technical assistance and mentoring.</w:t>
      </w:r>
    </w:p>
    <w:p w14:paraId="2CBB5B36"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Who do you think are the most critical stakeholders in facilitating DAK implementation? Beyond </w:t>
      </w:r>
      <w:proofErr w:type="spellStart"/>
      <w:r w:rsidRPr="00C62B41">
        <w:rPr>
          <w:rFonts w:ascii="Arial" w:eastAsia="Calibri" w:hAnsi="Arial" w:cs="Arial"/>
          <w:bCs/>
          <w:sz w:val="22"/>
          <w:szCs w:val="22"/>
        </w:rPr>
        <w:t>Bappenas</w:t>
      </w:r>
      <w:proofErr w:type="spellEnd"/>
      <w:r w:rsidRPr="00C62B41">
        <w:rPr>
          <w:rFonts w:ascii="Arial" w:eastAsia="Calibri" w:hAnsi="Arial" w:cs="Arial"/>
          <w:bCs/>
          <w:sz w:val="22"/>
          <w:szCs w:val="22"/>
        </w:rPr>
        <w:t>, are there other actors like KPPN (State Treasury Offices) bridging central and regional levels?</w:t>
      </w:r>
    </w:p>
    <w:p w14:paraId="2AA6EF4D"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613717CA"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Each central unit has a distinct role:</w:t>
      </w:r>
    </w:p>
    <w:p w14:paraId="199890C7" w14:textId="77777777" w:rsidR="00C62B41" w:rsidRPr="00C62B41" w:rsidRDefault="00C62B41" w:rsidP="00C62B41">
      <w:pPr>
        <w:numPr>
          <w:ilvl w:val="0"/>
          <w:numId w:val="1"/>
        </w:numPr>
        <w:spacing w:line="360" w:lineRule="auto"/>
        <w:rPr>
          <w:rFonts w:ascii="Arial" w:eastAsia="Calibri" w:hAnsi="Arial" w:cs="Arial"/>
          <w:bCs/>
          <w:sz w:val="22"/>
          <w:szCs w:val="22"/>
        </w:rPr>
      </w:pPr>
      <w:r w:rsidRPr="00C62B41">
        <w:rPr>
          <w:rFonts w:ascii="Arial" w:eastAsia="Calibri" w:hAnsi="Arial" w:cs="Arial"/>
          <w:bCs/>
          <w:sz w:val="22"/>
          <w:szCs w:val="22"/>
        </w:rPr>
        <w:t xml:space="preserve">Planning Stage: KGM </w:t>
      </w:r>
      <w:proofErr w:type="spellStart"/>
      <w:r w:rsidRPr="00C62B41">
        <w:rPr>
          <w:rFonts w:ascii="Arial" w:eastAsia="Calibri" w:hAnsi="Arial" w:cs="Arial"/>
          <w:bCs/>
          <w:sz w:val="22"/>
          <w:szCs w:val="22"/>
        </w:rPr>
        <w:t>Bappenas</w:t>
      </w:r>
      <w:proofErr w:type="spellEnd"/>
      <w:r w:rsidRPr="00C62B41">
        <w:rPr>
          <w:rFonts w:ascii="Arial" w:eastAsia="Calibri" w:hAnsi="Arial" w:cs="Arial"/>
          <w:bCs/>
          <w:sz w:val="22"/>
          <w:szCs w:val="22"/>
        </w:rPr>
        <w:t xml:space="preserve"> and MoH Bureau of Planning.</w:t>
      </w:r>
    </w:p>
    <w:p w14:paraId="0CF6E775" w14:textId="77777777" w:rsidR="00C62B41" w:rsidRPr="00C62B41" w:rsidRDefault="00C62B41" w:rsidP="00C62B41">
      <w:pPr>
        <w:numPr>
          <w:ilvl w:val="0"/>
          <w:numId w:val="1"/>
        </w:numPr>
        <w:spacing w:line="360" w:lineRule="auto"/>
        <w:rPr>
          <w:rFonts w:ascii="Arial" w:eastAsia="Calibri" w:hAnsi="Arial" w:cs="Arial"/>
          <w:bCs/>
          <w:sz w:val="22"/>
          <w:szCs w:val="22"/>
        </w:rPr>
      </w:pPr>
      <w:r w:rsidRPr="00C62B41">
        <w:rPr>
          <w:rFonts w:ascii="Arial" w:eastAsia="Calibri" w:hAnsi="Arial" w:cs="Arial"/>
          <w:bCs/>
          <w:sz w:val="22"/>
          <w:szCs w:val="22"/>
        </w:rPr>
        <w:t>Allocation Stage: Ministry of Finance (DJPK).</w:t>
      </w:r>
    </w:p>
    <w:p w14:paraId="771A19B7" w14:textId="77777777" w:rsidR="00C62B41" w:rsidRPr="00C62B41" w:rsidRDefault="00C62B41" w:rsidP="00C62B41">
      <w:pPr>
        <w:numPr>
          <w:ilvl w:val="0"/>
          <w:numId w:val="1"/>
        </w:numPr>
        <w:spacing w:line="360" w:lineRule="auto"/>
        <w:rPr>
          <w:rFonts w:ascii="Arial" w:eastAsia="Calibri" w:hAnsi="Arial" w:cs="Arial"/>
          <w:bCs/>
          <w:sz w:val="22"/>
          <w:szCs w:val="22"/>
        </w:rPr>
      </w:pPr>
      <w:r w:rsidRPr="00C62B41">
        <w:rPr>
          <w:rFonts w:ascii="Arial" w:eastAsia="Calibri" w:hAnsi="Arial" w:cs="Arial"/>
          <w:bCs/>
          <w:sz w:val="22"/>
          <w:szCs w:val="22"/>
        </w:rPr>
        <w:lastRenderedPageBreak/>
        <w:t>Disbursement Stage: Local KPPN offices monitoring fund transfers alongside MoH technical mentoring.</w:t>
      </w:r>
    </w:p>
    <w:p w14:paraId="3F5973BF"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All units form an integrated chain to optimize DAK disbursement. However, post-construction operationalization (OPTAM) becomes MoH's and the region's responsibility to ensure built facilities benefit the public.</w:t>
      </w:r>
    </w:p>
    <w:p w14:paraId="65BA4060"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If you were in a regional position, what would you advocate to the central government to improve DAK effectiveness?</w:t>
      </w:r>
    </w:p>
    <w:p w14:paraId="3544827C"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204EA032"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If I were in the region, I would commit to total data honesty. Planning designs rely heavily on regional input data.</w:t>
      </w:r>
    </w:p>
    <w:p w14:paraId="03646D24"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There's a pattern with ASPAK data: when regions need DAK funding, ASPAK scores are lowered to show high need; when registering facilities, scores are raised. I would advocate for reporting real, accurate conditions. Data is our baseline for planning.</w:t>
      </w:r>
    </w:p>
    <w:p w14:paraId="3EBBC2CA"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Lastly, is there anything else you would like to share regarding DAK management?</w:t>
      </w:r>
    </w:p>
    <w:p w14:paraId="442C8883"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7B7DEE37"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At MoF, we remain dedicated to optimizing disbursement so funds build intended regional infrastructure. DAK Physical planning starts early in T-1, so during the execution year, focus shifts entirely to smooth disbursement. We will continuously refine disbursement procedures.</w:t>
      </w:r>
    </w:p>
    <w:p w14:paraId="2928B203"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1941E480"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That covers our questions,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 Thank you!</w:t>
      </w:r>
    </w:p>
    <w:p w14:paraId="0FE7B9F3"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47D562A3"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You're welcome. I hope this helps your IHSS/SOPHI study.</w:t>
      </w:r>
    </w:p>
    <w:p w14:paraId="6035EC5E"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0FB9B43C"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One quick question regarding the 2026 1.8 T allocation: is there a specific focus on DTPK (Remote, Border, and Island areas) for hospitals and </w:t>
      </w:r>
      <w:proofErr w:type="spellStart"/>
      <w:r w:rsidRPr="00C62B41">
        <w:rPr>
          <w:rFonts w:ascii="Arial" w:eastAsia="Calibri" w:hAnsi="Arial" w:cs="Arial"/>
          <w:bCs/>
          <w:sz w:val="22"/>
          <w:szCs w:val="22"/>
        </w:rPr>
        <w:t>Puskesmas</w:t>
      </w:r>
      <w:proofErr w:type="spellEnd"/>
      <w:r w:rsidRPr="00C62B41">
        <w:rPr>
          <w:rFonts w:ascii="Arial" w:eastAsia="Calibri" w:hAnsi="Arial" w:cs="Arial"/>
          <w:bCs/>
          <w:sz w:val="22"/>
          <w:szCs w:val="22"/>
        </w:rPr>
        <w:t>?</w:t>
      </w:r>
    </w:p>
    <w:p w14:paraId="62440C5B"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679ADF7D"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Yes, both hospitals and </w:t>
      </w:r>
      <w:proofErr w:type="spellStart"/>
      <w:r w:rsidRPr="00C62B41">
        <w:rPr>
          <w:rFonts w:ascii="Arial" w:eastAsia="Calibri" w:hAnsi="Arial" w:cs="Arial"/>
          <w:bCs/>
          <w:sz w:val="22"/>
          <w:szCs w:val="22"/>
        </w:rPr>
        <w:t>Puskesmas</w:t>
      </w:r>
      <w:proofErr w:type="spellEnd"/>
      <w:r w:rsidRPr="00C62B41">
        <w:rPr>
          <w:rFonts w:ascii="Arial" w:eastAsia="Calibri" w:hAnsi="Arial" w:cs="Arial"/>
          <w:bCs/>
          <w:sz w:val="22"/>
          <w:szCs w:val="22"/>
        </w:rPr>
        <w:t xml:space="preserve"> in DTPK remain prioritized. As the total national DAK ceiling shrinks, policy directs funding specifically toward 3T/DTPK areas across all sectors.</w:t>
      </w:r>
    </w:p>
    <w:p w14:paraId="3B7CB5D9"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3]</w:t>
      </w:r>
    </w:p>
    <w:p w14:paraId="3A590DD7"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Understood, ready.</w:t>
      </w:r>
    </w:p>
    <w:p w14:paraId="0574B9F1"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6A0DF4F1"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Thank you, Ms. </w:t>
      </w:r>
      <w:proofErr w:type="spellStart"/>
      <w:r w:rsidRPr="00C62B41">
        <w:rPr>
          <w:rFonts w:ascii="Arial" w:eastAsia="Calibri" w:hAnsi="Arial" w:cs="Arial"/>
          <w:bCs/>
          <w:sz w:val="22"/>
          <w:szCs w:val="22"/>
        </w:rPr>
        <w:t>Alid</w:t>
      </w:r>
      <w:proofErr w:type="spellEnd"/>
      <w:r w:rsidRPr="00C62B41">
        <w:rPr>
          <w:rFonts w:ascii="Arial" w:eastAsia="Calibri" w:hAnsi="Arial" w:cs="Arial"/>
          <w:bCs/>
          <w:sz w:val="22"/>
          <w:szCs w:val="22"/>
        </w:rPr>
        <w:t>.</w:t>
      </w:r>
    </w:p>
    <w:p w14:paraId="347AA9B4"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2]</w:t>
      </w:r>
    </w:p>
    <w:p w14:paraId="60CD244C"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We will anonymize the analysis results and send an informed consent form for today's interview. Findings will be disseminated around early December.</w:t>
      </w:r>
    </w:p>
    <w:p w14:paraId="38F66382"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5F543B48"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 xml:space="preserve">No problem. Glad to help. </w:t>
      </w:r>
      <w:proofErr w:type="spellStart"/>
      <w:r w:rsidRPr="00C62B41">
        <w:rPr>
          <w:rFonts w:ascii="Arial" w:eastAsia="Calibri" w:hAnsi="Arial" w:cs="Arial"/>
          <w:bCs/>
          <w:sz w:val="22"/>
          <w:szCs w:val="22"/>
        </w:rPr>
        <w:t>Assalamu’alaikum</w:t>
      </w:r>
      <w:proofErr w:type="spellEnd"/>
      <w:r w:rsidRPr="00C62B41">
        <w:rPr>
          <w:rFonts w:ascii="Arial" w:eastAsia="Calibri" w:hAnsi="Arial" w:cs="Arial"/>
          <w:bCs/>
          <w:sz w:val="22"/>
          <w:szCs w:val="22"/>
        </w:rPr>
        <w:t>.</w:t>
      </w:r>
    </w:p>
    <w:p w14:paraId="3D7316D1"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lastRenderedPageBreak/>
        <w:t>[Speaker 3]</w:t>
      </w:r>
    </w:p>
    <w:p w14:paraId="033F2BB8" w14:textId="77777777" w:rsidR="00C62B41" w:rsidRPr="00C62B41" w:rsidRDefault="00C62B41" w:rsidP="00C62B41">
      <w:pPr>
        <w:spacing w:line="360" w:lineRule="auto"/>
        <w:rPr>
          <w:rFonts w:ascii="Arial" w:eastAsia="Calibri" w:hAnsi="Arial" w:cs="Arial"/>
          <w:bCs/>
          <w:sz w:val="22"/>
          <w:szCs w:val="22"/>
        </w:rPr>
      </w:pPr>
      <w:proofErr w:type="spellStart"/>
      <w:r w:rsidRPr="00C62B41">
        <w:rPr>
          <w:rFonts w:ascii="Arial" w:eastAsia="Calibri" w:hAnsi="Arial" w:cs="Arial"/>
          <w:bCs/>
          <w:sz w:val="22"/>
          <w:szCs w:val="22"/>
        </w:rPr>
        <w:t>Wa’alaikumussalam</w:t>
      </w:r>
      <w:proofErr w:type="spellEnd"/>
      <w:r w:rsidRPr="00C62B41">
        <w:rPr>
          <w:rFonts w:ascii="Arial" w:eastAsia="Calibri" w:hAnsi="Arial" w:cs="Arial"/>
          <w:bCs/>
          <w:sz w:val="22"/>
          <w:szCs w:val="22"/>
        </w:rPr>
        <w:t xml:space="preserve"> </w:t>
      </w:r>
      <w:proofErr w:type="spellStart"/>
      <w:r w:rsidRPr="00C62B41">
        <w:rPr>
          <w:rFonts w:ascii="Arial" w:eastAsia="Calibri" w:hAnsi="Arial" w:cs="Arial"/>
          <w:bCs/>
          <w:sz w:val="22"/>
          <w:szCs w:val="22"/>
        </w:rPr>
        <w:t>Wr</w:t>
      </w:r>
      <w:proofErr w:type="spellEnd"/>
      <w:r w:rsidRPr="00C62B41">
        <w:rPr>
          <w:rFonts w:ascii="Arial" w:eastAsia="Calibri" w:hAnsi="Arial" w:cs="Arial"/>
          <w:bCs/>
          <w:sz w:val="22"/>
          <w:szCs w:val="22"/>
        </w:rPr>
        <w:t>. Wb. Thank you everyone.</w:t>
      </w:r>
    </w:p>
    <w:p w14:paraId="297CD284"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1]</w:t>
      </w:r>
    </w:p>
    <w:p w14:paraId="34A4CCED"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Permission to leave the call.</w:t>
      </w:r>
    </w:p>
    <w:p w14:paraId="315668B4" w14:textId="77777777" w:rsidR="00C62B41" w:rsidRPr="00C62B41" w:rsidRDefault="00C62B41" w:rsidP="00C62B41">
      <w:pPr>
        <w:spacing w:line="360" w:lineRule="auto"/>
        <w:rPr>
          <w:rFonts w:ascii="Arial" w:eastAsia="Calibri" w:hAnsi="Arial" w:cs="Arial"/>
          <w:bCs/>
          <w:sz w:val="22"/>
          <w:szCs w:val="22"/>
        </w:rPr>
      </w:pPr>
      <w:r w:rsidRPr="00C62B41">
        <w:rPr>
          <w:rFonts w:ascii="Arial" w:eastAsia="Calibri" w:hAnsi="Arial" w:cs="Arial"/>
          <w:bCs/>
          <w:sz w:val="22"/>
          <w:szCs w:val="22"/>
        </w:rPr>
        <w:t>[Speaker 3]</w:t>
      </w:r>
    </w:p>
    <w:p w14:paraId="5AFB9B9A" w14:textId="77777777" w:rsidR="00C62B41" w:rsidRPr="00C62B41" w:rsidRDefault="00C62B41" w:rsidP="00C62B41">
      <w:pPr>
        <w:spacing w:line="360" w:lineRule="auto"/>
        <w:rPr>
          <w:rFonts w:ascii="Arial" w:eastAsia="Calibri" w:hAnsi="Arial" w:cs="Arial"/>
          <w:bCs/>
          <w:sz w:val="22"/>
          <w:szCs w:val="22"/>
        </w:rPr>
      </w:pPr>
      <w:proofErr w:type="spellStart"/>
      <w:r w:rsidRPr="00C62B41">
        <w:rPr>
          <w:rFonts w:ascii="Arial" w:eastAsia="Calibri" w:hAnsi="Arial" w:cs="Arial"/>
          <w:bCs/>
          <w:sz w:val="22"/>
          <w:szCs w:val="22"/>
        </w:rPr>
        <w:t>Assalamu’alaikum</w:t>
      </w:r>
      <w:proofErr w:type="spellEnd"/>
      <w:r w:rsidRPr="00C62B41">
        <w:rPr>
          <w:rFonts w:ascii="Arial" w:eastAsia="Calibri" w:hAnsi="Arial" w:cs="Arial"/>
          <w:bCs/>
          <w:sz w:val="22"/>
          <w:szCs w:val="22"/>
        </w:rPr>
        <w:t>.</w:t>
      </w:r>
    </w:p>
    <w:p w14:paraId="00000160" w14:textId="734A5E67" w:rsidR="00386798" w:rsidRPr="00C62B41" w:rsidRDefault="00386798" w:rsidP="00C62B41">
      <w:pPr>
        <w:spacing w:line="360" w:lineRule="auto"/>
        <w:rPr>
          <w:rFonts w:ascii="Arial" w:hAnsi="Arial" w:cs="Arial"/>
          <w:bCs/>
          <w:sz w:val="22"/>
          <w:szCs w:val="22"/>
        </w:rPr>
      </w:pPr>
    </w:p>
    <w:sectPr w:rsidR="00386798" w:rsidRPr="00C62B41">
      <w:footerReference w:type="even"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88D96B" w14:textId="77777777" w:rsidR="005E1ED3" w:rsidRDefault="005E1ED3" w:rsidP="00F93E41">
      <w:r>
        <w:separator/>
      </w:r>
    </w:p>
  </w:endnote>
  <w:endnote w:type="continuationSeparator" w:id="0">
    <w:p w14:paraId="269DE38D" w14:textId="77777777" w:rsidR="005E1ED3" w:rsidRDefault="005E1ED3" w:rsidP="00F93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574752E-D236-7340-8563-CE7F5B11A80E}"/>
  </w:font>
  <w:font w:name="Times New Roman">
    <w:panose1 w:val="02020603050405020304"/>
    <w:charset w:val="00"/>
    <w:family w:val="roman"/>
    <w:pitch w:val="variable"/>
    <w:sig w:usb0="E0002EFF" w:usb1="C000785B" w:usb2="00000009" w:usb3="00000000" w:csb0="000001FF" w:csb1="00000000"/>
    <w:embedRegular r:id="rId2" w:fontKey="{71222B5B-389E-184D-8186-73BAE0801CBC}"/>
    <w:embedBold r:id="rId3" w:fontKey="{2916A8D2-16DE-3447-BD5C-B79250EDFA6E}"/>
    <w:embedItalic r:id="rId4" w:fontKey="{0383DF7D-48FB-2648-A936-D50CAE2DAA1B}"/>
  </w:font>
  <w:font w:name="Courier New">
    <w:panose1 w:val="02070309020205020404"/>
    <w:charset w:val="00"/>
    <w:family w:val="modern"/>
    <w:pitch w:val="fixed"/>
    <w:sig w:usb0="E0002AFF" w:usb1="C0007843" w:usb2="00000009" w:usb3="00000000" w:csb0="000001FF" w:csb1="00000000"/>
    <w:embedRegular r:id="rId5" w:fontKey="{27CAF323-3230-B946-9251-3AF096D49948}"/>
  </w:font>
  <w:font w:name="Wingdings">
    <w:panose1 w:val="05000000000000000000"/>
    <w:charset w:val="4D"/>
    <w:family w:val="decorative"/>
    <w:pitch w:val="variable"/>
    <w:sig w:usb0="00000003" w:usb1="00000000" w:usb2="00000000" w:usb3="00000000" w:csb0="80000001" w:csb1="00000000"/>
    <w:embedRegular r:id="rId6" w:fontKey="{35F09FCC-18E1-5448-88FD-91E21E4DF394}"/>
  </w:font>
  <w:font w:name="Georgia">
    <w:panose1 w:val="02040502050405020303"/>
    <w:charset w:val="00"/>
    <w:family w:val="roman"/>
    <w:pitch w:val="variable"/>
    <w:sig w:usb0="00000287" w:usb1="00000000" w:usb2="00000000" w:usb3="00000000" w:csb0="0000009F" w:csb1="00000000"/>
    <w:embedRegular r:id="rId7" w:fontKey="{AF0F3897-743E-1A4A-AE08-779D87FBD3F9}"/>
    <w:embedItalic r:id="rId8" w:fontKey="{087A5597-C0E5-1847-98E0-E8CB1169FB48}"/>
  </w:font>
  <w:font w:name="Arial">
    <w:panose1 w:val="020B0604020202020204"/>
    <w:charset w:val="00"/>
    <w:family w:val="swiss"/>
    <w:pitch w:val="variable"/>
    <w:sig w:usb0="E0002AFF" w:usb1="C0007843" w:usb2="00000009" w:usb3="00000000" w:csb0="000001FF" w:csb1="00000000"/>
    <w:embedRegular r:id="rId9" w:fontKey="{A36C94A5-6252-0A41-940E-405136910468}"/>
    <w:embedBold r:id="rId10" w:fontKey="{874F87F8-5157-EF43-825B-7A6AF009DBE8}"/>
    <w:embedItalic r:id="rId11" w:fontKey="{F2216891-BBF0-1043-B44B-C705917C1A5D}"/>
  </w:font>
  <w:font w:name="Calibri">
    <w:panose1 w:val="020F0502020204030204"/>
    <w:charset w:val="00"/>
    <w:family w:val="swiss"/>
    <w:pitch w:val="variable"/>
    <w:sig w:usb0="E4002EFF" w:usb1="C000247B" w:usb2="00000009" w:usb3="00000000" w:csb0="000001FF" w:csb1="00000000"/>
    <w:embedRegular r:id="rId12" w:fontKey="{5705E67F-53A5-CC46-A6F9-6ED748F041C6}"/>
    <w:embedBold r:id="rId13" w:fontKey="{DBF66BF1-EC4F-DB4F-B6B3-70D81BA2D078}"/>
  </w:font>
  <w:font w:name="Cambria">
    <w:panose1 w:val="02040503050406030204"/>
    <w:charset w:val="00"/>
    <w:family w:val="roman"/>
    <w:pitch w:val="variable"/>
    <w:sig w:usb0="E00002FF" w:usb1="400004FF" w:usb2="00000000" w:usb3="00000000" w:csb0="0000019F" w:csb1="00000000"/>
    <w:embedRegular r:id="rId14" w:fontKey="{343C56F0-0B63-6143-9901-A21C1F7DF27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37456260"/>
      <w:docPartObj>
        <w:docPartGallery w:val="Page Numbers (Bottom of Page)"/>
        <w:docPartUnique/>
      </w:docPartObj>
    </w:sdtPr>
    <w:sdtContent>
      <w:p w14:paraId="70D6B931" w14:textId="19E4512F" w:rsidR="00F93E41" w:rsidRDefault="00F93E41"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50F8E65" w14:textId="77777777" w:rsidR="00F93E41" w:rsidRDefault="00F93E41" w:rsidP="00F93E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9263417"/>
      <w:docPartObj>
        <w:docPartGallery w:val="Page Numbers (Bottom of Page)"/>
        <w:docPartUnique/>
      </w:docPartObj>
    </w:sdtPr>
    <w:sdtContent>
      <w:p w14:paraId="7476914F" w14:textId="5D56BDDD" w:rsidR="00F93E41" w:rsidRDefault="00F93E41"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0A491B4" w14:textId="77777777" w:rsidR="00F93E41" w:rsidRDefault="00F93E41" w:rsidP="00F93E4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308E31" w14:textId="77777777" w:rsidR="005E1ED3" w:rsidRDefault="005E1ED3" w:rsidP="00F93E41">
      <w:r>
        <w:separator/>
      </w:r>
    </w:p>
  </w:footnote>
  <w:footnote w:type="continuationSeparator" w:id="0">
    <w:p w14:paraId="22B9E725" w14:textId="77777777" w:rsidR="005E1ED3" w:rsidRDefault="005E1ED3" w:rsidP="00F93E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31751"/>
    <w:multiLevelType w:val="multilevel"/>
    <w:tmpl w:val="45089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47083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798"/>
    <w:rsid w:val="00386798"/>
    <w:rsid w:val="00565E16"/>
    <w:rsid w:val="005E1ED3"/>
    <w:rsid w:val="00AB23BC"/>
    <w:rsid w:val="00C62B41"/>
    <w:rsid w:val="00F93E4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59DE6F0E"/>
  <w15:docId w15:val="{B782B786-B303-A647-B934-4480E5B4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F93E41"/>
    <w:pPr>
      <w:tabs>
        <w:tab w:val="center" w:pos="4680"/>
        <w:tab w:val="right" w:pos="9360"/>
      </w:tabs>
    </w:pPr>
  </w:style>
  <w:style w:type="character" w:customStyle="1" w:styleId="FooterChar">
    <w:name w:val="Footer Char"/>
    <w:basedOn w:val="DefaultParagraphFont"/>
    <w:link w:val="Footer"/>
    <w:uiPriority w:val="99"/>
    <w:rsid w:val="00F93E41"/>
  </w:style>
  <w:style w:type="character" w:styleId="PageNumber">
    <w:name w:val="page number"/>
    <w:basedOn w:val="DefaultParagraphFont"/>
    <w:uiPriority w:val="99"/>
    <w:semiHidden/>
    <w:unhideWhenUsed/>
    <w:rsid w:val="00F93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4417968">
      <w:bodyDiv w:val="1"/>
      <w:marLeft w:val="0"/>
      <w:marRight w:val="0"/>
      <w:marTop w:val="0"/>
      <w:marBottom w:val="0"/>
      <w:divBdr>
        <w:top w:val="none" w:sz="0" w:space="0" w:color="auto"/>
        <w:left w:val="none" w:sz="0" w:space="0" w:color="auto"/>
        <w:bottom w:val="none" w:sz="0" w:space="0" w:color="auto"/>
        <w:right w:val="none" w:sz="0" w:space="0" w:color="auto"/>
      </w:divBdr>
    </w:div>
    <w:div w:id="637026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l/NG3EIRBCaLZrUZJS8t9/EPHw==">CgMxLjA4AHIhMVY0aDF6RlNYcUdVaUI5dGcxZWYwNWo4ZVhPcW9wS2xf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3317</Words>
  <Characters>18910</Characters>
  <Application>Microsoft Office Word</Application>
  <DocSecurity>0</DocSecurity>
  <Lines>157</Lines>
  <Paragraphs>44</Paragraphs>
  <ScaleCrop>false</ScaleCrop>
  <Company/>
  <LinksUpToDate>false</LinksUpToDate>
  <CharactersWithSpaces>22183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TurboScribe.ai</dc:creator>
  <cp:lastModifiedBy>Cynthia Febrina Maharani</cp:lastModifiedBy>
  <cp:revision>3</cp:revision>
  <dcterms:created xsi:type="dcterms:W3CDTF">2026-08-31T02:09:00Z</dcterms:created>
  <dcterms:modified xsi:type="dcterms:W3CDTF">2026-08-31T15:13:00Z</dcterms:modified>
</cp:coreProperties>
</file>