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DEEFB" w14:textId="77777777" w:rsidR="00BD75FB" w:rsidRDefault="00BD75FB" w:rsidP="00BD75FB">
      <w:pPr>
        <w:spacing w:line="276" w:lineRule="auto"/>
        <w:rPr>
          <w:rFonts w:ascii="Arial" w:eastAsia="Calibri" w:hAnsi="Arial" w:cs="Arial"/>
          <w:b/>
          <w:sz w:val="28"/>
          <w:szCs w:val="28"/>
        </w:rPr>
      </w:pPr>
      <w:r w:rsidRPr="00BD75FB">
        <w:rPr>
          <w:rFonts w:ascii="Arial" w:eastAsia="Calibri" w:hAnsi="Arial" w:cs="Arial"/>
          <w:b/>
          <w:sz w:val="28"/>
          <w:szCs w:val="28"/>
        </w:rPr>
        <w:t xml:space="preserve">In-Depth Interview KGM </w:t>
      </w:r>
      <w:proofErr w:type="spellStart"/>
      <w:r w:rsidRPr="00BD75FB">
        <w:rPr>
          <w:rFonts w:ascii="Arial" w:eastAsia="Calibri" w:hAnsi="Arial" w:cs="Arial"/>
          <w:b/>
          <w:sz w:val="28"/>
          <w:szCs w:val="28"/>
        </w:rPr>
        <w:t>Bappenas</w:t>
      </w:r>
      <w:proofErr w:type="spellEnd"/>
    </w:p>
    <w:p w14:paraId="781B56B6" w14:textId="77777777" w:rsidR="00BD75FB" w:rsidRPr="00BD75FB" w:rsidRDefault="00BD75FB" w:rsidP="00BD75FB">
      <w:pPr>
        <w:spacing w:line="276" w:lineRule="auto"/>
        <w:rPr>
          <w:rFonts w:ascii="Arial" w:eastAsia="Calibri" w:hAnsi="Arial" w:cs="Arial"/>
          <w:b/>
          <w:sz w:val="28"/>
          <w:szCs w:val="28"/>
        </w:rPr>
      </w:pPr>
    </w:p>
    <w:p w14:paraId="39C5E947"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7] Pak Ari, hello Pak.</w:t>
      </w:r>
    </w:p>
    <w:p w14:paraId="78931751"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Allow me to position myself for a moment.</w:t>
      </w:r>
    </w:p>
    <w:p w14:paraId="3DF2660D"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Oh yes, sure Pak Ari.</w:t>
      </w:r>
    </w:p>
    <w:p w14:paraId="1741E2A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Good afternoon, ladies and gentlemen. Apologies, I was setting up first earlier as I was still in the room.</w:t>
      </w:r>
    </w:p>
    <w:p w14:paraId="55A10A0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Yes, no problem.</w:t>
      </w:r>
    </w:p>
    <w:p w14:paraId="1E0A2421"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Good afternoon, no problem at all.</w:t>
      </w:r>
    </w:p>
    <w:p w14:paraId="0618D651"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Mas Ari, thank you very much, Mas, for your time.</w:t>
      </w:r>
    </w:p>
    <w:p w14:paraId="01E28A1E"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Mas Ari, if I may ask, who else are we waiting for, Mas? From KGM, it is actually just me. Oh, from KGM, just you, Mas.</w:t>
      </w:r>
    </w:p>
    <w:p w14:paraId="6AD9463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As for the other Directorate, they said they can only make it next week, Mas.</w:t>
      </w:r>
    </w:p>
    <w:p w14:paraId="2C6770FE"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Oh, is this AAPPD?</w:t>
      </w:r>
    </w:p>
    <w:p w14:paraId="176695EB"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Yes, that is correct.</w:t>
      </w:r>
    </w:p>
    <w:p w14:paraId="5592237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Sorry, PKD-TKD?</w:t>
      </w:r>
    </w:p>
    <w:p w14:paraId="6266CCC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PKD-TKD, yes.</w:t>
      </w:r>
    </w:p>
    <w:p w14:paraId="1CCA5AD0"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2] Are you on the same team as Pak Arifi, Mas Ari? That is correct, on the same team as Pak Arifi. Oh, okay. Is Pak Arifi also KGM? No, but often. I mean, for health and schools, Pak Arifi is always the one who attends. Pak Arifi is usually the most active at the Ministry of Health. He attends every event. Mas Ari, maybe we can start right away. Oh, is this already recording? Before that, maybe a short introduction. Mas Ari, let me introduce myself, my name is Stanley. Here with me is my colleague, Cynthia. We are consultants from the Ministry of Health. Our office happens to be in </w:t>
      </w:r>
      <w:proofErr w:type="spellStart"/>
      <w:r w:rsidRPr="00BD75FB">
        <w:rPr>
          <w:rFonts w:ascii="Arial" w:eastAsia="Calibri" w:hAnsi="Arial" w:cs="Arial"/>
          <w:bCs/>
          <w:sz w:val="22"/>
          <w:szCs w:val="22"/>
        </w:rPr>
        <w:t>Sujudi</w:t>
      </w:r>
      <w:proofErr w:type="spellEnd"/>
      <w:r w:rsidRPr="00BD75FB">
        <w:rPr>
          <w:rFonts w:ascii="Arial" w:eastAsia="Calibri" w:hAnsi="Arial" w:cs="Arial"/>
          <w:bCs/>
          <w:sz w:val="22"/>
          <w:szCs w:val="22"/>
        </w:rPr>
        <w:t xml:space="preserve"> and also in </w:t>
      </w:r>
      <w:proofErr w:type="spellStart"/>
      <w:r w:rsidRPr="00BD75FB">
        <w:rPr>
          <w:rFonts w:ascii="Arial" w:eastAsia="Calibri" w:hAnsi="Arial" w:cs="Arial"/>
          <w:bCs/>
          <w:sz w:val="22"/>
          <w:szCs w:val="22"/>
        </w:rPr>
        <w:t>Adiatma</w:t>
      </w:r>
      <w:proofErr w:type="spellEnd"/>
      <w:r w:rsidRPr="00BD75FB">
        <w:rPr>
          <w:rFonts w:ascii="Arial" w:eastAsia="Calibri" w:hAnsi="Arial" w:cs="Arial"/>
          <w:bCs/>
          <w:sz w:val="22"/>
          <w:szCs w:val="22"/>
        </w:rPr>
        <w:t xml:space="preserve">. Well, the two of us happen to be deployed or placed in the IHSS Project or Indonesia Health System Strengthening. Perhaps Mas Ari has also heard about the IHSS Project. As for me, I happen to be in the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(Public Health </w:t>
      </w:r>
      <w:proofErr w:type="spellStart"/>
      <w:r w:rsidRPr="00BD75FB">
        <w:rPr>
          <w:rFonts w:ascii="Arial" w:eastAsia="Calibri" w:hAnsi="Arial" w:cs="Arial"/>
          <w:bCs/>
          <w:sz w:val="22"/>
          <w:szCs w:val="22"/>
        </w:rPr>
        <w:t>Center</w:t>
      </w:r>
      <w:proofErr w:type="spellEnd"/>
      <w:r w:rsidRPr="00BD75FB">
        <w:rPr>
          <w:rFonts w:ascii="Arial" w:eastAsia="Calibri" w:hAnsi="Arial" w:cs="Arial"/>
          <w:bCs/>
          <w:sz w:val="22"/>
          <w:szCs w:val="22"/>
        </w:rPr>
        <w:t xml:space="preserve">) area, while Cynthia is in ROREN, the Planning Bureau. Like that. In the context of actually strengthening this health service system itself, the IHSS Project actually focuses on health strengthening, but its main focus is the </w:t>
      </w:r>
      <w:proofErr w:type="spellStart"/>
      <w:r w:rsidRPr="00BD75FB">
        <w:rPr>
          <w:rFonts w:ascii="Arial" w:eastAsia="Calibri" w:hAnsi="Arial" w:cs="Arial"/>
          <w:bCs/>
          <w:sz w:val="22"/>
          <w:szCs w:val="22"/>
        </w:rPr>
        <w:t>fulfillment</w:t>
      </w:r>
      <w:proofErr w:type="spellEnd"/>
      <w:r w:rsidRPr="00BD75FB">
        <w:rPr>
          <w:rFonts w:ascii="Arial" w:eastAsia="Calibri" w:hAnsi="Arial" w:cs="Arial"/>
          <w:bCs/>
          <w:sz w:val="22"/>
          <w:szCs w:val="22"/>
        </w:rPr>
        <w:t xml:space="preserve"> of medical equipment, Mas. But actually, within this IHSS Project itself, it still requires assistance from other funding sources, whether national or regional in nature, for the </w:t>
      </w:r>
      <w:proofErr w:type="spellStart"/>
      <w:r w:rsidRPr="00BD75FB">
        <w:rPr>
          <w:rFonts w:ascii="Arial" w:eastAsia="Calibri" w:hAnsi="Arial" w:cs="Arial"/>
          <w:bCs/>
          <w:sz w:val="22"/>
          <w:szCs w:val="22"/>
        </w:rPr>
        <w:t>fulfillment</w:t>
      </w:r>
      <w:proofErr w:type="spellEnd"/>
      <w:r w:rsidRPr="00BD75FB">
        <w:rPr>
          <w:rFonts w:ascii="Arial" w:eastAsia="Calibri" w:hAnsi="Arial" w:cs="Arial"/>
          <w:bCs/>
          <w:sz w:val="22"/>
          <w:szCs w:val="22"/>
        </w:rPr>
        <w:t xml:space="preserve"> of Site Readiness Criteria or the </w:t>
      </w:r>
      <w:proofErr w:type="spellStart"/>
      <w:r w:rsidRPr="00BD75FB">
        <w:rPr>
          <w:rFonts w:ascii="Arial" w:eastAsia="Calibri" w:hAnsi="Arial" w:cs="Arial"/>
          <w:bCs/>
          <w:sz w:val="22"/>
          <w:szCs w:val="22"/>
        </w:rPr>
        <w:t>fulfillment</w:t>
      </w:r>
      <w:proofErr w:type="spellEnd"/>
      <w:r w:rsidRPr="00BD75FB">
        <w:rPr>
          <w:rFonts w:ascii="Arial" w:eastAsia="Calibri" w:hAnsi="Arial" w:cs="Arial"/>
          <w:bCs/>
          <w:sz w:val="22"/>
          <w:szCs w:val="22"/>
        </w:rPr>
        <w:t xml:space="preserve"> of SARPRAS (Facilities and Infrastructure), like that. So for example, if we want to procure lab equipment, it means that for instance, the IPAL (Wastewater Treatment Plant) or the wastewater management must be available, and so on. Now, to achieve that, it is actually not covered by IHSS, but must be covered by other funding, like that, right. Now, actually one of the things we are quite interested in is the utilization of the Physical DAK (Special Allocation Fund), like that. Now, some time ago, yesterday we had done some analyses regarding the importance of DAK, but also, actually coincidentally we also read the report from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where one of the findings was that the utilization of the Physical DAK turned out to be quite low in recent years, like that, with various kinds of obstacles, like that. Now, from there actually, that is what made us want to try making a study regarding the inhibiting factors and also supporting factors to access this Physical DAK itself, right. Coincidentally, over the past few months, we have interviewed several health offices, then yesterday we also interviewed the Ministry of Health at the Physical DAK </w:t>
      </w:r>
      <w:proofErr w:type="spellStart"/>
      <w:r w:rsidRPr="00BD75FB">
        <w:rPr>
          <w:rFonts w:ascii="Arial" w:eastAsia="Calibri" w:hAnsi="Arial" w:cs="Arial"/>
          <w:bCs/>
          <w:sz w:val="22"/>
          <w:szCs w:val="22"/>
        </w:rPr>
        <w:t>Katimker</w:t>
      </w:r>
      <w:proofErr w:type="spellEnd"/>
      <w:r w:rsidRPr="00BD75FB">
        <w:rPr>
          <w:rFonts w:ascii="Arial" w:eastAsia="Calibri" w:hAnsi="Arial" w:cs="Arial"/>
          <w:bCs/>
          <w:sz w:val="22"/>
          <w:szCs w:val="22"/>
        </w:rPr>
        <w:t xml:space="preserve">, and just this morning we interviewed the Ministry of Finance. Now, the hope is that we can get insights from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for these discussions. Now, as a note perhaps, sorry it's a bit long, Mas Ari, so maybe as a note, this study will </w:t>
      </w:r>
      <w:r w:rsidRPr="00BD75FB">
        <w:rPr>
          <w:rFonts w:ascii="Arial" w:eastAsia="Calibri" w:hAnsi="Arial" w:cs="Arial"/>
          <w:bCs/>
          <w:sz w:val="22"/>
          <w:szCs w:val="22"/>
        </w:rPr>
        <w:lastRenderedPageBreak/>
        <w:t xml:space="preserve">later be studied and </w:t>
      </w:r>
      <w:proofErr w:type="spellStart"/>
      <w:r w:rsidRPr="00BD75FB">
        <w:rPr>
          <w:rFonts w:ascii="Arial" w:eastAsia="Calibri" w:hAnsi="Arial" w:cs="Arial"/>
          <w:bCs/>
          <w:sz w:val="22"/>
          <w:szCs w:val="22"/>
        </w:rPr>
        <w:t>analyzed</w:t>
      </w:r>
      <w:proofErr w:type="spellEnd"/>
      <w:r w:rsidRPr="00BD75FB">
        <w:rPr>
          <w:rFonts w:ascii="Arial" w:eastAsia="Calibri" w:hAnsi="Arial" w:cs="Arial"/>
          <w:bCs/>
          <w:sz w:val="22"/>
          <w:szCs w:val="22"/>
        </w:rPr>
        <w:t xml:space="preserve"> by us, so this conversation will be transcribed and anonymized, so we hope this discussion can be a safe space for Mas Ari to convey his insights, right. So maybe Mas Ari can convey regarding the perspective from the central government and how the central government views the regional governments and also fellow central government entities, fellow line ministries/agencies, like that. Later, we also plan to invite you in early December to disseminate the results, and it will be completely anonymized, like that, and this recording will not be shared with anyone either, like that, that's all perhaps, Mas Ari. Cynthia, anything to add? Or maybe Mas Ari has something to ask?</w:t>
      </w:r>
    </w:p>
    <w:p w14:paraId="1A0AAEB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Mas Ari, do you have any questions? If there are any questions that might be, although we hope not to ask anything that makes Mas Ari uncomfortable, but for example if there are questions that Mas Ari objects to or not, no problem, just convey it.</w:t>
      </w:r>
    </w:p>
    <w:p w14:paraId="26DD4B1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Maybe this means the interview is specific, regarding the relation of Physical DAK for the project, IHSS is SOPI, Impulse, right? Correct. SOPI and Impulse. SOPI, SIHREN, Impulse. So it is specifically related to the correlation with those three projects then? Or broader than that?</w:t>
      </w:r>
    </w:p>
    <w:p w14:paraId="12969C6E"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In correlation with those three projects, maybe we also have questions that are actually more general as well.</w:t>
      </w:r>
    </w:p>
    <w:p w14:paraId="36FBF11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Okay, no problem. Let's proceed.</w:t>
      </w:r>
    </w:p>
    <w:p w14:paraId="7A5CE3FB"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Maybe as a starting point, could you introduce yourself first, Mas Ari? Yes Mas, like how long have you been...</w:t>
      </w:r>
    </w:p>
    <w:p w14:paraId="58A3123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Engaged.</w:t>
      </w:r>
    </w:p>
    <w:p w14:paraId="02FE8F6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In the world of Physical DAK. Or for example, how long has your work been related to Physical DAK?</w:t>
      </w:r>
    </w:p>
    <w:p w14:paraId="7ACFA6C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Okay, thank you very much </w:t>
      </w:r>
      <w:proofErr w:type="spellStart"/>
      <w:r w:rsidRPr="00BD75FB">
        <w:rPr>
          <w:rFonts w:ascii="Arial" w:eastAsia="Calibri" w:hAnsi="Arial" w:cs="Arial"/>
          <w:bCs/>
          <w:sz w:val="22"/>
          <w:szCs w:val="22"/>
        </w:rPr>
        <w:t>Mbak</w:t>
      </w:r>
      <w:proofErr w:type="spellEnd"/>
      <w:r w:rsidRPr="00BD75FB">
        <w:rPr>
          <w:rFonts w:ascii="Arial" w:eastAsia="Calibri" w:hAnsi="Arial" w:cs="Arial"/>
          <w:bCs/>
          <w:sz w:val="22"/>
          <w:szCs w:val="22"/>
        </w:rPr>
        <w:t xml:space="preserve"> Cynthia and Mas Stanley. So I am Ari Fauzi from the Directorate of Community Health and Nutrition. And coincidentally, in terms of position, I am a first-level planner at the KGM Directorate. And I joined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myself back in 2021. And coincidentally, I have been in charge of the DAK program from the first time I joined until now. And especially, specifically, DAK has physical and non-physical parts. It will probably lean more towards Physical DAK. Besides that, in the last two years, I have also actually been involved in the planning project for SISOIN. So I know more or less the history of how the dynamics of this project proposal went, the back-and-forth, and so forth. So hopefully, it provides relevant information related to this interview.</w:t>
      </w:r>
    </w:p>
    <w:p w14:paraId="0B3DE3A9"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Understood. Maybe if we may dive into a general overview first, Mas Ari. In your opinion, Mas Ari, generally speaking, how have the dynamics of regulation making and also the mechanisms of this Physical DAK been during your tenure?</w:t>
      </w:r>
    </w:p>
    <w:p w14:paraId="605379D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Okay. Perhaps the regulation has a planning regulation side, and there is a regulation from the input side in the planning process. Within planning regulations, it means there are those of a policy nature at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regarding how DAK planning is done, and also in 2000—I forget the exact year—there is a law related to HKPD, which was issued recently in 2023 or 2024, addressing how previously the policy dynamics of DAK used to be open to all regions. However, since 2023 as I recall, DAK, especially for health physical assets, has been assignment-based. So not all regions are allowed to propose, but only regions designated as loci by meeting certain criteria. Then another relevant regulation is actually how when we establish a locus, assigning a locus as a DAK locus, ideally there is a regulation stating that the location is eligible to become that locus. For example, when speaking of establishing the construction of KJSUKIA (Cancer, Heart, Stroke, Uro-Nephrology, Maternal &amp; Child Health) facilities, then what can be given and designated as a </w:t>
      </w:r>
      <w:r w:rsidRPr="00BD75FB">
        <w:rPr>
          <w:rFonts w:ascii="Arial" w:eastAsia="Calibri" w:hAnsi="Arial" w:cs="Arial"/>
          <w:bCs/>
          <w:sz w:val="22"/>
          <w:szCs w:val="22"/>
        </w:rPr>
        <w:lastRenderedPageBreak/>
        <w:t xml:space="preserve">locus for physical DAK related to KJSUKIA facilities is a hospital that is already listed in the Minister of Health regulation on the designation of cancer, heart, stroke, </w:t>
      </w:r>
      <w:proofErr w:type="spellStart"/>
      <w:r w:rsidRPr="00BD75FB">
        <w:rPr>
          <w:rFonts w:ascii="Arial" w:eastAsia="Calibri" w:hAnsi="Arial" w:cs="Arial"/>
          <w:bCs/>
          <w:sz w:val="22"/>
          <w:szCs w:val="22"/>
        </w:rPr>
        <w:t>uro</w:t>
      </w:r>
      <w:proofErr w:type="spellEnd"/>
      <w:r w:rsidRPr="00BD75FB">
        <w:rPr>
          <w:rFonts w:ascii="Arial" w:eastAsia="Calibri" w:hAnsi="Arial" w:cs="Arial"/>
          <w:bCs/>
          <w:sz w:val="22"/>
          <w:szCs w:val="22"/>
        </w:rPr>
        <w:t xml:space="preserve">-nephrology networks. That's an example. Including both health </w:t>
      </w:r>
      <w:proofErr w:type="spellStart"/>
      <w:r w:rsidRPr="00BD75FB">
        <w:rPr>
          <w:rFonts w:ascii="Arial" w:eastAsia="Calibri" w:hAnsi="Arial" w:cs="Arial"/>
          <w:bCs/>
          <w:sz w:val="22"/>
          <w:szCs w:val="22"/>
        </w:rPr>
        <w:t>centers</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and impulse. So the regulatory development in terms of improvement from year to year has actually been quite increasingly specific and sharp because it is also driven by budget constraints. The physical DAK ceiling itself tends to decrease year after year. From 2020 when I first joined, it could reach around 20 trillion. Meanwhile, most recently in 2026, the remainder is only 1.8. So those dynamics drive us to not be able to transfer or split the pie thinly and evenly. So that everyone gets a share, but only gets a slice with no significant leverage in the region. So that is perhaps the development from the policy perspective there.</w:t>
      </w:r>
    </w:p>
    <w:p w14:paraId="7D756CAA"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Okay, understood. Maybe if we may proceed to the first set of questions, the first group related to inhibiting factors. In your opinion, Mas Ari, what are actually the obstacles experienced by regions in accessing the physical DAK itself? Whether from the submission aspect or from the disbursement aspect. Like that, Mas.</w:t>
      </w:r>
    </w:p>
    <w:p w14:paraId="1CD6ADDF"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Perhaps first from—maybe I will speak about the last 2-3 years. The last 2-3 years because earlier the policy of the Law related to HKPD mandated DAK on an assignment basis. Meaning every region cannot simply propose arbitrarily. So it actually starts with top-down planning first. So top-down means the central government determines the locus first, then the region can propose. So the system process is top-down first, then bottom-up. Whereas in the past, it was fully bottom-up from the beginning. So maybe from the regional side, we are sure every region has needs, has budget limitations from their APBD (Regional Budget), and thus wants to propose DAK. But then speaking of the HKPD Law, the ceiling is limited, so we have to determine top-down first. Then for regions whose loci we have established, only then can they submit proposals. Now when proposing, actually often regional capacities differ from one region to another. So there are regions that are quite prepared with their supporting data, and there are regions that propose just for the sake of proposing. Not based on existing supporting data. For instance, when there is a need to build a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ideally we refer to the ASPAK data. In the ASPAK data, there is data on Facilities, Infrastructure, and Medical Equipment (</w:t>
      </w:r>
      <w:proofErr w:type="spellStart"/>
      <w:r w:rsidRPr="00BD75FB">
        <w:rPr>
          <w:rFonts w:ascii="Arial" w:eastAsia="Calibri" w:hAnsi="Arial" w:cs="Arial"/>
          <w:bCs/>
          <w:sz w:val="22"/>
          <w:szCs w:val="22"/>
        </w:rPr>
        <w:t>Alkes</w:t>
      </w:r>
      <w:proofErr w:type="spellEnd"/>
      <w:r w:rsidRPr="00BD75FB">
        <w:rPr>
          <w:rFonts w:ascii="Arial" w:eastAsia="Calibri" w:hAnsi="Arial" w:cs="Arial"/>
          <w:bCs/>
          <w:sz w:val="22"/>
          <w:szCs w:val="22"/>
        </w:rPr>
        <w:t xml:space="preserve">). And we at the central level, in the RPJMN (National Medium-Term Development Plan), set that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meeting the standard must have a minimum SPA of 70%. Therefore, those that can become loci are those below 70%. Meanwhile, regions sometimes do not look at that when proposing. So when proposed, we end up rejecting it. Or for example, the item actually already exists or is damaged, but is not recorded in the ASPAK data. So that is actually the challenge and obstacle in the regions. Secondly, from the supporting data aspect, the second constraint is of course the budget constraint. Meaning we cannot fully meet all the needs of the regions. Because the regional budget needs that must be met are quite substantial. So even when they propose, often it might only be around 20%, roughly 2 billion. Like that.</w:t>
      </w:r>
    </w:p>
    <w:p w14:paraId="72D8FE1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Then, roughly, Mas, what are the considerations or concerns in regulating the central mechanism? For setting up the Physical DAK, what are actually the concerns and considerations of the central government? So for example, what came to our mind might be accountability. Or secondly related to transparency, or others. What concerns become considerations for the central government in terms of governance like that?</w:t>
      </w:r>
    </w:p>
    <w:p w14:paraId="09983CB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First is actually relevance to national priorities. So when speaking of Physical DAK, what needs to be directed is menu detail. The proposal must be relevant to what is in the national priorities. That is the first. Secondly, in terms of governance, correct. Because historically, DAK projects might be the regional projects most heavily—in quotes—misused or subject to many findings/cases among DAK projects. Including in health recently, the </w:t>
      </w:r>
      <w:r w:rsidRPr="00BD75FB">
        <w:rPr>
          <w:rFonts w:ascii="Arial" w:eastAsia="Calibri" w:hAnsi="Arial" w:cs="Arial"/>
          <w:bCs/>
          <w:sz w:val="22"/>
          <w:szCs w:val="22"/>
        </w:rPr>
        <w:lastRenderedPageBreak/>
        <w:t>hospital class upgrade in 2026. Which involved an employee at the Ministry of Health as well. And that included regional levels as well. And that was because it was funded through the DAK mechanism. So indeed, the DAK mechanism in terms of governance is something we realize is somewhat more vulnerable compared to project management at the central level. And in terms of progress, even if we monitor the hospital class upgrades funded by two funding sources: line ministry expenditure (</w:t>
      </w:r>
      <w:proofErr w:type="spellStart"/>
      <w:r w:rsidRPr="00BD75FB">
        <w:rPr>
          <w:rFonts w:ascii="Arial" w:eastAsia="Calibri" w:hAnsi="Arial" w:cs="Arial"/>
          <w:bCs/>
          <w:sz w:val="22"/>
          <w:szCs w:val="22"/>
        </w:rPr>
        <w:t>belanja</w:t>
      </w:r>
      <w:proofErr w:type="spellEnd"/>
      <w:r w:rsidRPr="00BD75FB">
        <w:rPr>
          <w:rFonts w:ascii="Arial" w:eastAsia="Calibri" w:hAnsi="Arial" w:cs="Arial"/>
          <w:bCs/>
          <w:sz w:val="22"/>
          <w:szCs w:val="22"/>
        </w:rPr>
        <w:t xml:space="preserve"> K/L) and DAK expenditure, progress tends to be slower for DAK. Because of their varying capabilities to manage a project. So some are already quite used to managing construction projects and so forth, so their progress aligns with the timeline. Some are quite slow. And that often happens in regions that actually need the construction of Facilities, Infrastructure, and Medical Equipment. Yet until the end of the period, they are often late. So as an improvement, that is why there is a phased disbursement system. Perhaps the Ministry of Finance has more authority over this. How this phased disbursement works so that during each disbursement stage—if I am not mistaken there are three—each disbursement stage requires a reported output. That serves as a system to drive regions to report and execute activities according to the timeline. Third, in terms of reporting. We are trying to implement what is called an immediate outcome. An immediate outcome shows that when a building is constructed—for example, a health </w:t>
      </w:r>
      <w:proofErr w:type="spellStart"/>
      <w:r w:rsidRPr="00BD75FB">
        <w:rPr>
          <w:rFonts w:ascii="Arial" w:eastAsia="Calibri" w:hAnsi="Arial" w:cs="Arial"/>
          <w:bCs/>
          <w:sz w:val="22"/>
          <w:szCs w:val="22"/>
        </w:rPr>
        <w:t>center</w:t>
      </w:r>
      <w:proofErr w:type="spellEnd"/>
      <w:r w:rsidRPr="00BD75FB">
        <w:rPr>
          <w:rFonts w:ascii="Arial" w:eastAsia="Calibri" w:hAnsi="Arial" w:cs="Arial"/>
          <w:bCs/>
          <w:sz w:val="22"/>
          <w:szCs w:val="22"/>
        </w:rPr>
        <w:t xml:space="preserve"> is renovated—the immediate outcome is that by December, for instance, by the planning year, the building must be ready for operation. Being ready for operation means the building is completed, medical equipment is installed, so the human resources just need to use it. That is what is measured by the immediate outcome. When a region's immediate outcome is not achieved, we are developing a disincentive scheme. So there will be a reduction in allocation in the next planning period as a punishment to that region if they do not execute DAK accountably or according to the timeline.</w:t>
      </w:r>
    </w:p>
    <w:p w14:paraId="305D8D6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Now Mas, regarding governance itself, for example monitoring related to those concerns earlier, has there ever been advocacy to other ministry levels or directly to regions regarding improving that governance? For instance, by involving the Inspectorate General (</w:t>
      </w:r>
      <w:proofErr w:type="spellStart"/>
      <w:r w:rsidRPr="00BD75FB">
        <w:rPr>
          <w:rFonts w:ascii="Arial" w:eastAsia="Calibri" w:hAnsi="Arial" w:cs="Arial"/>
          <w:bCs/>
          <w:sz w:val="22"/>
          <w:szCs w:val="22"/>
        </w:rPr>
        <w:t>Irjen</w:t>
      </w:r>
      <w:proofErr w:type="spellEnd"/>
      <w:r w:rsidRPr="00BD75FB">
        <w:rPr>
          <w:rFonts w:ascii="Arial" w:eastAsia="Calibri" w:hAnsi="Arial" w:cs="Arial"/>
          <w:bCs/>
          <w:sz w:val="22"/>
          <w:szCs w:val="22"/>
        </w:rPr>
        <w:t>) or involving BPKP in the process through existing regulations? Or perhaps advocacy to the Ministry of Home Affairs (</w:t>
      </w:r>
      <w:proofErr w:type="spellStart"/>
      <w:r w:rsidRPr="00BD75FB">
        <w:rPr>
          <w:rFonts w:ascii="Arial" w:eastAsia="Calibri" w:hAnsi="Arial" w:cs="Arial"/>
          <w:bCs/>
          <w:sz w:val="22"/>
          <w:szCs w:val="22"/>
        </w:rPr>
        <w:t>Kemandagri</w:t>
      </w:r>
      <w:proofErr w:type="spellEnd"/>
      <w:r w:rsidRPr="00BD75FB">
        <w:rPr>
          <w:rFonts w:ascii="Arial" w:eastAsia="Calibri" w:hAnsi="Arial" w:cs="Arial"/>
          <w:bCs/>
          <w:sz w:val="22"/>
          <w:szCs w:val="22"/>
        </w:rPr>
        <w:t>) to ask their Inspectorate General to conduct reviews or similar things?</w:t>
      </w:r>
    </w:p>
    <w:p w14:paraId="10064AE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Systematically, it should already be in the Technical Guidelines (</w:t>
      </w:r>
      <w:proofErr w:type="spellStart"/>
      <w:r w:rsidRPr="00BD75FB">
        <w:rPr>
          <w:rFonts w:ascii="Arial" w:eastAsia="Calibri" w:hAnsi="Arial" w:cs="Arial"/>
          <w:bCs/>
          <w:sz w:val="22"/>
          <w:szCs w:val="22"/>
        </w:rPr>
        <w:t>Juknis</w:t>
      </w:r>
      <w:proofErr w:type="spellEnd"/>
      <w:r w:rsidRPr="00BD75FB">
        <w:rPr>
          <w:rFonts w:ascii="Arial" w:eastAsia="Calibri" w:hAnsi="Arial" w:cs="Arial"/>
          <w:bCs/>
          <w:sz w:val="22"/>
          <w:szCs w:val="22"/>
        </w:rPr>
        <w:t xml:space="preserve">), right Mas. I might not memorize the details, but in the </w:t>
      </w:r>
      <w:proofErr w:type="spellStart"/>
      <w:r w:rsidRPr="00BD75FB">
        <w:rPr>
          <w:rFonts w:ascii="Arial" w:eastAsia="Calibri" w:hAnsi="Arial" w:cs="Arial"/>
          <w:bCs/>
          <w:sz w:val="22"/>
          <w:szCs w:val="22"/>
        </w:rPr>
        <w:t>Juknis</w:t>
      </w:r>
      <w:proofErr w:type="spellEnd"/>
      <w:r w:rsidRPr="00BD75FB">
        <w:rPr>
          <w:rFonts w:ascii="Arial" w:eastAsia="Calibri" w:hAnsi="Arial" w:cs="Arial"/>
          <w:bCs/>
          <w:sz w:val="22"/>
          <w:szCs w:val="22"/>
        </w:rPr>
        <w:t xml:space="preserve"> issued by the Minister of Finance Regulation, there is indeed a cross-sectoral team that must conduct verification before disbursing Physical DAK funds. If I'm not mistaken, the regional inspectorate must be involved, along with—I forget—BPKP and also the regional APIP (Internal Government Supervisory Apparatus). So there is multi-tiered verification involving </w:t>
      </w:r>
      <w:proofErr w:type="spellStart"/>
      <w:r w:rsidRPr="00BD75FB">
        <w:rPr>
          <w:rFonts w:ascii="Arial" w:eastAsia="Calibri" w:hAnsi="Arial" w:cs="Arial"/>
          <w:bCs/>
          <w:sz w:val="22"/>
          <w:szCs w:val="22"/>
        </w:rPr>
        <w:t>Bappeda</w:t>
      </w:r>
      <w:proofErr w:type="spellEnd"/>
      <w:r w:rsidRPr="00BD75FB">
        <w:rPr>
          <w:rFonts w:ascii="Arial" w:eastAsia="Calibri" w:hAnsi="Arial" w:cs="Arial"/>
          <w:bCs/>
          <w:sz w:val="22"/>
          <w:szCs w:val="22"/>
        </w:rPr>
        <w:t xml:space="preserve">, APIP, Inspectorate General, so there is tiered verification before a region can submit for fund disbursement. So regulatory-wise, it is governed by the Minister of Finance Regulation for the </w:t>
      </w:r>
      <w:proofErr w:type="spellStart"/>
      <w:r w:rsidRPr="00BD75FB">
        <w:rPr>
          <w:rFonts w:ascii="Arial" w:eastAsia="Calibri" w:hAnsi="Arial" w:cs="Arial"/>
          <w:bCs/>
          <w:sz w:val="22"/>
          <w:szCs w:val="22"/>
        </w:rPr>
        <w:t>Juknis</w:t>
      </w:r>
      <w:proofErr w:type="spellEnd"/>
      <w:r w:rsidRPr="00BD75FB">
        <w:rPr>
          <w:rFonts w:ascii="Arial" w:eastAsia="Calibri" w:hAnsi="Arial" w:cs="Arial"/>
          <w:bCs/>
          <w:sz w:val="22"/>
          <w:szCs w:val="22"/>
        </w:rPr>
        <w:t xml:space="preserve"> related to Physical DAK disbursement. So if you ask if there is advocacy, the output of that advocacy is the </w:t>
      </w:r>
      <w:proofErr w:type="spellStart"/>
      <w:r w:rsidRPr="00BD75FB">
        <w:rPr>
          <w:rFonts w:ascii="Arial" w:eastAsia="Calibri" w:hAnsi="Arial" w:cs="Arial"/>
          <w:bCs/>
          <w:sz w:val="22"/>
          <w:szCs w:val="22"/>
        </w:rPr>
        <w:t>Juknis</w:t>
      </w:r>
      <w:proofErr w:type="spellEnd"/>
      <w:r w:rsidRPr="00BD75FB">
        <w:rPr>
          <w:rFonts w:ascii="Arial" w:eastAsia="Calibri" w:hAnsi="Arial" w:cs="Arial"/>
          <w:bCs/>
          <w:sz w:val="22"/>
          <w:szCs w:val="22"/>
        </w:rPr>
        <w:t xml:space="preserve"> issued by the Minister of Finance Regulation.</w:t>
      </w:r>
    </w:p>
    <w:p w14:paraId="5C73AF3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3] Mas Ari, I might be curious about what you mentioned earlier regarding—since you are aware that one of the Ministry of Health's main focuses right now is the IHSS project. Now, actually, from the changes and mitigations implemented, policy changes, mitigations carried out for example like Physical DAK earlier, you mentioned this is one of the most vulnerable policies, in quotes. Now, is there—I'm curious if there is a connection to the health sector, whether there is a connection to the implementation of the IHSS project. So for example, before and after the Ministry of Health focused on this IHSS project, were there mitigation plans that were enhanced, and were there policy changes related to the </w:t>
      </w:r>
      <w:r w:rsidRPr="00BD75FB">
        <w:rPr>
          <w:rFonts w:ascii="Arial" w:eastAsia="Calibri" w:hAnsi="Arial" w:cs="Arial"/>
          <w:bCs/>
          <w:sz w:val="22"/>
          <w:szCs w:val="22"/>
        </w:rPr>
        <w:lastRenderedPageBreak/>
        <w:t>Ministry of Health's current focus in implementing the IHSS project with Physical DAK planning itself?</w:t>
      </w:r>
    </w:p>
    <w:p w14:paraId="5D15DF7E"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Actually, what is right before our eyes, in my personal view, is how—actually the IHSS project and the DAK project are complementary, right? One </w:t>
      </w:r>
      <w:proofErr w:type="spellStart"/>
      <w:r w:rsidRPr="00BD75FB">
        <w:rPr>
          <w:rFonts w:ascii="Arial" w:eastAsia="Calibri" w:hAnsi="Arial" w:cs="Arial"/>
          <w:bCs/>
          <w:sz w:val="22"/>
          <w:szCs w:val="22"/>
        </w:rPr>
        <w:t>fulfills</w:t>
      </w:r>
      <w:proofErr w:type="spellEnd"/>
      <w:r w:rsidRPr="00BD75FB">
        <w:rPr>
          <w:rFonts w:ascii="Arial" w:eastAsia="Calibri" w:hAnsi="Arial" w:cs="Arial"/>
          <w:bCs/>
          <w:sz w:val="22"/>
          <w:szCs w:val="22"/>
        </w:rPr>
        <w:t xml:space="preserve"> the medical equipment, the other </w:t>
      </w:r>
      <w:proofErr w:type="spellStart"/>
      <w:r w:rsidRPr="00BD75FB">
        <w:rPr>
          <w:rFonts w:ascii="Arial" w:eastAsia="Calibri" w:hAnsi="Arial" w:cs="Arial"/>
          <w:bCs/>
          <w:sz w:val="22"/>
          <w:szCs w:val="22"/>
        </w:rPr>
        <w:t>fulfills</w:t>
      </w:r>
      <w:proofErr w:type="spellEnd"/>
      <w:r w:rsidRPr="00BD75FB">
        <w:rPr>
          <w:rFonts w:ascii="Arial" w:eastAsia="Calibri" w:hAnsi="Arial" w:cs="Arial"/>
          <w:bCs/>
          <w:sz w:val="22"/>
          <w:szCs w:val="22"/>
        </w:rPr>
        <w:t xml:space="preserve"> the facilities. Now, the gap currently happening is that the data is not matching yet, often not matching. Why? If you look at progress, the IHSS project is even still leaning towards at-risk, if I'm not mistaken from the last monitoring and evaluation, still at risk because progress is below standard. Why? Because the data collection between facility, infrastructure, and medical equipment needs is still not matched. That is why one of the steps is upgrading the ASPAK system. In the past, the ASPAK system recorded facility, infrastructure, and medical equipment data, but because it was self-assessed by regions, it was very easy to alter—meaning its validity was questionable. Whether they actually wrote down having a </w:t>
      </w:r>
      <w:proofErr w:type="spellStart"/>
      <w:r w:rsidRPr="00BD75FB">
        <w:rPr>
          <w:rFonts w:ascii="Arial" w:eastAsia="Calibri" w:hAnsi="Arial" w:cs="Arial"/>
          <w:bCs/>
          <w:sz w:val="22"/>
          <w:szCs w:val="22"/>
        </w:rPr>
        <w:t>cath</w:t>
      </w:r>
      <w:proofErr w:type="spellEnd"/>
      <w:r w:rsidRPr="00BD75FB">
        <w:rPr>
          <w:rFonts w:ascii="Arial" w:eastAsia="Calibri" w:hAnsi="Arial" w:cs="Arial"/>
          <w:bCs/>
          <w:sz w:val="22"/>
          <w:szCs w:val="22"/>
        </w:rPr>
        <w:t xml:space="preserve"> lab, whether the </w:t>
      </w:r>
      <w:proofErr w:type="spellStart"/>
      <w:r w:rsidRPr="00BD75FB">
        <w:rPr>
          <w:rFonts w:ascii="Arial" w:eastAsia="Calibri" w:hAnsi="Arial" w:cs="Arial"/>
          <w:bCs/>
          <w:sz w:val="22"/>
          <w:szCs w:val="22"/>
        </w:rPr>
        <w:t>cath</w:t>
      </w:r>
      <w:proofErr w:type="spellEnd"/>
      <w:r w:rsidRPr="00BD75FB">
        <w:rPr>
          <w:rFonts w:ascii="Arial" w:eastAsia="Calibri" w:hAnsi="Arial" w:cs="Arial"/>
          <w:bCs/>
          <w:sz w:val="22"/>
          <w:szCs w:val="22"/>
        </w:rPr>
        <w:t xml:space="preserve"> lab was actually in good condition, and so on, was not fully recorded in ASPAK data. So, that system is actually what colleagues at the Ministry of Health are also working on, which we also pushed during the project so that it wouldn't just be medical equipment procurement, but also capacity building, system upgrading including its ASPAK data, because in the planning system everything starts from having the data first. We must avoid distributing medical equipment through the IHSS project that is actually not needed by the region. For example, distributing equipment A, but the region already has it, or they don't have it yet but because data says they do when it wasn't recorded, we end up missing the target. Then within facilities, continuity in facilities when there are several devices—because devices cannot be used if there is no building—and that data continuity is actually critical, so the key to improving governance effectiveness is actually the recording of SPA data. Because we don't want to provide wrong-target interventions. Because that happened in evaluations, maybe in 2020 to 2021 we found several devices—where previously medical equipment was also from DAK before this project existed—we went to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to hospitals, many were still wrapped in plastic, even procured 2 years prior, why? Turns out, for example, they were assigned by the central government to procure equipment A, but they already had it via APBD, but APBD hadn't recorded it into the data. So such things were often found, or an incident in 2025 where we designated several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for renovation under DAK. It turned out in that year they were already renovated by APBD, but we made them a locus, so that was also a mistake. Those things are actually what must be done first before moving to other steps, because that will also affect how we measure the contribution of the IHSS project with DAK toward regional leverage. Because in the RPJMN, we have indicators of how many hospitals or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or public health labs meet SPA standards, which are intervened through physical DAK and IHSS. If the data is not recorded well, we cannot measure the achievement of national priority indicators. That's why the data fluctuates. Even when sampling, for instance in planning out of 10,000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7,000 do not meet standards. During assessment, during the DAK assessment phase, it suddenly changes. So 5,000 that were previously below 70% SPA suddenly become 100%, and that happens almost every year. So perhaps as the earliest and most critical mitigation, it is the improvement of ASPAK data.</w:t>
      </w:r>
    </w:p>
    <w:p w14:paraId="2B2BD10C"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2] Mas, regarding obstacles in the regions themselves. Have regions ever advocated that to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and then what was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response, and through what forum or activity was it accommodated?</w:t>
      </w:r>
    </w:p>
    <w:p w14:paraId="4AFF7EE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These obstacles mean obstacles during implementation or...? Both, Mas.</w:t>
      </w:r>
    </w:p>
    <w:p w14:paraId="46B3E03F"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So planning and also perhaps disbursement as well, Mas.</w:t>
      </w:r>
    </w:p>
    <w:p w14:paraId="7DAEAE8B"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lastRenderedPageBreak/>
        <w:t xml:space="preserve">[Speaker 1] For disbursement, the majority rarely comes to us. Usually because authority lies with the Ministry of Finance. So rarely does anyone consult disbursement with us. The majority consult planning with us. So mostly, for example, forums that are indeed... Actually, at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we open </w:t>
      </w:r>
      <w:proofErr w:type="spellStart"/>
      <w:r w:rsidRPr="00BD75FB">
        <w:rPr>
          <w:rFonts w:ascii="Arial" w:eastAsia="Calibri" w:hAnsi="Arial" w:cs="Arial"/>
          <w:bCs/>
          <w:sz w:val="22"/>
          <w:szCs w:val="22"/>
        </w:rPr>
        <w:t>audiencing</w:t>
      </w:r>
      <w:proofErr w:type="spellEnd"/>
      <w:r w:rsidRPr="00BD75FB">
        <w:rPr>
          <w:rFonts w:ascii="Arial" w:eastAsia="Calibri" w:hAnsi="Arial" w:cs="Arial"/>
          <w:bCs/>
          <w:sz w:val="22"/>
          <w:szCs w:val="22"/>
        </w:rPr>
        <w:t xml:space="preserve">, right. Meaning receiving many audiences from regions. So for example a region needs... And we have a logbook for it. So we have a logbook of which regions hold audiences with us. For instance, a region whose health </w:t>
      </w:r>
      <w:proofErr w:type="spellStart"/>
      <w:r w:rsidRPr="00BD75FB">
        <w:rPr>
          <w:rFonts w:ascii="Arial" w:eastAsia="Calibri" w:hAnsi="Arial" w:cs="Arial"/>
          <w:bCs/>
          <w:sz w:val="22"/>
          <w:szCs w:val="22"/>
        </w:rPr>
        <w:t>center</w:t>
      </w:r>
      <w:proofErr w:type="spellEnd"/>
      <w:r w:rsidRPr="00BD75FB">
        <w:rPr>
          <w:rFonts w:ascii="Arial" w:eastAsia="Calibri" w:hAnsi="Arial" w:cs="Arial"/>
          <w:bCs/>
          <w:sz w:val="22"/>
          <w:szCs w:val="22"/>
        </w:rPr>
        <w:t xml:space="preserve"> suffered a disaster suddenly. If it's a sudden landslide and so forth. They need, for example, physical DAK. However, we will also review their proposal and so on. Which we will overlay later during the planning process in the year... Year, for example, 2027, if they hold an audience now. So there is an audience forum. Then also in formal planning forums legally organized by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There is a forum called </w:t>
      </w:r>
      <w:proofErr w:type="spellStart"/>
      <w:r w:rsidRPr="00BD75FB">
        <w:rPr>
          <w:rFonts w:ascii="Arial" w:eastAsia="Calibri" w:hAnsi="Arial" w:cs="Arial"/>
          <w:bCs/>
          <w:sz w:val="22"/>
          <w:szCs w:val="22"/>
        </w:rPr>
        <w:t>Rakortek</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Renbang</w:t>
      </w:r>
      <w:proofErr w:type="spellEnd"/>
      <w:r w:rsidRPr="00BD75FB">
        <w:rPr>
          <w:rFonts w:ascii="Arial" w:eastAsia="Calibri" w:hAnsi="Arial" w:cs="Arial"/>
          <w:bCs/>
          <w:sz w:val="22"/>
          <w:szCs w:val="22"/>
        </w:rPr>
        <w:t xml:space="preserve"> (Regional Development Technical Coordination Meeting). Then also </w:t>
      </w:r>
      <w:proofErr w:type="spellStart"/>
      <w:r w:rsidRPr="00BD75FB">
        <w:rPr>
          <w:rFonts w:ascii="Arial" w:eastAsia="Calibri" w:hAnsi="Arial" w:cs="Arial"/>
          <w:bCs/>
          <w:sz w:val="22"/>
          <w:szCs w:val="22"/>
        </w:rPr>
        <w:t>Rakorgub</w:t>
      </w:r>
      <w:proofErr w:type="spellEnd"/>
      <w:r w:rsidRPr="00BD75FB">
        <w:rPr>
          <w:rFonts w:ascii="Arial" w:eastAsia="Calibri" w:hAnsi="Arial" w:cs="Arial"/>
          <w:bCs/>
          <w:sz w:val="22"/>
          <w:szCs w:val="22"/>
        </w:rPr>
        <w:t xml:space="preserve"> (Governors' Coordination Meeting) and </w:t>
      </w:r>
      <w:proofErr w:type="spellStart"/>
      <w:r w:rsidRPr="00BD75FB">
        <w:rPr>
          <w:rFonts w:ascii="Arial" w:eastAsia="Calibri" w:hAnsi="Arial" w:cs="Arial"/>
          <w:bCs/>
          <w:sz w:val="22"/>
          <w:szCs w:val="22"/>
        </w:rPr>
        <w:t>Musrenbang</w:t>
      </w:r>
      <w:proofErr w:type="spellEnd"/>
      <w:r w:rsidRPr="00BD75FB">
        <w:rPr>
          <w:rFonts w:ascii="Arial" w:eastAsia="Calibri" w:hAnsi="Arial" w:cs="Arial"/>
          <w:bCs/>
          <w:sz w:val="22"/>
          <w:szCs w:val="22"/>
        </w:rPr>
        <w:t xml:space="preserve"> (Development Planning Deliberation). So there are three official forums conducted. Not just legal, but officially hosted by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And there we open space for regions to propose their needs. For example, if they need hospital renovations. Or procuring certain medical equipment. We open it there. But that phase acts as an initial screening. So during </w:t>
      </w:r>
      <w:proofErr w:type="spellStart"/>
      <w:r w:rsidRPr="00BD75FB">
        <w:rPr>
          <w:rFonts w:ascii="Arial" w:eastAsia="Calibri" w:hAnsi="Arial" w:cs="Arial"/>
          <w:bCs/>
          <w:sz w:val="22"/>
          <w:szCs w:val="22"/>
        </w:rPr>
        <w:t>Rakortek</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Renbang</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Rakorgub</w:t>
      </w:r>
      <w:proofErr w:type="spellEnd"/>
      <w:r w:rsidRPr="00BD75FB">
        <w:rPr>
          <w:rFonts w:ascii="Arial" w:eastAsia="Calibri" w:hAnsi="Arial" w:cs="Arial"/>
          <w:bCs/>
          <w:sz w:val="22"/>
          <w:szCs w:val="22"/>
        </w:rPr>
        <w:t xml:space="preserve">, and </w:t>
      </w:r>
      <w:proofErr w:type="spellStart"/>
      <w:r w:rsidRPr="00BD75FB">
        <w:rPr>
          <w:rFonts w:ascii="Arial" w:eastAsia="Calibri" w:hAnsi="Arial" w:cs="Arial"/>
          <w:bCs/>
          <w:sz w:val="22"/>
          <w:szCs w:val="22"/>
        </w:rPr>
        <w:t>Musrenbang</w:t>
      </w:r>
      <w:proofErr w:type="spellEnd"/>
      <w:r w:rsidRPr="00BD75FB">
        <w:rPr>
          <w:rFonts w:ascii="Arial" w:eastAsia="Calibri" w:hAnsi="Arial" w:cs="Arial"/>
          <w:bCs/>
          <w:sz w:val="22"/>
          <w:szCs w:val="22"/>
        </w:rPr>
        <w:t xml:space="preserve">—especially </w:t>
      </w:r>
      <w:proofErr w:type="spellStart"/>
      <w:r w:rsidRPr="00BD75FB">
        <w:rPr>
          <w:rFonts w:ascii="Arial" w:eastAsia="Calibri" w:hAnsi="Arial" w:cs="Arial"/>
          <w:bCs/>
          <w:sz w:val="22"/>
          <w:szCs w:val="22"/>
        </w:rPr>
        <w:t>Rakorgub</w:t>
      </w:r>
      <w:proofErr w:type="spellEnd"/>
      <w:r w:rsidRPr="00BD75FB">
        <w:rPr>
          <w:rFonts w:ascii="Arial" w:eastAsia="Calibri" w:hAnsi="Arial" w:cs="Arial"/>
          <w:bCs/>
          <w:sz w:val="22"/>
          <w:szCs w:val="22"/>
        </w:rPr>
        <w:t xml:space="preserve"> where usually the Governor conveys directly to the Minister. So at the technical level, we will review whether readiness criteria are met. We check and so forth. Then we will follow up further. Because at the leadership level, they don't review every single proposal in that detail. Including in </w:t>
      </w:r>
      <w:proofErr w:type="spellStart"/>
      <w:r w:rsidRPr="00BD75FB">
        <w:rPr>
          <w:rFonts w:ascii="Arial" w:eastAsia="Calibri" w:hAnsi="Arial" w:cs="Arial"/>
          <w:bCs/>
          <w:sz w:val="22"/>
          <w:szCs w:val="22"/>
        </w:rPr>
        <w:t>Rakortek</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Renbang</w:t>
      </w:r>
      <w:proofErr w:type="spellEnd"/>
      <w:r w:rsidRPr="00BD75FB">
        <w:rPr>
          <w:rFonts w:ascii="Arial" w:eastAsia="Calibri" w:hAnsi="Arial" w:cs="Arial"/>
          <w:bCs/>
          <w:sz w:val="22"/>
          <w:szCs w:val="22"/>
        </w:rPr>
        <w:t xml:space="preserve"> and </w:t>
      </w:r>
      <w:proofErr w:type="spellStart"/>
      <w:r w:rsidRPr="00BD75FB">
        <w:rPr>
          <w:rFonts w:ascii="Arial" w:eastAsia="Calibri" w:hAnsi="Arial" w:cs="Arial"/>
          <w:bCs/>
          <w:sz w:val="22"/>
          <w:szCs w:val="22"/>
        </w:rPr>
        <w:t>Musrenbang</w:t>
      </w:r>
      <w:proofErr w:type="spellEnd"/>
      <w:r w:rsidRPr="00BD75FB">
        <w:rPr>
          <w:rFonts w:ascii="Arial" w:eastAsia="Calibri" w:hAnsi="Arial" w:cs="Arial"/>
          <w:bCs/>
          <w:sz w:val="22"/>
          <w:szCs w:val="22"/>
        </w:rPr>
        <w:t xml:space="preserve">. And we will scheme it out. We have a scheme. Actually, when proposals in </w:t>
      </w:r>
      <w:proofErr w:type="spellStart"/>
      <w:r w:rsidRPr="00BD75FB">
        <w:rPr>
          <w:rFonts w:ascii="Arial" w:eastAsia="Calibri" w:hAnsi="Arial" w:cs="Arial"/>
          <w:bCs/>
          <w:sz w:val="22"/>
          <w:szCs w:val="22"/>
        </w:rPr>
        <w:t>Musrenbang</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Rakortek</w:t>
      </w:r>
      <w:proofErr w:type="spellEnd"/>
      <w:r w:rsidRPr="00BD75FB">
        <w:rPr>
          <w:rFonts w:ascii="Arial" w:eastAsia="Calibri" w:hAnsi="Arial" w:cs="Arial"/>
          <w:bCs/>
          <w:sz w:val="22"/>
          <w:szCs w:val="22"/>
        </w:rPr>
        <w:t xml:space="preserve">, or </w:t>
      </w:r>
      <w:proofErr w:type="spellStart"/>
      <w:r w:rsidRPr="00BD75FB">
        <w:rPr>
          <w:rFonts w:ascii="Arial" w:eastAsia="Calibri" w:hAnsi="Arial" w:cs="Arial"/>
          <w:bCs/>
          <w:sz w:val="22"/>
          <w:szCs w:val="22"/>
        </w:rPr>
        <w:t>Rakorgub</w:t>
      </w:r>
      <w:proofErr w:type="spellEnd"/>
      <w:r w:rsidRPr="00BD75FB">
        <w:rPr>
          <w:rFonts w:ascii="Arial" w:eastAsia="Calibri" w:hAnsi="Arial" w:cs="Arial"/>
          <w:bCs/>
          <w:sz w:val="22"/>
          <w:szCs w:val="22"/>
        </w:rPr>
        <w:t xml:space="preserve"> are accommodated, the funding is put under line ministry expenditure (</w:t>
      </w:r>
      <w:proofErr w:type="spellStart"/>
      <w:r w:rsidRPr="00BD75FB">
        <w:rPr>
          <w:rFonts w:ascii="Arial" w:eastAsia="Calibri" w:hAnsi="Arial" w:cs="Arial"/>
          <w:bCs/>
          <w:sz w:val="22"/>
          <w:szCs w:val="22"/>
        </w:rPr>
        <w:t>belanja</w:t>
      </w:r>
      <w:proofErr w:type="spellEnd"/>
      <w:r w:rsidRPr="00BD75FB">
        <w:rPr>
          <w:rFonts w:ascii="Arial" w:eastAsia="Calibri" w:hAnsi="Arial" w:cs="Arial"/>
          <w:bCs/>
          <w:sz w:val="22"/>
          <w:szCs w:val="22"/>
        </w:rPr>
        <w:t xml:space="preserve"> K/L). So if a region proposes medical equipment for a </w:t>
      </w:r>
      <w:proofErr w:type="spellStart"/>
      <w:r w:rsidRPr="00BD75FB">
        <w:rPr>
          <w:rFonts w:ascii="Arial" w:eastAsia="Calibri" w:hAnsi="Arial" w:cs="Arial"/>
          <w:bCs/>
          <w:sz w:val="22"/>
          <w:szCs w:val="22"/>
        </w:rPr>
        <w:t>cath</w:t>
      </w:r>
      <w:proofErr w:type="spellEnd"/>
      <w:r w:rsidRPr="00BD75FB">
        <w:rPr>
          <w:rFonts w:ascii="Arial" w:eastAsia="Calibri" w:hAnsi="Arial" w:cs="Arial"/>
          <w:bCs/>
          <w:sz w:val="22"/>
          <w:szCs w:val="22"/>
        </w:rPr>
        <w:t xml:space="preserve"> lab, which exists in IHSS or SIHREN, as long as it's on our map as a hospital in the mentorship network, and Ministry of Health data already has plotting for which year it will be procured, then usually we accommodate it. But if it goes through the DAK scheme, we reject it. We just make it a note. Notes from </w:t>
      </w:r>
      <w:proofErr w:type="spellStart"/>
      <w:r w:rsidRPr="00BD75FB">
        <w:rPr>
          <w:rFonts w:ascii="Arial" w:eastAsia="Calibri" w:hAnsi="Arial" w:cs="Arial"/>
          <w:bCs/>
          <w:sz w:val="22"/>
          <w:szCs w:val="22"/>
        </w:rPr>
        <w:t>Rakortek</w:t>
      </w:r>
      <w:proofErr w:type="spellEnd"/>
      <w:r w:rsidRPr="00BD75FB">
        <w:rPr>
          <w:rFonts w:ascii="Arial" w:eastAsia="Calibri" w:hAnsi="Arial" w:cs="Arial"/>
          <w:bCs/>
          <w:sz w:val="22"/>
          <w:szCs w:val="22"/>
        </w:rPr>
        <w:t xml:space="preserve">, </w:t>
      </w:r>
      <w:proofErr w:type="spellStart"/>
      <w:r w:rsidRPr="00BD75FB">
        <w:rPr>
          <w:rFonts w:ascii="Arial" w:eastAsia="Calibri" w:hAnsi="Arial" w:cs="Arial"/>
          <w:bCs/>
          <w:sz w:val="22"/>
          <w:szCs w:val="22"/>
        </w:rPr>
        <w:t>Musrenbang</w:t>
      </w:r>
      <w:proofErr w:type="spellEnd"/>
      <w:r w:rsidRPr="00BD75FB">
        <w:rPr>
          <w:rFonts w:ascii="Arial" w:eastAsia="Calibri" w:hAnsi="Arial" w:cs="Arial"/>
          <w:bCs/>
          <w:sz w:val="22"/>
          <w:szCs w:val="22"/>
        </w:rPr>
        <w:t xml:space="preserve">, and </w:t>
      </w:r>
      <w:proofErr w:type="spellStart"/>
      <w:r w:rsidRPr="00BD75FB">
        <w:rPr>
          <w:rFonts w:ascii="Arial" w:eastAsia="Calibri" w:hAnsi="Arial" w:cs="Arial"/>
          <w:bCs/>
          <w:sz w:val="22"/>
          <w:szCs w:val="22"/>
        </w:rPr>
        <w:t>Rakorgub</w:t>
      </w:r>
      <w:proofErr w:type="spellEnd"/>
      <w:r w:rsidRPr="00BD75FB">
        <w:rPr>
          <w:rFonts w:ascii="Arial" w:eastAsia="Calibri" w:hAnsi="Arial" w:cs="Arial"/>
          <w:bCs/>
          <w:sz w:val="22"/>
          <w:szCs w:val="22"/>
        </w:rPr>
        <w:t xml:space="preserve"> are brought to planning for that year. Usually they also convey execution obstacles regarding their service needs. Including often cases during implementation, for example. They are granted hospital construction. But for instance in Bengkulu, recently in Bengkulu, they held an audience stating that the budget given for facility construction was 2 billion. Constraint-wise, they justified that Bengkulu is an earthquake-prone area. So the building they must construct needs earthquake-resistant specifications. Thus the unit cost proposed needed to be higher than 2 billion. Or if it remains 2 billion, it cannot cover all rooms. So many come to us with such issues. But for us, our response might be from technical planning aspects. Because building specifications are not our expertise; we aren't experts in that. So at most we suggest, if feasibility allows within the system, when they have several loci under DAK, to reallocate funds if facility construction is deemed more urgent than other menus. For instance, if they have a menu for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For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say several billion is budgeted for renovation. For the hospital, say 2 billion. So their ceiling, say, is 3 billion. Split into 2 billion for hospital and 1 billion for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From our side, topping up is quite hard once it reaches that phase. So if they feel it's more urgent at the hospital, it is possible to transfer allocation from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to the hospital. As long as there is a guarantee that the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won't be abandoned. Perhaps the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can be funded through another financing scheme.</w:t>
      </w:r>
    </w:p>
    <w:p w14:paraId="316B0CA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3] Mas, after discussing inhibiting factors, let's discuss supporting factors or facilitating factors. Throughout your involvement in physical DAK, what supporting factors </w:t>
      </w:r>
      <w:r w:rsidRPr="00BD75FB">
        <w:rPr>
          <w:rFonts w:ascii="Arial" w:eastAsia="Calibri" w:hAnsi="Arial" w:cs="Arial"/>
          <w:bCs/>
          <w:sz w:val="22"/>
          <w:szCs w:val="22"/>
        </w:rPr>
        <w:lastRenderedPageBreak/>
        <w:t xml:space="preserve">facilitated the mechanism of fulfilling facilities and infrastructure? Like what you mentioned for hospitals and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through DAK funding in regions.</w:t>
      </w:r>
    </w:p>
    <w:p w14:paraId="72D10369"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The first supporting factor is actually the Krisna system. DAK planning, execution, and monitoring are all recorded in the Krisna system, the Krisna application. So that simplifies things compared to relying on physical proposals in the past. We used to record in Excel, calculate budgets in Excel, and approvals—in terms of accountability, it was risky compared to inputting into the Krisna system where traceability, accountability, and transparency improved significantly with Krisna. That is the first. Secondly, for projects of national priority nature, monitoring is quite intensive, so cross-sectoral involvement is high. For example, program ownership is high, such as hospital class upgrades—which involves hospital construction—so KSP (Executive Office of the President) is involved, </w:t>
      </w:r>
      <w:proofErr w:type="spellStart"/>
      <w:r w:rsidRPr="00BD75FB">
        <w:rPr>
          <w:rFonts w:ascii="Arial" w:eastAsia="Calibri" w:hAnsi="Arial" w:cs="Arial"/>
          <w:bCs/>
          <w:sz w:val="22"/>
          <w:szCs w:val="22"/>
        </w:rPr>
        <w:t>Kemenko</w:t>
      </w:r>
      <w:proofErr w:type="spellEnd"/>
      <w:r w:rsidRPr="00BD75FB">
        <w:rPr>
          <w:rFonts w:ascii="Arial" w:eastAsia="Calibri" w:hAnsi="Arial" w:cs="Arial"/>
          <w:bCs/>
          <w:sz w:val="22"/>
          <w:szCs w:val="22"/>
        </w:rPr>
        <w:t xml:space="preserve"> PMK (Coordinating Ministry for Human Development and Culture) is involved in monitoring, so many entities monitor, keeping regions under closer observation. From experience, monitoring functions—though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MOH, and Ministry of Finance are involved—were often done individually, which made the monitoring function less strong. When monitoring is integrated, it helps DAK implementation. Also, the disbursement scheme I mentioned earlier—with stages requiring output reports—drives output delivery in physical DAK. What hasn't been recorded yet is how to record actual utilization, which remains difficult to be honest. In terms of overall utilization, we only sample regional visits or ask for regional reports, making it hard to measure whether equipment is adequately utilized by the region or not. That might be lacking, but the other aspects serve as best practices for development.</w:t>
      </w:r>
    </w:p>
    <w:p w14:paraId="577CBB72"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Earlier, good afternoon Bu Dian.</w:t>
      </w:r>
    </w:p>
    <w:p w14:paraId="672FD842"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5] Yes, no problem, I just want to listen in, Mas Ari can explain. Because this is for SOPI, right Ari?</w:t>
      </w:r>
    </w:p>
    <w:p w14:paraId="31883FA2"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Yes, that's right, one of them is SOPI.</w:t>
      </w:r>
    </w:p>
    <w:p w14:paraId="52FDF3A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5] Yes, no problem, I just want to follow along.</w:t>
      </w:r>
    </w:p>
    <w:p w14:paraId="73794AA5"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May I continue? Mas Ari, what you said about Krisna was interesting, as you mentioned Krisna simplified planning for regions. Has there been feedback from regions stating how it simplified things for health offices or other agencies using Krisna?</w:t>
      </w:r>
    </w:p>
    <w:p w14:paraId="0F319B3F"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Regarding Krisna usage specifically, no one stated it to me directly, but in overall discussions, the Krisna system is considered user-friendly for regional proposals. They just input several documents, proposal amounts, and so forth. They can directly see notes—like from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there are reviews. Notes and revisions are provided directly there. So information regarding proposals, follow-ups, rejections, approvals, or discussions is quite transparent. The status options are approve, discuss, and reject. If it's "discuss," they can still revise what needs fixing. If it's "reject," usually that's final. So it simplifies things for them. System-wise, the PKD-TKD directorate understands it better, but systemically it is transparent. Secondly, Krisna features a tiered verification system. Proposals from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xml:space="preserve"> or hospitals must be verified by the local health office and </w:t>
      </w:r>
      <w:proofErr w:type="spellStart"/>
      <w:r w:rsidRPr="00BD75FB">
        <w:rPr>
          <w:rFonts w:ascii="Arial" w:eastAsia="Calibri" w:hAnsi="Arial" w:cs="Arial"/>
          <w:bCs/>
          <w:sz w:val="22"/>
          <w:szCs w:val="22"/>
        </w:rPr>
        <w:t>Bapeda</w:t>
      </w:r>
      <w:proofErr w:type="spellEnd"/>
      <w:r w:rsidRPr="00BD75FB">
        <w:rPr>
          <w:rFonts w:ascii="Arial" w:eastAsia="Calibri" w:hAnsi="Arial" w:cs="Arial"/>
          <w:bCs/>
          <w:sz w:val="22"/>
          <w:szCs w:val="22"/>
        </w:rPr>
        <w:t xml:space="preserve">. That verification </w:t>
      </w:r>
      <w:proofErr w:type="spellStart"/>
      <w:r w:rsidRPr="00BD75FB">
        <w:rPr>
          <w:rFonts w:ascii="Arial" w:eastAsia="Calibri" w:hAnsi="Arial" w:cs="Arial"/>
          <w:bCs/>
          <w:sz w:val="22"/>
          <w:szCs w:val="22"/>
        </w:rPr>
        <w:t>fulfills</w:t>
      </w:r>
      <w:proofErr w:type="spellEnd"/>
      <w:r w:rsidRPr="00BD75FB">
        <w:rPr>
          <w:rFonts w:ascii="Arial" w:eastAsia="Calibri" w:hAnsi="Arial" w:cs="Arial"/>
          <w:bCs/>
          <w:sz w:val="22"/>
          <w:szCs w:val="22"/>
        </w:rPr>
        <w:t xml:space="preserve"> a supervisory function involving regional planning. It ensures proposals align with regional priorities. Regions shouldn't just propose needs without considering plans. </w:t>
      </w:r>
      <w:proofErr w:type="spellStart"/>
      <w:r w:rsidRPr="00BD75FB">
        <w:rPr>
          <w:rFonts w:ascii="Arial" w:eastAsia="Calibri" w:hAnsi="Arial" w:cs="Arial"/>
          <w:bCs/>
          <w:sz w:val="22"/>
          <w:szCs w:val="22"/>
        </w:rPr>
        <w:t>Bapeda</w:t>
      </w:r>
      <w:proofErr w:type="spellEnd"/>
      <w:r w:rsidRPr="00BD75FB">
        <w:rPr>
          <w:rFonts w:ascii="Arial" w:eastAsia="Calibri" w:hAnsi="Arial" w:cs="Arial"/>
          <w:bCs/>
          <w:sz w:val="22"/>
          <w:szCs w:val="22"/>
        </w:rPr>
        <w:t xml:space="preserve"> oversees the RPJMD, RKPD, and </w:t>
      </w:r>
      <w:proofErr w:type="spellStart"/>
      <w:r w:rsidRPr="00BD75FB">
        <w:rPr>
          <w:rFonts w:ascii="Arial" w:eastAsia="Calibri" w:hAnsi="Arial" w:cs="Arial"/>
          <w:bCs/>
          <w:sz w:val="22"/>
          <w:szCs w:val="22"/>
        </w:rPr>
        <w:t>Renstra</w:t>
      </w:r>
      <w:proofErr w:type="spellEnd"/>
      <w:r w:rsidRPr="00BD75FB">
        <w:rPr>
          <w:rFonts w:ascii="Arial" w:eastAsia="Calibri" w:hAnsi="Arial" w:cs="Arial"/>
          <w:bCs/>
          <w:sz w:val="22"/>
          <w:szCs w:val="22"/>
        </w:rPr>
        <w:t>. So those functions can be executed within Krisna.</w:t>
      </w:r>
    </w:p>
    <w:p w14:paraId="7D1D8ABD"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Mas Ari, this is quite interesting. Looking at Krisna's tiered steps and relevant stakeholders regarding governance, have you experienced instances of influence between regional agencies or other ministries that facilitated physical DAK access? For example, creating WhatsApp groups, using social media to spread information, or other case studies you observed?</w:t>
      </w:r>
    </w:p>
    <w:p w14:paraId="7160601B"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lastRenderedPageBreak/>
        <w:t xml:space="preserve">[Speaker 1] As far as I know, these exist, though I am not directly in those groups. OPD communications are managed by PKD-TKD and MOH. </w:t>
      </w:r>
      <w:proofErr w:type="spellStart"/>
      <w:r w:rsidRPr="00BD75FB">
        <w:rPr>
          <w:rFonts w:ascii="Arial" w:eastAsia="Calibri" w:hAnsi="Arial" w:cs="Arial"/>
          <w:bCs/>
          <w:sz w:val="22"/>
          <w:szCs w:val="22"/>
        </w:rPr>
        <w:t>Roren</w:t>
      </w:r>
      <w:proofErr w:type="spellEnd"/>
      <w:r w:rsidRPr="00BD75FB">
        <w:rPr>
          <w:rFonts w:ascii="Arial" w:eastAsia="Calibri" w:hAnsi="Arial" w:cs="Arial"/>
          <w:bCs/>
          <w:sz w:val="22"/>
          <w:szCs w:val="22"/>
        </w:rPr>
        <w:t xml:space="preserve"> should have them too. The PKD-TKD Directorate, as the system manager in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has a Telegram group with a helpdesk. Early on, socializations are provided during planning on how to use the Krisna application. Then during proposal submission, evaluation, synchronization-harmonization, and RK phases, coordination happens in Telegram groups. The helpdesk coordinates technical issues and sends reminders. That is what I know technically.</w:t>
      </w:r>
    </w:p>
    <w:p w14:paraId="1953D7C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So helpdesks and WhatsApp groups help during those three stages—approve, discuss, or reject. If the status is "discuss," those channels allow regions to communicate findings or feedback?</w:t>
      </w:r>
    </w:p>
    <w:p w14:paraId="4089E3C1"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Correct. If I recall correctly, the groups are separated. One group handles system issues managed by the PKD-TKD directorate for technical operating problems. If a proposal status is "discuss"—for instance, needing additional HR data, building photos, or a Public Works (PUPR) analysis for building renovations—that is managed by colleagues in ROREN. Technical content groups are separated for direct handling, while system management is handled by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PKD-TKD directorate.</w:t>
      </w:r>
    </w:p>
    <w:p w14:paraId="04F343A0"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From our side, the questions cover the overall picture of inhibiting and supporting factors. Is there anything else you would like to share, Mas Ari, regarding physical DAK management, or any questions you have?</w:t>
      </w:r>
    </w:p>
    <w:p w14:paraId="037602CE"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So since this is a study, the output is for the IHSS project team to get recommendations on improving mechanisms?</w:t>
      </w:r>
    </w:p>
    <w:p w14:paraId="61565CB8"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We are interested in general government assistance to regions, its mechanisms, and so forth. While there are various government assistance forms to regions—like IHSS or non-physical DAK with different mechanisms—we focused on physical DAK because it is crucial and serves as a case study for other projects. Findings could serve as recommendations, frameworks, or checklists for future assistance—such as when IHSS distributes medical equipment—on what considerations to keep in mind. Plan-wise, with Bu Dian's permission, we plan to disseminate the results in December if everything goes smoothly, combining regional perspectives from our field data collection with insights from relevant ministries.</w:t>
      </w:r>
    </w:p>
    <w:p w14:paraId="492FEE69"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As a bit of input from my experience, regional dependence on transfer funds is high. However, regional funding for facilities, infrastructure, and medical equipment doesn't only come from DAK. There is DAK, IHSS, regional APBD allocations, and general allocation funds (DAU). So DAK isn't the sole funder. When discussing mechanism improvements, what is currently lacking is capturing all interventions across multiple funding sources. If we can map interventions across funding sources, we can make programs like IHSS more effective by mapping what should be funded by IHSS, DAK, DAU, or APBD. That remains a bottleneck: measuring how effective central fund distributions (facilities, infrastructure, equipment) are to regions is difficult because we only hold data for DAK and central line ministry expenditures (like IHSS). Lacking other data makes measuring overall effectiveness hard.</w:t>
      </w:r>
    </w:p>
    <w:p w14:paraId="4EDA1DBE"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By "recording," you mean relevant data to evaluate effectiveness?</w:t>
      </w:r>
    </w:p>
    <w:p w14:paraId="20B3D592"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Yes. For example, if IHSS wants to provide equipment to a </w:t>
      </w:r>
      <w:proofErr w:type="spellStart"/>
      <w:r w:rsidRPr="00BD75FB">
        <w:rPr>
          <w:rFonts w:ascii="Arial" w:eastAsia="Calibri" w:hAnsi="Arial" w:cs="Arial"/>
          <w:bCs/>
          <w:sz w:val="22"/>
          <w:szCs w:val="22"/>
        </w:rPr>
        <w:t>puskesmas</w:t>
      </w:r>
      <w:proofErr w:type="spellEnd"/>
      <w:r w:rsidRPr="00BD75FB">
        <w:rPr>
          <w:rFonts w:ascii="Arial" w:eastAsia="Calibri" w:hAnsi="Arial" w:cs="Arial"/>
          <w:bCs/>
          <w:sz w:val="22"/>
          <w:szCs w:val="22"/>
        </w:rPr>
        <w:t>, we should know if that equipment was already funded by another source outside of IHSS and DAK, as we can currently only trace DAK.</w:t>
      </w:r>
    </w:p>
    <w:p w14:paraId="2E1509D2"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Financing effectiveness includes equipment utilization impact—such as reducing maternal or infant mortality rates, or achieving RPJMN indicators. Is that right, Mas Ari? Mas Ari froze.</w:t>
      </w:r>
    </w:p>
    <w:p w14:paraId="7826979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lastRenderedPageBreak/>
        <w:t>[Speaker 6] Is it us?</w:t>
      </w:r>
    </w:p>
    <w:p w14:paraId="7B91DDE1"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3] Is it our internet connection?</w:t>
      </w:r>
    </w:p>
    <w:p w14:paraId="25FA0E21"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What happened?</w:t>
      </w:r>
    </w:p>
    <w:p w14:paraId="04FCD88A"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Can you hear my voice?</w:t>
      </w:r>
    </w:p>
    <w:p w14:paraId="730BE3B9"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6] Yes, we can hear you.</w:t>
      </w:r>
    </w:p>
    <w:p w14:paraId="2A2C15E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1] Okay. As I was saying, the first issue is synchronizing funding sources. The second is recording the contribution of physical DAK or central government equipment assistance to regional and central indicators. For instance, providing an inpatient building should record the percentage increase in facility </w:t>
      </w:r>
      <w:proofErr w:type="spellStart"/>
      <w:r w:rsidRPr="00BD75FB">
        <w:rPr>
          <w:rFonts w:ascii="Arial" w:eastAsia="Calibri" w:hAnsi="Arial" w:cs="Arial"/>
          <w:bCs/>
          <w:sz w:val="22"/>
          <w:szCs w:val="22"/>
        </w:rPr>
        <w:t>fulfillment</w:t>
      </w:r>
      <w:proofErr w:type="spellEnd"/>
      <w:r w:rsidRPr="00BD75FB">
        <w:rPr>
          <w:rFonts w:ascii="Arial" w:eastAsia="Calibri" w:hAnsi="Arial" w:cs="Arial"/>
          <w:bCs/>
          <w:sz w:val="22"/>
          <w:szCs w:val="22"/>
        </w:rPr>
        <w:t>. That remains a task to address.</w:t>
      </w:r>
    </w:p>
    <w:p w14:paraId="78506BAB"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Thank you very much, Mas Ari. Bu Dian, do you have any closing statements or thoughts to share?</w:t>
      </w:r>
    </w:p>
    <w:p w14:paraId="403F86E4"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 xml:space="preserve">[Speaker 4] Just a brief word while awaiting the result dissemination. This will be valuable input for us at </w:t>
      </w:r>
      <w:proofErr w:type="spellStart"/>
      <w:r w:rsidRPr="00BD75FB">
        <w:rPr>
          <w:rFonts w:ascii="Arial" w:eastAsia="Calibri" w:hAnsi="Arial" w:cs="Arial"/>
          <w:bCs/>
          <w:sz w:val="22"/>
          <w:szCs w:val="22"/>
        </w:rPr>
        <w:t>Bappenas</w:t>
      </w:r>
      <w:proofErr w:type="spellEnd"/>
      <w:r w:rsidRPr="00BD75FB">
        <w:rPr>
          <w:rFonts w:ascii="Arial" w:eastAsia="Calibri" w:hAnsi="Arial" w:cs="Arial"/>
          <w:bCs/>
          <w:sz w:val="22"/>
          <w:szCs w:val="22"/>
        </w:rPr>
        <w:t xml:space="preserve"> to prepare policy recommendations for program improvement and meeting planning document targets. Several points highlighted the importance of data interoperability. Krisna DAK connects with Ministry of Finance applications, though I am unsure if DAK connects with OMSPAN for evaluations. Meanwhile, regional SIPD applications do not yet clearly map DAK sources—they list activities to be funded without explicitly tagging DAK as the funding source. These are areas the government must continue to improve. The study by Cynthia and Stanley will provide great input for us. I look forward to the dissemination session. Thank you for this opportunity.</w:t>
      </w:r>
    </w:p>
    <w:p w14:paraId="6026B7C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Thank you very much. Thank you, Mas Ari.</w:t>
      </w:r>
    </w:p>
    <w:p w14:paraId="48649300"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4] Thank you very much.</w:t>
      </w:r>
    </w:p>
    <w:p w14:paraId="556834B3"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5] Thank you for your time. I will leave the call now. Thank you, Mas Ari.</w:t>
      </w:r>
    </w:p>
    <w:p w14:paraId="19BA9EBB"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2] Thank you very much, Ibu. Mas Ari, thank you for your time. We will share the informed consent form for this study data collection. Thank you very much, Mas Ari.</w:t>
      </w:r>
    </w:p>
    <w:p w14:paraId="27682E66" w14:textId="77777777" w:rsidR="00BD75FB" w:rsidRPr="00BD75FB" w:rsidRDefault="00BD75FB" w:rsidP="00BD75FB">
      <w:pPr>
        <w:spacing w:line="276" w:lineRule="auto"/>
        <w:rPr>
          <w:rFonts w:ascii="Arial" w:eastAsia="Calibri" w:hAnsi="Arial" w:cs="Arial"/>
          <w:bCs/>
          <w:sz w:val="22"/>
          <w:szCs w:val="22"/>
        </w:rPr>
      </w:pPr>
      <w:r w:rsidRPr="00BD75FB">
        <w:rPr>
          <w:rFonts w:ascii="Arial" w:eastAsia="Calibri" w:hAnsi="Arial" w:cs="Arial"/>
          <w:bCs/>
          <w:sz w:val="22"/>
          <w:szCs w:val="22"/>
        </w:rPr>
        <w:t>[Speaker 1] Thank you very much. I will leave the call now.</w:t>
      </w:r>
    </w:p>
    <w:p w14:paraId="0000019E" w14:textId="1347D689" w:rsidR="009D1385" w:rsidRPr="00BD75FB" w:rsidRDefault="009D1385" w:rsidP="00BD75FB">
      <w:pPr>
        <w:spacing w:line="276" w:lineRule="auto"/>
        <w:rPr>
          <w:rFonts w:ascii="Arial" w:hAnsi="Arial" w:cs="Arial"/>
          <w:bCs/>
          <w:sz w:val="22"/>
          <w:szCs w:val="22"/>
        </w:rPr>
      </w:pPr>
    </w:p>
    <w:sectPr w:rsidR="009D1385" w:rsidRPr="00BD75FB">
      <w:footerReference w:type="even" r:id="rId7"/>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33E318" w14:textId="77777777" w:rsidR="00BB4BBF" w:rsidRDefault="00BB4BBF" w:rsidP="004E4E8C">
      <w:r>
        <w:separator/>
      </w:r>
    </w:p>
  </w:endnote>
  <w:endnote w:type="continuationSeparator" w:id="0">
    <w:p w14:paraId="3A199C16" w14:textId="77777777" w:rsidR="00BB4BBF" w:rsidRDefault="00BB4BBF" w:rsidP="004E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4DB2B6D-AA72-7F46-AFAE-37A8CAFAAF26}"/>
    <w:embedBold r:id="rId2" w:fontKey="{FE7341CB-BB9F-8F47-809F-57C7ADDB2F1B}"/>
    <w:embedItalic r:id="rId3" w:fontKey="{048CDCAC-1255-5248-B2EC-4AEA2623FE01}"/>
  </w:font>
  <w:font w:name="Georgia">
    <w:panose1 w:val="02040502050405020303"/>
    <w:charset w:val="00"/>
    <w:family w:val="roman"/>
    <w:pitch w:val="variable"/>
    <w:sig w:usb0="00000287" w:usb1="00000000" w:usb2="00000000" w:usb3="00000000" w:csb0="0000009F" w:csb1="00000000"/>
    <w:embedRegular r:id="rId4" w:fontKey="{D8FD2466-F43B-054B-804C-61BAB8D92D07}"/>
    <w:embedItalic r:id="rId5" w:fontKey="{7EC75C01-04E2-0142-A6D7-05789954A19F}"/>
  </w:font>
  <w:font w:name="Arial">
    <w:panose1 w:val="020B0604020202020204"/>
    <w:charset w:val="00"/>
    <w:family w:val="swiss"/>
    <w:pitch w:val="variable"/>
    <w:sig w:usb0="E0002AFF" w:usb1="C0007843" w:usb2="00000009" w:usb3="00000000" w:csb0="000001FF" w:csb1="00000000"/>
    <w:embedRegular r:id="rId6" w:fontKey="{05D220F9-E34F-614C-8723-2719794AEF3F}"/>
    <w:embedBold r:id="rId7" w:fontKey="{E2C7B983-B64E-1343-B3FE-E1F8C50974EF}"/>
  </w:font>
  <w:font w:name="Calibri">
    <w:panose1 w:val="020F0502020204030204"/>
    <w:charset w:val="00"/>
    <w:family w:val="swiss"/>
    <w:pitch w:val="variable"/>
    <w:sig w:usb0="E4002EFF" w:usb1="C000247B" w:usb2="00000009" w:usb3="00000000" w:csb0="000001FF" w:csb1="00000000"/>
    <w:embedRegular r:id="rId8" w:fontKey="{55C9B00F-31F6-2D4F-B3EE-8A02103F0EE2}"/>
    <w:embedBold r:id="rId9" w:fontKey="{D4815086-24DC-F942-9FD3-07072B493A0D}"/>
  </w:font>
  <w:font w:name="Cambria">
    <w:panose1 w:val="02040503050406030204"/>
    <w:charset w:val="00"/>
    <w:family w:val="roman"/>
    <w:pitch w:val="variable"/>
    <w:sig w:usb0="E00002FF" w:usb1="400004FF" w:usb2="00000000" w:usb3="00000000" w:csb0="0000019F" w:csb1="00000000"/>
    <w:embedRegular r:id="rId10" w:fontKey="{CF7FEEC0-A1C8-1F45-9D29-BC8C63AD8F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5982933"/>
      <w:docPartObj>
        <w:docPartGallery w:val="Page Numbers (Bottom of Page)"/>
        <w:docPartUnique/>
      </w:docPartObj>
    </w:sdtPr>
    <w:sdtContent>
      <w:p w14:paraId="1A3A7F23" w14:textId="25F04B0C" w:rsidR="004E4E8C" w:rsidRDefault="004E4E8C"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FF73860" w14:textId="77777777" w:rsidR="004E4E8C" w:rsidRDefault="004E4E8C" w:rsidP="004E4E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70913877"/>
      <w:docPartObj>
        <w:docPartGallery w:val="Page Numbers (Bottom of Page)"/>
        <w:docPartUnique/>
      </w:docPartObj>
    </w:sdtPr>
    <w:sdtContent>
      <w:p w14:paraId="4D804F90" w14:textId="277C6688" w:rsidR="004E4E8C" w:rsidRDefault="004E4E8C"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41B11A1" w14:textId="77777777" w:rsidR="004E4E8C" w:rsidRDefault="004E4E8C" w:rsidP="004E4E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89EF2D" w14:textId="77777777" w:rsidR="00BB4BBF" w:rsidRDefault="00BB4BBF" w:rsidP="004E4E8C">
      <w:r>
        <w:separator/>
      </w:r>
    </w:p>
  </w:footnote>
  <w:footnote w:type="continuationSeparator" w:id="0">
    <w:p w14:paraId="062C7F8B" w14:textId="77777777" w:rsidR="00BB4BBF" w:rsidRDefault="00BB4BBF" w:rsidP="004E4E8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385"/>
    <w:rsid w:val="004E4E8C"/>
    <w:rsid w:val="00565E16"/>
    <w:rsid w:val="009D1385"/>
    <w:rsid w:val="00AB23BC"/>
    <w:rsid w:val="00BB4BBF"/>
    <w:rsid w:val="00BD75F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C16A1EA"/>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4E4E8C"/>
    <w:pPr>
      <w:tabs>
        <w:tab w:val="center" w:pos="4680"/>
        <w:tab w:val="right" w:pos="9360"/>
      </w:tabs>
    </w:pPr>
  </w:style>
  <w:style w:type="character" w:customStyle="1" w:styleId="FooterChar">
    <w:name w:val="Footer Char"/>
    <w:basedOn w:val="DefaultParagraphFont"/>
    <w:link w:val="Footer"/>
    <w:uiPriority w:val="99"/>
    <w:rsid w:val="004E4E8C"/>
  </w:style>
  <w:style w:type="character" w:styleId="PageNumber">
    <w:name w:val="page number"/>
    <w:basedOn w:val="DefaultParagraphFont"/>
    <w:uiPriority w:val="99"/>
    <w:semiHidden/>
    <w:unhideWhenUsed/>
    <w:rsid w:val="004E4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5072042">
      <w:bodyDiv w:val="1"/>
      <w:marLeft w:val="0"/>
      <w:marRight w:val="0"/>
      <w:marTop w:val="0"/>
      <w:marBottom w:val="0"/>
      <w:divBdr>
        <w:top w:val="none" w:sz="0" w:space="0" w:color="auto"/>
        <w:left w:val="none" w:sz="0" w:space="0" w:color="auto"/>
        <w:bottom w:val="none" w:sz="0" w:space="0" w:color="auto"/>
        <w:right w:val="none" w:sz="0" w:space="0" w:color="auto"/>
      </w:divBdr>
    </w:div>
    <w:div w:id="1207135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7pNZ45SPiMIYl6uawSxyHW23Bw==">CgMxLjA4AHIhMXhUS05JaEtUTU9aQUtRalNTRFBubXh3di1fMjlaTFAz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4985</Words>
  <Characters>28417</Characters>
  <Application>Microsoft Office Word</Application>
  <DocSecurity>0</DocSecurity>
  <Lines>236</Lines>
  <Paragraphs>66</Paragraphs>
  <ScaleCrop>false</ScaleCrop>
  <Company/>
  <LinksUpToDate>false</LinksUpToDate>
  <CharactersWithSpaces>33336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TurboScribe.ai</dc:creator>
  <cp:lastModifiedBy>Cynthia Febrina Maharani</cp:lastModifiedBy>
  <cp:revision>3</cp:revision>
  <dcterms:created xsi:type="dcterms:W3CDTF">2026-08-31T02:00:00Z</dcterms:created>
  <dcterms:modified xsi:type="dcterms:W3CDTF">2026-08-31T15:13:00Z</dcterms:modified>
</cp:coreProperties>
</file>