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26CC8A" w14:textId="77777777" w:rsidR="00A03FC8" w:rsidRDefault="00A03FC8" w:rsidP="00A03FC8">
      <w:pPr>
        <w:spacing w:line="360" w:lineRule="auto"/>
        <w:rPr>
          <w:rFonts w:ascii="Arial" w:eastAsia="Calibri" w:hAnsi="Arial" w:cs="Arial"/>
          <w:b/>
          <w:sz w:val="28"/>
          <w:szCs w:val="28"/>
        </w:rPr>
      </w:pPr>
      <w:r w:rsidRPr="00A03FC8">
        <w:rPr>
          <w:rFonts w:ascii="Arial" w:eastAsia="Calibri" w:hAnsi="Arial" w:cs="Arial"/>
          <w:b/>
          <w:sz w:val="28"/>
          <w:szCs w:val="28"/>
        </w:rPr>
        <w:t>In-Depth Interview Recording Ministry of Health</w:t>
      </w:r>
    </w:p>
    <w:p w14:paraId="53CBD74B" w14:textId="77777777" w:rsidR="00A03FC8" w:rsidRPr="00A03FC8" w:rsidRDefault="00A03FC8" w:rsidP="00A03FC8">
      <w:pPr>
        <w:spacing w:line="360" w:lineRule="auto"/>
        <w:rPr>
          <w:rFonts w:ascii="Arial" w:eastAsia="Calibri" w:hAnsi="Arial" w:cs="Arial"/>
          <w:b/>
          <w:sz w:val="28"/>
          <w:szCs w:val="28"/>
        </w:rPr>
      </w:pPr>
    </w:p>
    <w:p w14:paraId="6581AE03"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I'm just recording back again, maybe an introduction to the purpose. Allow me to help explain the purpose first maybe, Pak, even though actually you have talked about it. Perhaps our focus is on the discussion, discussion about physical data (DAK). Then the discussion is actually informal for approximately one hour. Then the discussion will be recorded, but we will not distribute it to anyone except the two of us for analysis and study. The analysis will also be aggregated, so we won't be curious about who said what. If there is anything you do not wish to answer during the discussion, please let us know, so it's okay. Then maybe if you have questions, please go ahead. Coincidentally so far we have discussed and gathered views from several regions, but actually maybe we feel a bit saturated, so the information is starting to be the same, the information is starting to be the same provided by the regions, Pak. So maybe actually our goal right now, besides having questions later, we also want to ask what other triggers we can follow up on later if it turns out there are things we need to discuss again with the regions so that we can have another FGD with the regions. But maybe before going there, we thought maybe we could get insights from Pak Andri as well. Previously, does Pak Andri have any questions or want to ask anything? Not for now. Here, our first question is actually, could you introduce yourself and your role in the Physical DAK program over the last 5 years? Also, your role in the Physical DAK program over the last 5 years, have you been the captain of Physical DAK? </w:t>
      </w:r>
    </w:p>
    <w:p w14:paraId="3AFD87CD"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Not yet, so let me introduce myself first. My name is Andri, Andri Muliawan, usually called Andri. I have been involved in the DAK team as staff since 2016 actually. Then in 2020, if I remember correctly, in 2020 I was asked to become </w:t>
      </w:r>
      <w:proofErr w:type="spellStart"/>
      <w:r w:rsidRPr="00A03FC8">
        <w:rPr>
          <w:rFonts w:ascii="Arial" w:eastAsia="Calibri" w:hAnsi="Arial" w:cs="Arial"/>
          <w:bCs/>
          <w:sz w:val="22"/>
          <w:szCs w:val="22"/>
        </w:rPr>
        <w:t>Kasubbag</w:t>
      </w:r>
      <w:proofErr w:type="spellEnd"/>
      <w:r w:rsidRPr="00A03FC8">
        <w:rPr>
          <w:rFonts w:ascii="Arial" w:eastAsia="Calibri" w:hAnsi="Arial" w:cs="Arial"/>
          <w:bCs/>
          <w:sz w:val="22"/>
          <w:szCs w:val="22"/>
        </w:rPr>
        <w:t xml:space="preserve"> EVA IV PBN 1. At that time, I was responsible for budget performance delivery and managing foreign loans, specifically WHO. Only in 2022 was I asked to become the captain of Physical DAK. </w:t>
      </w:r>
    </w:p>
    <w:p w14:paraId="2B4F8DB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So </w:t>
      </w:r>
    </w:p>
    <w:p w14:paraId="25FCF2A3"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If asked since when I became captain, it means since mid-2022, if I'm not mistaken March or April. Maybe that's the introduction. Okay. </w:t>
      </w:r>
    </w:p>
    <w:p w14:paraId="73F5176D"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Yes, maybe if we may know a little picture, Pak, regarding during your tenure—maybe we won't draw from 2016, but maybe the last 5 years—in general, what were the policy changes related to Physical DAK, especially in the health sector, Pak? </w:t>
      </w:r>
    </w:p>
    <w:p w14:paraId="1C90A3FD"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So actually, it's not just health; the Physical DAK policy changed completely since the birth of Law Number 1 concerning Financial Relations between the Central Government and Regional Governments. That Law impacted DAK, which previously was open for everyone to propose, becoming assignment-based. So only regions declared as loci can propose. As a result of the mandate, it caused a lot of changes. First, those who can </w:t>
      </w:r>
      <w:r w:rsidRPr="00A03FC8">
        <w:rPr>
          <w:rFonts w:ascii="Arial" w:eastAsia="Calibri" w:hAnsi="Arial" w:cs="Arial"/>
          <w:bCs/>
          <w:sz w:val="22"/>
          <w:szCs w:val="22"/>
        </w:rPr>
        <w:lastRenderedPageBreak/>
        <w:t>propose are those included in the locus. Those who can receive are those who can propose, and so on. Then, speaking of regulation, that was Law Number 1. Speaking of allocation, the trend from COVID to post-COVID has tended to decrease. So the allocation for physical DAK itself has relatively decreased. That is the most fundamental policy, along with one more thing. Actually, this DAK has had its technical guidelines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established through Presidential Regulations (</w:t>
      </w:r>
      <w:proofErr w:type="spellStart"/>
      <w:r w:rsidRPr="00A03FC8">
        <w:rPr>
          <w:rFonts w:ascii="Arial" w:eastAsia="Calibri" w:hAnsi="Arial" w:cs="Arial"/>
          <w:bCs/>
          <w:sz w:val="22"/>
          <w:szCs w:val="22"/>
        </w:rPr>
        <w:t>Perpres</w:t>
      </w:r>
      <w:proofErr w:type="spellEnd"/>
      <w:r w:rsidRPr="00A03FC8">
        <w:rPr>
          <w:rFonts w:ascii="Arial" w:eastAsia="Calibri" w:hAnsi="Arial" w:cs="Arial"/>
          <w:bCs/>
          <w:sz w:val="22"/>
          <w:szCs w:val="22"/>
        </w:rPr>
        <w:t xml:space="preserve">) since several years ago. But in 2023-2024-2025, we started simplifying. Simplifying menus. But we started from—so DAK is established per sub-field. Health and Family Planning (KB) fields. From that field, it will cascade down to field proposals, menus, and so forth. Starting from 2023 onwards, we began simplifying so that now if you look at 2025-2026, there is only one sub-field for health services strengthening. The impact is—so previously there was a policy prohibiting reallocation across fields, across sub-fields, across activity plans. By consolidating them into one, flexibility becomes better. Why was it made like this? Because along the way, there are many dynamics resulting in option A not being executable, while option B still has space. And if it were not blended together, it would be difficult to transfer from A to B. By becoming one, this is no longer a problem. However, the problem—it hasn't reached there yet—the problem is when it becomes unified, tracking and tracing the budget during monitoring becomes somewhat difficult. For example, when it stood alone like WWTP (IPAL), electricity, or clean water, it could be traced. But when it becomes part of overall infrastructure, unified as one, it is difficult. Therefore, it's not actually about going back to how it was, but the system needs to be improved. Maybe let's stop there first, in case it gets too deep. </w:t>
      </w:r>
    </w:p>
    <w:p w14:paraId="73EFF042"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If we may delve deeper, Pak. Earlier, Law Number 1, year... </w:t>
      </w:r>
    </w:p>
    <w:p w14:paraId="56E0FB87"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Law Number 1 Year 2022 concerning HKPD. </w:t>
      </w:r>
    </w:p>
    <w:p w14:paraId="101E44E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Right, and then when did the simplification take place? </w:t>
      </w:r>
    </w:p>
    <w:p w14:paraId="744744F6"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Starting from that point, starting from when we previously had three sub-fields: Referral, Primary, and Pharmacy. And it was blended into Referral and Primary, and finally became one: Health System Strengthening. </w:t>
      </w:r>
    </w:p>
    <w:p w14:paraId="6D2D7DC9"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Is that in Law Number 1? </w:t>
      </w:r>
    </w:p>
    <w:p w14:paraId="053F81E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[Speaker 1] No, that was agreed upon in the annual multilateral meeting. But the legal basis is a Presidential Regulation (</w:t>
      </w:r>
      <w:proofErr w:type="spellStart"/>
      <w:r w:rsidRPr="00A03FC8">
        <w:rPr>
          <w:rFonts w:ascii="Arial" w:eastAsia="Calibri" w:hAnsi="Arial" w:cs="Arial"/>
          <w:bCs/>
          <w:sz w:val="22"/>
          <w:szCs w:val="22"/>
        </w:rPr>
        <w:t>Perpres</w:t>
      </w:r>
      <w:proofErr w:type="spellEnd"/>
      <w:r w:rsidRPr="00A03FC8">
        <w:rPr>
          <w:rFonts w:ascii="Arial" w:eastAsia="Calibri" w:hAnsi="Arial" w:cs="Arial"/>
          <w:bCs/>
          <w:sz w:val="22"/>
          <w:szCs w:val="22"/>
        </w:rPr>
        <w:t xml:space="preserve">). </w:t>
      </w:r>
    </w:p>
    <w:p w14:paraId="70684F51"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No? </w:t>
      </w:r>
    </w:p>
    <w:p w14:paraId="6CB7B7AE"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So DAK is established every year through inter-party meetings between </w:t>
      </w:r>
      <w:proofErr w:type="spellStart"/>
      <w:r w:rsidRPr="00A03FC8">
        <w:rPr>
          <w:rFonts w:ascii="Arial" w:eastAsia="Calibri" w:hAnsi="Arial" w:cs="Arial"/>
          <w:bCs/>
          <w:sz w:val="22"/>
          <w:szCs w:val="22"/>
        </w:rPr>
        <w:t>Bappenas</w:t>
      </w:r>
      <w:proofErr w:type="spellEnd"/>
      <w:r w:rsidRPr="00A03FC8">
        <w:rPr>
          <w:rFonts w:ascii="Arial" w:eastAsia="Calibri" w:hAnsi="Arial" w:cs="Arial"/>
          <w:bCs/>
          <w:sz w:val="22"/>
          <w:szCs w:val="22"/>
        </w:rPr>
        <w:t>, Ministry of Finance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Ministry of Home Affairs (</w:t>
      </w:r>
      <w:proofErr w:type="spellStart"/>
      <w:r w:rsidRPr="00A03FC8">
        <w:rPr>
          <w:rFonts w:ascii="Arial" w:eastAsia="Calibri" w:hAnsi="Arial" w:cs="Arial"/>
          <w:bCs/>
          <w:sz w:val="22"/>
          <w:szCs w:val="22"/>
        </w:rPr>
        <w:t>Kemendagri</w:t>
      </w:r>
      <w:proofErr w:type="spellEnd"/>
      <w:r w:rsidRPr="00A03FC8">
        <w:rPr>
          <w:rFonts w:ascii="Arial" w:eastAsia="Calibri" w:hAnsi="Arial" w:cs="Arial"/>
          <w:bCs/>
          <w:sz w:val="22"/>
          <w:szCs w:val="22"/>
        </w:rPr>
        <w:t xml:space="preserve">), and technical line ministries. That's where we agree on what the menus are, where the loci are, and the derivative details. Okay. </w:t>
      </w:r>
    </w:p>
    <w:p w14:paraId="5F0E8592"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Understood. Regarding the simplification agreement, Pak, regarding the annual decrease after COVID yesterday, was it significant, or is it most significant right now? </w:t>
      </w:r>
    </w:p>
    <w:p w14:paraId="4B271984"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lastRenderedPageBreak/>
        <w:t>[Speaker 1] Yes, for example, as simple as—it wasn't immediate. So physical DAK once reached, to my knowledge, 20 Trillion for physical DAK alone. Then it dropped to 15, dropped to 13, 12, 11.5. Now, what was indeed the most drastic in terms of percentage was yesterday. Even yesterday, if we look at the indicative budget ceiling, the budget ceiling for physical DAK was 0. So it actually appeared after the summary of notes or summary of government meetings with the Parliamentary Budget Committee (</w:t>
      </w:r>
      <w:proofErr w:type="spellStart"/>
      <w:r w:rsidRPr="00A03FC8">
        <w:rPr>
          <w:rFonts w:ascii="Arial" w:eastAsia="Calibri" w:hAnsi="Arial" w:cs="Arial"/>
          <w:bCs/>
          <w:sz w:val="22"/>
          <w:szCs w:val="22"/>
        </w:rPr>
        <w:t>Banggar</w:t>
      </w:r>
      <w:proofErr w:type="spellEnd"/>
      <w:r w:rsidRPr="00A03FC8">
        <w:rPr>
          <w:rFonts w:ascii="Arial" w:eastAsia="Calibri" w:hAnsi="Arial" w:cs="Arial"/>
          <w:bCs/>
          <w:sz w:val="22"/>
          <w:szCs w:val="22"/>
        </w:rPr>
        <w:t xml:space="preserve">) Commission 11. </w:t>
      </w:r>
      <w:proofErr w:type="spellStart"/>
      <w:r w:rsidRPr="00A03FC8">
        <w:rPr>
          <w:rFonts w:ascii="Arial" w:eastAsia="Calibri" w:hAnsi="Arial" w:cs="Arial"/>
          <w:bCs/>
          <w:sz w:val="22"/>
          <w:szCs w:val="22"/>
        </w:rPr>
        <w:t>So.</w:t>
      </w:r>
      <w:proofErr w:type="spellEnd"/>
      <w:r w:rsidRPr="00A03FC8">
        <w:rPr>
          <w:rFonts w:ascii="Arial" w:eastAsia="Calibri" w:hAnsi="Arial" w:cs="Arial"/>
          <w:bCs/>
          <w:sz w:val="22"/>
          <w:szCs w:val="22"/>
        </w:rPr>
        <w:t xml:space="preserve">.. </w:t>
      </w:r>
    </w:p>
    <w:p w14:paraId="360AB0E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w:t>
      </w:r>
      <w:proofErr w:type="spellStart"/>
      <w:r w:rsidRPr="00A03FC8">
        <w:rPr>
          <w:rFonts w:ascii="Arial" w:eastAsia="Calibri" w:hAnsi="Arial" w:cs="Arial"/>
          <w:bCs/>
          <w:sz w:val="22"/>
          <w:szCs w:val="22"/>
        </w:rPr>
        <w:t>So.</w:t>
      </w:r>
      <w:proofErr w:type="spellEnd"/>
      <w:r w:rsidRPr="00A03FC8">
        <w:rPr>
          <w:rFonts w:ascii="Arial" w:eastAsia="Calibri" w:hAnsi="Arial" w:cs="Arial"/>
          <w:bCs/>
          <w:sz w:val="22"/>
          <w:szCs w:val="22"/>
        </w:rPr>
        <w:t xml:space="preserve">.. </w:t>
      </w:r>
    </w:p>
    <w:p w14:paraId="533045A2"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The budget ceiling had been signed in the morning, the meeting was ongoing in the afternoon, and there was a policy that physical DAK still exists. </w:t>
      </w:r>
    </w:p>
    <w:p w14:paraId="7DEC43E5"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So if... </w:t>
      </w:r>
    </w:p>
    <w:p w14:paraId="6BF5A58B"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Looking at the ceiling, it was around 5 Trillion for Indonesia, and health got 1.8. </w:t>
      </w:r>
    </w:p>
    <w:p w14:paraId="49DCC15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Is that 1.8 fixed, Pak? </w:t>
      </w:r>
    </w:p>
    <w:p w14:paraId="34F27D47"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The ceiling is fixed. However, DAK transferred is not based on those exact breakdown details, but based on the official minutes signed later. Usually it decreases. But during my term—if I may speak a bit—during my term, there was actually an increase. So the ceiling breakdown, Activity Plan (RK), contract, and disbursement form a single entity. For example, the ceiling was 11.5, which became 11.3 in RK. Out of 11.3, what became contracts was, say, 11. What was disbursed was, for instance, 10.59. But percentage-wise over the last 3 years, we have continued to increase, from 92%, 95%, to 99%. That relates to the percentage of ceiling successfully converted to RK. The percentage of RK successfully contracted also increased. Along with that, the percentage of contracts successfully disbursed also increased. But strangely, the physical RK itself was reduced. I don't understand why it could be like that; ideally, with good absorption, there should be rewards. But I don't know the government's policy. </w:t>
      </w:r>
    </w:p>
    <w:p w14:paraId="55BCCFA1"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Well, that... </w:t>
      </w:r>
    </w:p>
    <w:p w14:paraId="47762E3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The official document was already out. Then... </w:t>
      </w:r>
    </w:p>
    <w:p w14:paraId="1BD83FA3"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Following up on absorption, could it be said that when it touched 20T and gradually decreased, was it also caused by low absorption factors? </w:t>
      </w:r>
    </w:p>
    <w:p w14:paraId="520E1E84"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 don't see it that way. I see it as state fund availability. </w:t>
      </w:r>
    </w:p>
    <w:p w14:paraId="02B580AE"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Used up. So it wasn't a response like, "Oh, during COVID it was 20T," Pak? </w:t>
      </w:r>
    </w:p>
    <w:p w14:paraId="081634B5"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Before COVID it was around 20. Then since COVID it dropped directly. So it wasn't actually a response to... </w:t>
      </w:r>
    </w:p>
    <w:p w14:paraId="56F0BEA6"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Low absorption, causing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xml:space="preserve"> to respond? </w:t>
      </w:r>
    </w:p>
    <w:p w14:paraId="6CCECE4B"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Actually regarding absorption,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xml:space="preserve"> has a regional performance evaluation mechanism. So it reduces 5% from the lowest regions and adds allocation to the top 5% </w:t>
      </w:r>
      <w:r w:rsidRPr="00A03FC8">
        <w:rPr>
          <w:rFonts w:ascii="Arial" w:eastAsia="Calibri" w:hAnsi="Arial" w:cs="Arial"/>
          <w:bCs/>
          <w:sz w:val="22"/>
          <w:szCs w:val="22"/>
        </w:rPr>
        <w:lastRenderedPageBreak/>
        <w:t xml:space="preserve">performing regions, but in total, it doesn't change. To my knowledge,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xml:space="preserve"> does not reduce transfer funds to regions. </w:t>
      </w:r>
    </w:p>
    <w:p w14:paraId="54CD08A8"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Even... </w:t>
      </w:r>
    </w:p>
    <w:p w14:paraId="58D20725"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If you look at the Law—I don't know if the law has changed—supposedly matters under regional authority should gradually be returned to the regions until everything is returned, right? But in practice it differs; perhaps the government has other considerations. One of them, I see, might even be COVID handling, where part of the allocation was directed there. Post-COVID, well, maybe there are other needs that haven't been returned yet, for example. </w:t>
      </w:r>
    </w:p>
    <w:p w14:paraId="0C6908C9"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May we know, when you observed low absorption up to the last 2 years where it became high, were you able to identify the causes during the lowest points in the last 5 years? </w:t>
      </w:r>
    </w:p>
    <w:p w14:paraId="3482C18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 don't know, because at that time I had left DAK for a while and came back in 2022. But indeed, because I was previously in DAK, well, I don't know what happened. But at least in my time in 2022, we were more persuasive—meaning things we previously considered sub-optimal, we optimized. But indeed, for example, creating WhatsApp Groups where we share information there. Then making various scenarios, such as requiring realization reporting as a condition for RK evaluation. Then most frequently, we share recap reports of inputs. Even so, it remains low. I see it as regional conditions needing funds; inevitably they will fight for this. Meaning, the money is little, so the presence of DAK money is seen as necessary. In the past, when funds were plentiful, realization wasn't that good because on the other hand their regional budgets (APBD) were still large, right? </w:t>
      </w:r>
    </w:p>
    <w:p w14:paraId="17479FA8"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Yes. </w:t>
      </w:r>
    </w:p>
    <w:p w14:paraId="31C49F5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When faced with APBD versus DAK, of course they would prioritize realizing APBD first, because regional head or agency head performance is measured from APBD absorption, only then DAK. </w:t>
      </w:r>
    </w:p>
    <w:p w14:paraId="5F208B24"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Regarding that response, Pak—for example when absorption was low, were there responses from regional governments to quickly advocate to the central government? "Oh yes, maybe the cause is this, there is a policy change, Pak," or what else? </w:t>
      </w:r>
    </w:p>
    <w:p w14:paraId="7E86BE1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On average, the reasons are classic, such as delays in passing local APBD regulations. That usually impacts delays in appointing Spending Authority Officers (KPA) and Commitment Making Officers (PPK). That impacts delaying the procurement tender timeline. That impacts setting the tender winner, and so on. </w:t>
      </w:r>
    </w:p>
    <w:p w14:paraId="123671C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So in the end, realization is also delayed. </w:t>
      </w:r>
    </w:p>
    <w:p w14:paraId="4DB7FD2B"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Yes, realization is delayed. On the flip side, there are several regions that—from what we see, Pak—like to make changes. </w:t>
      </w:r>
    </w:p>
    <w:p w14:paraId="26782999"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Changes... </w:t>
      </w:r>
    </w:p>
    <w:p w14:paraId="6AE0974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lastRenderedPageBreak/>
        <w:t xml:space="preserve">[Speaker 1] Location changes, for example, or average location changes. Papua, for instance, they frequently change due to conflict or security reasons; suddenly location A is unusable, so they move to location B. Such things usually affect absorption because location changes take time, so sometimes there isn't enough time to complete a project. Furthermore, official turnover in regions also has a severe impact. Officials including... </w:t>
      </w:r>
    </w:p>
    <w:p w14:paraId="4518E16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At the level of Agency Heads or Regional Heads? </w:t>
      </w:r>
    </w:p>
    <w:p w14:paraId="668B048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Regional Heads rarely; Agency Heads. When the Agency Head changes, usually the PPK changes, the field staff changes. So this replacement is not accompanied by proper handover. </w:t>
      </w:r>
    </w:p>
    <w:p w14:paraId="7E38A087"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So it could be said that while regions often give many classic excuses like land acquisition problems, bureaucratic issues also exist internally. </w:t>
      </w:r>
    </w:p>
    <w:p w14:paraId="5D7348D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Actually, talking about land acquisition, DAK requires land readiness beforehand (Term-1); there should be plenty of time. The issue in regions is this: ideally, if we want to build a health facility, supporting infrastructure should already exist—roads, electricity, water. But when local governments do land acquisition, land offered by the community that meets criteria is usually high-priced, and local governments don't have enough allocation to buy it. So for new constructions, locations are usually at the far ends—at the end of fields, far off—where prices are relatively low. But facilities leading there don't exist yet—no water, no roads, no electricity. If you go up to areas like Papua, you can see sometimes the health </w:t>
      </w:r>
      <w:proofErr w:type="spellStart"/>
      <w:r w:rsidRPr="00A03FC8">
        <w:rPr>
          <w:rFonts w:ascii="Arial" w:eastAsia="Calibri" w:hAnsi="Arial" w:cs="Arial"/>
          <w:bCs/>
          <w:sz w:val="22"/>
          <w:szCs w:val="22"/>
        </w:rPr>
        <w:t>center</w:t>
      </w:r>
      <w:proofErr w:type="spellEnd"/>
      <w:r w:rsidRPr="00A03FC8">
        <w:rPr>
          <w:rFonts w:ascii="Arial" w:eastAsia="Calibri" w:hAnsi="Arial" w:cs="Arial"/>
          <w:bCs/>
          <w:sz w:val="22"/>
          <w:szCs w:val="22"/>
        </w:rPr>
        <w:t xml:space="preserve"> isn't visible from the side—it's surrounded by thick bush. Vehicles going there need double-axle 4WD with tire chains, so costs are high. Conditions like that impact human resources—nobody wants to be posted there. Sometimes regions utilize health as a campaign promise—free schooling, free medical care. Which in our view, calculated by criteria, might not be eligible yet. For example, building a Pratama Hospital, but HR can be counted on one hand. But if we wait until they are ready, speaking figuratively, they might never be ready in Papua. So it's a chicken-or-egg choice: build first, or wait for completeness, which means it might never get built. Meanwhile in 2019-2025, two criteria were handed down: one accredited hospital per regency, one accredited </w:t>
      </w:r>
      <w:proofErr w:type="spellStart"/>
      <w:r w:rsidRPr="00A03FC8">
        <w:rPr>
          <w:rFonts w:ascii="Arial" w:eastAsia="Calibri" w:hAnsi="Arial" w:cs="Arial"/>
          <w:bCs/>
          <w:sz w:val="22"/>
          <w:szCs w:val="22"/>
        </w:rPr>
        <w:t>puskesmas</w:t>
      </w:r>
      <w:proofErr w:type="spellEnd"/>
      <w:r w:rsidRPr="00A03FC8">
        <w:rPr>
          <w:rFonts w:ascii="Arial" w:eastAsia="Calibri" w:hAnsi="Arial" w:cs="Arial"/>
          <w:bCs/>
          <w:sz w:val="22"/>
          <w:szCs w:val="22"/>
        </w:rPr>
        <w:t xml:space="preserve"> per district. So regions, in quotes, utilized this to propose menus. Inevitably, to keep quality maintained, we required land, HR, operational budget, and non-repurposing agreements. Hope was that operational support would follow. But in reality, especially for Pratama hospitals, many built facilities were not immediately operational, waiting some time until operational requirements could be met. </w:t>
      </w:r>
    </w:p>
    <w:p w14:paraId="2ABD3173"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3] If... </w:t>
      </w:r>
    </w:p>
    <w:p w14:paraId="371ED31B"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Maybe this question is slightly outside, but what actually makes regions act like that? Is it because as long as proposal windows are open, they are taking advantage while they can, or how, Pak? </w:t>
      </w:r>
    </w:p>
    <w:p w14:paraId="349593D7"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lastRenderedPageBreak/>
        <w:t xml:space="preserve">[Speaker 1] So actually, proposals are submitted by units after reconciliation with regions. Usually they set up regional meetings—Central, Western, Eastern regions—to capture needs and synchronize them with central programs. So the menu should mostly represent the regions. If we talk with some regions, they might perceive that central menus don't match regional wants. But if we talk with regional representatives in community contexts, the central unit tried to accommodate nationwide demands by averaging them out, then connecting that average to central political policy. For instance, right now we have primary care transformation—MOH wants every district to have a </w:t>
      </w:r>
      <w:proofErr w:type="spellStart"/>
      <w:r w:rsidRPr="00A03FC8">
        <w:rPr>
          <w:rFonts w:ascii="Arial" w:eastAsia="Calibri" w:hAnsi="Arial" w:cs="Arial"/>
          <w:bCs/>
          <w:sz w:val="22"/>
          <w:szCs w:val="22"/>
        </w:rPr>
        <w:t>center</w:t>
      </w:r>
      <w:proofErr w:type="spellEnd"/>
      <w:r w:rsidRPr="00A03FC8">
        <w:rPr>
          <w:rFonts w:ascii="Arial" w:eastAsia="Calibri" w:hAnsi="Arial" w:cs="Arial"/>
          <w:bCs/>
          <w:sz w:val="22"/>
          <w:szCs w:val="22"/>
        </w:rPr>
        <w:t xml:space="preserve">, every </w:t>
      </w:r>
      <w:proofErr w:type="spellStart"/>
      <w:r w:rsidRPr="00A03FC8">
        <w:rPr>
          <w:rFonts w:ascii="Arial" w:eastAsia="Calibri" w:hAnsi="Arial" w:cs="Arial"/>
          <w:bCs/>
          <w:sz w:val="22"/>
          <w:szCs w:val="22"/>
        </w:rPr>
        <w:t>center</w:t>
      </w:r>
      <w:proofErr w:type="spellEnd"/>
      <w:r w:rsidRPr="00A03FC8">
        <w:rPr>
          <w:rFonts w:ascii="Arial" w:eastAsia="Calibri" w:hAnsi="Arial" w:cs="Arial"/>
          <w:bCs/>
          <w:sz w:val="22"/>
          <w:szCs w:val="22"/>
        </w:rPr>
        <w:t xml:space="preserve"> to have village nodes. We see how many regions proposed that, so it connects. But indeed there are proposals outside of that, and it's hard with limited money; we cannot satisfy all regions. Therefore, we pick the most representative and feasible menus financially and personnel-wise. That menu is decided and guarded not just by us, but also </w:t>
      </w:r>
      <w:proofErr w:type="spellStart"/>
      <w:r w:rsidRPr="00A03FC8">
        <w:rPr>
          <w:rFonts w:ascii="Arial" w:eastAsia="Calibri" w:hAnsi="Arial" w:cs="Arial"/>
          <w:bCs/>
          <w:sz w:val="22"/>
          <w:szCs w:val="22"/>
        </w:rPr>
        <w:t>Bappenas</w:t>
      </w:r>
      <w:proofErr w:type="spellEnd"/>
      <w:r w:rsidRPr="00A03FC8">
        <w:rPr>
          <w:rFonts w:ascii="Arial" w:eastAsia="Calibri" w:hAnsi="Arial" w:cs="Arial"/>
          <w:bCs/>
          <w:sz w:val="22"/>
          <w:szCs w:val="22"/>
        </w:rPr>
        <w:t>. Results from village/district planning deliberations (</w:t>
      </w:r>
      <w:proofErr w:type="spellStart"/>
      <w:r w:rsidRPr="00A03FC8">
        <w:rPr>
          <w:rFonts w:ascii="Arial" w:eastAsia="Calibri" w:hAnsi="Arial" w:cs="Arial"/>
          <w:bCs/>
          <w:sz w:val="22"/>
          <w:szCs w:val="22"/>
        </w:rPr>
        <w:t>Musrenbang</w:t>
      </w:r>
      <w:proofErr w:type="spellEnd"/>
      <w:r w:rsidRPr="00A03FC8">
        <w:rPr>
          <w:rFonts w:ascii="Arial" w:eastAsia="Calibri" w:hAnsi="Arial" w:cs="Arial"/>
          <w:bCs/>
          <w:sz w:val="22"/>
          <w:szCs w:val="22"/>
        </w:rPr>
        <w:t xml:space="preserve">) submitted to </w:t>
      </w:r>
      <w:proofErr w:type="spellStart"/>
      <w:r w:rsidRPr="00A03FC8">
        <w:rPr>
          <w:rFonts w:ascii="Arial" w:eastAsia="Calibri" w:hAnsi="Arial" w:cs="Arial"/>
          <w:bCs/>
          <w:sz w:val="22"/>
          <w:szCs w:val="22"/>
        </w:rPr>
        <w:t>Bappenas</w:t>
      </w:r>
      <w:proofErr w:type="spellEnd"/>
      <w:r w:rsidRPr="00A03FC8">
        <w:rPr>
          <w:rFonts w:ascii="Arial" w:eastAsia="Calibri" w:hAnsi="Arial" w:cs="Arial"/>
          <w:bCs/>
          <w:sz w:val="22"/>
          <w:szCs w:val="22"/>
        </w:rPr>
        <w:t xml:space="preserve"> are evaluated in multilateral meetings. </w:t>
      </w:r>
      <w:proofErr w:type="spellStart"/>
      <w:r w:rsidRPr="00A03FC8">
        <w:rPr>
          <w:rFonts w:ascii="Arial" w:eastAsia="Calibri" w:hAnsi="Arial" w:cs="Arial"/>
          <w:bCs/>
          <w:sz w:val="22"/>
          <w:szCs w:val="22"/>
        </w:rPr>
        <w:t>Bappenas</w:t>
      </w:r>
      <w:proofErr w:type="spellEnd"/>
      <w:r w:rsidRPr="00A03FC8">
        <w:rPr>
          <w:rFonts w:ascii="Arial" w:eastAsia="Calibri" w:hAnsi="Arial" w:cs="Arial"/>
          <w:bCs/>
          <w:sz w:val="22"/>
          <w:szCs w:val="22"/>
        </w:rPr>
        <w:t xml:space="preserve"> looks from national priorities, we look from ministry programs,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xml:space="preserve"> looks from funding, </w:t>
      </w:r>
      <w:proofErr w:type="spellStart"/>
      <w:r w:rsidRPr="00A03FC8">
        <w:rPr>
          <w:rFonts w:ascii="Arial" w:eastAsia="Calibri" w:hAnsi="Arial" w:cs="Arial"/>
          <w:bCs/>
          <w:sz w:val="22"/>
          <w:szCs w:val="22"/>
        </w:rPr>
        <w:t>Kemendagri</w:t>
      </w:r>
      <w:proofErr w:type="spellEnd"/>
      <w:r w:rsidRPr="00A03FC8">
        <w:rPr>
          <w:rFonts w:ascii="Arial" w:eastAsia="Calibri" w:hAnsi="Arial" w:cs="Arial"/>
          <w:bCs/>
          <w:sz w:val="22"/>
          <w:szCs w:val="22"/>
        </w:rPr>
        <w:t xml:space="preserve"> looks from regional scope. So the menu should be a win-win solution. </w:t>
      </w:r>
    </w:p>
    <w:p w14:paraId="6955818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It should be representative. </w:t>
      </w:r>
    </w:p>
    <w:p w14:paraId="10583EB7"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It should be. Although talking with specific Health Offices, they have individual demands we cannot </w:t>
      </w:r>
      <w:proofErr w:type="spellStart"/>
      <w:r w:rsidRPr="00A03FC8">
        <w:rPr>
          <w:rFonts w:ascii="Arial" w:eastAsia="Calibri" w:hAnsi="Arial" w:cs="Arial"/>
          <w:bCs/>
          <w:sz w:val="22"/>
          <w:szCs w:val="22"/>
        </w:rPr>
        <w:t>fulfill</w:t>
      </w:r>
      <w:proofErr w:type="spellEnd"/>
      <w:r w:rsidRPr="00A03FC8">
        <w:rPr>
          <w:rFonts w:ascii="Arial" w:eastAsia="Calibri" w:hAnsi="Arial" w:cs="Arial"/>
          <w:bCs/>
          <w:sz w:val="22"/>
          <w:szCs w:val="22"/>
        </w:rPr>
        <w:t xml:space="preserve"> if we open menus too broadly with limited money. </w:t>
      </w:r>
    </w:p>
    <w:p w14:paraId="246ABE4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So the issued menu is a middle ground of everything. </w:t>
      </w:r>
    </w:p>
    <w:p w14:paraId="2E13AFA5"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It should be, considering the concept I explained earlier. Naturally, we cannot make every region happy. </w:t>
      </w:r>
    </w:p>
    <w:p w14:paraId="444629B4"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[Speaker 2] Regarding procedures for physical DAK itself, have you heard complaints or constraints from regions, such as regarding technical guidelines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or timelines? Have there been any? </w:t>
      </w:r>
    </w:p>
    <w:p w14:paraId="52BAB349"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Frequently heard. That's why we improved, especially regarding physical DAK. Previously we created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via Ministerial Decree (</w:t>
      </w:r>
      <w:proofErr w:type="spellStart"/>
      <w:r w:rsidRPr="00A03FC8">
        <w:rPr>
          <w:rFonts w:ascii="Arial" w:eastAsia="Calibri" w:hAnsi="Arial" w:cs="Arial"/>
          <w:bCs/>
          <w:sz w:val="22"/>
          <w:szCs w:val="22"/>
        </w:rPr>
        <w:t>Kepmenkes</w:t>
      </w:r>
      <w:proofErr w:type="spellEnd"/>
      <w:r w:rsidRPr="00A03FC8">
        <w:rPr>
          <w:rFonts w:ascii="Arial" w:eastAsia="Calibri" w:hAnsi="Arial" w:cs="Arial"/>
          <w:bCs/>
          <w:sz w:val="22"/>
          <w:szCs w:val="22"/>
        </w:rPr>
        <w:t xml:space="preserve">), but because </w:t>
      </w:r>
      <w:proofErr w:type="spellStart"/>
      <w:r w:rsidRPr="00A03FC8">
        <w:rPr>
          <w:rFonts w:ascii="Arial" w:eastAsia="Calibri" w:hAnsi="Arial" w:cs="Arial"/>
          <w:bCs/>
          <w:sz w:val="22"/>
          <w:szCs w:val="22"/>
        </w:rPr>
        <w:t>Kepmenkes</w:t>
      </w:r>
      <w:proofErr w:type="spellEnd"/>
      <w:r w:rsidRPr="00A03FC8">
        <w:rPr>
          <w:rFonts w:ascii="Arial" w:eastAsia="Calibri" w:hAnsi="Arial" w:cs="Arial"/>
          <w:bCs/>
          <w:sz w:val="22"/>
          <w:szCs w:val="22"/>
        </w:rPr>
        <w:t xml:space="preserve"> was considered relatively slower, we agreed to issue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via Presidential Regulation (</w:t>
      </w:r>
      <w:proofErr w:type="spellStart"/>
      <w:r w:rsidRPr="00A03FC8">
        <w:rPr>
          <w:rFonts w:ascii="Arial" w:eastAsia="Calibri" w:hAnsi="Arial" w:cs="Arial"/>
          <w:bCs/>
          <w:sz w:val="22"/>
          <w:szCs w:val="22"/>
        </w:rPr>
        <w:t>Perpres</w:t>
      </w:r>
      <w:proofErr w:type="spellEnd"/>
      <w:r w:rsidRPr="00A03FC8">
        <w:rPr>
          <w:rFonts w:ascii="Arial" w:eastAsia="Calibri" w:hAnsi="Arial" w:cs="Arial"/>
          <w:bCs/>
          <w:sz w:val="22"/>
          <w:szCs w:val="22"/>
        </w:rPr>
        <w:t xml:space="preserve">). It was fast, with no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delay issues because the </w:t>
      </w:r>
      <w:proofErr w:type="spellStart"/>
      <w:r w:rsidRPr="00A03FC8">
        <w:rPr>
          <w:rFonts w:ascii="Arial" w:eastAsia="Calibri" w:hAnsi="Arial" w:cs="Arial"/>
          <w:bCs/>
          <w:sz w:val="22"/>
          <w:szCs w:val="22"/>
        </w:rPr>
        <w:t>Perpres</w:t>
      </w:r>
      <w:proofErr w:type="spellEnd"/>
      <w:r w:rsidRPr="00A03FC8">
        <w:rPr>
          <w:rFonts w:ascii="Arial" w:eastAsia="Calibri" w:hAnsi="Arial" w:cs="Arial"/>
          <w:bCs/>
          <w:sz w:val="22"/>
          <w:szCs w:val="22"/>
        </w:rPr>
        <w:t xml:space="preserve"> was led by DJPK and always on time. So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was in </w:t>
      </w:r>
      <w:proofErr w:type="spellStart"/>
      <w:r w:rsidRPr="00A03FC8">
        <w:rPr>
          <w:rFonts w:ascii="Arial" w:eastAsia="Calibri" w:hAnsi="Arial" w:cs="Arial"/>
          <w:bCs/>
          <w:sz w:val="22"/>
          <w:szCs w:val="22"/>
        </w:rPr>
        <w:t>Perpres</w:t>
      </w:r>
      <w:proofErr w:type="spellEnd"/>
      <w:r w:rsidRPr="00A03FC8">
        <w:rPr>
          <w:rFonts w:ascii="Arial" w:eastAsia="Calibri" w:hAnsi="Arial" w:cs="Arial"/>
          <w:bCs/>
          <w:sz w:val="22"/>
          <w:szCs w:val="22"/>
        </w:rPr>
        <w:t>, operational guidelines (</w:t>
      </w:r>
      <w:proofErr w:type="spellStart"/>
      <w:r w:rsidRPr="00A03FC8">
        <w:rPr>
          <w:rFonts w:ascii="Arial" w:eastAsia="Calibri" w:hAnsi="Arial" w:cs="Arial"/>
          <w:bCs/>
          <w:sz w:val="22"/>
          <w:szCs w:val="22"/>
        </w:rPr>
        <w:t>jukop</w:t>
      </w:r>
      <w:proofErr w:type="spellEnd"/>
      <w:r w:rsidRPr="00A03FC8">
        <w:rPr>
          <w:rFonts w:ascii="Arial" w:eastAsia="Calibri" w:hAnsi="Arial" w:cs="Arial"/>
          <w:bCs/>
          <w:sz w:val="22"/>
          <w:szCs w:val="22"/>
        </w:rPr>
        <w:t xml:space="preserve">) were with us. Over time, </w:t>
      </w:r>
      <w:proofErr w:type="spellStart"/>
      <w:r w:rsidRPr="00A03FC8">
        <w:rPr>
          <w:rFonts w:ascii="Arial" w:eastAsia="Calibri" w:hAnsi="Arial" w:cs="Arial"/>
          <w:bCs/>
          <w:sz w:val="22"/>
          <w:szCs w:val="22"/>
        </w:rPr>
        <w:t>jukop</w:t>
      </w:r>
      <w:proofErr w:type="spellEnd"/>
      <w:r w:rsidRPr="00A03FC8">
        <w:rPr>
          <w:rFonts w:ascii="Arial" w:eastAsia="Calibri" w:hAnsi="Arial" w:cs="Arial"/>
          <w:bCs/>
          <w:sz w:val="22"/>
          <w:szCs w:val="22"/>
        </w:rPr>
        <w:t xml:space="preserve"> became a bottleneck. So we integrated </w:t>
      </w:r>
      <w:proofErr w:type="spellStart"/>
      <w:r w:rsidRPr="00A03FC8">
        <w:rPr>
          <w:rFonts w:ascii="Arial" w:eastAsia="Calibri" w:hAnsi="Arial" w:cs="Arial"/>
          <w:bCs/>
          <w:sz w:val="22"/>
          <w:szCs w:val="22"/>
        </w:rPr>
        <w:t>jukop</w:t>
      </w:r>
      <w:proofErr w:type="spellEnd"/>
      <w:r w:rsidRPr="00A03FC8">
        <w:rPr>
          <w:rFonts w:ascii="Arial" w:eastAsia="Calibri" w:hAnsi="Arial" w:cs="Arial"/>
          <w:bCs/>
          <w:sz w:val="22"/>
          <w:szCs w:val="22"/>
        </w:rPr>
        <w:t xml:space="preserve"> back into detailed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eliminating separate </w:t>
      </w:r>
      <w:proofErr w:type="spellStart"/>
      <w:r w:rsidRPr="00A03FC8">
        <w:rPr>
          <w:rFonts w:ascii="Arial" w:eastAsia="Calibri" w:hAnsi="Arial" w:cs="Arial"/>
          <w:bCs/>
          <w:sz w:val="22"/>
          <w:szCs w:val="22"/>
        </w:rPr>
        <w:t>jukop</w:t>
      </w:r>
      <w:proofErr w:type="spellEnd"/>
      <w:r w:rsidRPr="00A03FC8">
        <w:rPr>
          <w:rFonts w:ascii="Arial" w:eastAsia="Calibri" w:hAnsi="Arial" w:cs="Arial"/>
          <w:bCs/>
          <w:sz w:val="22"/>
          <w:szCs w:val="22"/>
        </w:rPr>
        <w:t xml:space="preserve">. For several years that wasn't an issue. Recently, especially since the presidential transition from Pak Jokowi to Pak Prabowo, policy shifts occurred at SETCAB. But we improved again: since 2025, our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no longer states specific fiscal years. Expectation is that the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remains long-lasting and usable from the beginning of the year, provided menus aren't brand new. </w:t>
      </w:r>
    </w:p>
    <w:p w14:paraId="5F7CC9A4"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So regions don't have to wait. </w:t>
      </w:r>
    </w:p>
    <w:p w14:paraId="5150756A"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lastRenderedPageBreak/>
        <w:t xml:space="preserve">[Speaker 1] No more excuses. But in practice, many still cite regional head transitions during Q1 as excuses for delayed APBD regulations, KPA/PPK appointments, and tenders. Reasons will always exist—citing </w:t>
      </w:r>
      <w:proofErr w:type="spellStart"/>
      <w:r w:rsidRPr="00A03FC8">
        <w:rPr>
          <w:rFonts w:ascii="Arial" w:eastAsia="Calibri" w:hAnsi="Arial" w:cs="Arial"/>
          <w:bCs/>
          <w:sz w:val="22"/>
          <w:szCs w:val="22"/>
        </w:rPr>
        <w:t>juknis</w:t>
      </w:r>
      <w:proofErr w:type="spellEnd"/>
      <w:r w:rsidRPr="00A03FC8">
        <w:rPr>
          <w:rFonts w:ascii="Arial" w:eastAsia="Calibri" w:hAnsi="Arial" w:cs="Arial"/>
          <w:bCs/>
          <w:sz w:val="22"/>
          <w:szCs w:val="22"/>
        </w:rPr>
        <w:t xml:space="preserve">, local elections, or other excuses. In principle, these can be resolved through coordination; the main problem is coordination. </w:t>
      </w:r>
    </w:p>
    <w:p w14:paraId="16B53F5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With WhatsApp groups acting as platforms, is that the sole medium for regions to convey operational feedback, or are there other platforms provided by MOH? </w:t>
      </w:r>
    </w:p>
    <w:p w14:paraId="424CED83"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WhatsApp, Instagram, and Telegram serve as platforms. But in WhatsApp, active participants are predictable—usually East Java, Central Java. A challenge occurs when active Person A gets transferred and replaced by Person B. Person A doesn't always communicate with Person B, remaining in the group while Person B isn't added. We cannot track all 514 regencies/cities individually. We also share public contact numbers and maintain official websites, though website access remains low. We maintain two groups: DAK WhatsApp for provinces, and Monitoring WhatsApp for all regencies/cities. Sometimes provincial contacts fail to forward info to regencies/cities. For inactive regions, no matter what facilities we provide, it lacks impact. </w:t>
      </w:r>
    </w:p>
    <w:p w14:paraId="1C4097CE"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In your view, could representation be asymmetrical, where vocal regions like Java get heard while passive ones like Papua get left behind? </w:t>
      </w:r>
    </w:p>
    <w:p w14:paraId="750C6BC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I don't see it that way. What frequently happens is internal misalignment: planning staff attend our meetings, budgeting staff submit proposals, technical staff execute, and a fourth person monitors. These four people don't communicate within the same health office. Info given to group members doesn't reach budget officers or technical heads. Thus for Activity Plan (RK) activities, we invite Health Office Heads alongside </w:t>
      </w:r>
      <w:proofErr w:type="spellStart"/>
      <w:r w:rsidRPr="00A03FC8">
        <w:rPr>
          <w:rFonts w:ascii="Arial" w:eastAsia="Calibri" w:hAnsi="Arial" w:cs="Arial"/>
          <w:bCs/>
          <w:sz w:val="22"/>
          <w:szCs w:val="22"/>
        </w:rPr>
        <w:t>Bapeda</w:t>
      </w:r>
      <w:proofErr w:type="spellEnd"/>
      <w:r w:rsidRPr="00A03FC8">
        <w:rPr>
          <w:rFonts w:ascii="Arial" w:eastAsia="Calibri" w:hAnsi="Arial" w:cs="Arial"/>
          <w:bCs/>
          <w:sz w:val="22"/>
          <w:szCs w:val="22"/>
        </w:rPr>
        <w:t xml:space="preserve"> Heads. Misalignments happen even across local agencies. For example, during Presidential Instruction No. 1 on efficiency, it stated holding back transfer funds, but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xml:space="preserve"> Regulation 29 exempted health. We informed regions that health DAK wasn't held back, but local </w:t>
      </w:r>
      <w:proofErr w:type="spellStart"/>
      <w:r w:rsidRPr="00A03FC8">
        <w:rPr>
          <w:rFonts w:ascii="Arial" w:eastAsia="Calibri" w:hAnsi="Arial" w:cs="Arial"/>
          <w:bCs/>
          <w:sz w:val="22"/>
          <w:szCs w:val="22"/>
        </w:rPr>
        <w:t>Bapeda</w:t>
      </w:r>
      <w:proofErr w:type="spellEnd"/>
      <w:r w:rsidRPr="00A03FC8">
        <w:rPr>
          <w:rFonts w:ascii="Arial" w:eastAsia="Calibri" w:hAnsi="Arial" w:cs="Arial"/>
          <w:bCs/>
          <w:sz w:val="22"/>
          <w:szCs w:val="22"/>
        </w:rPr>
        <w:t xml:space="preserve"> doubted it, preferring the Presidential Instruction over the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xml:space="preserve"> regulation. Coordination across agencies is what's difficult. </w:t>
      </w:r>
    </w:p>
    <w:p w14:paraId="7890EA51"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Regarding regional complaints, from MOH's perspective... </w:t>
      </w:r>
    </w:p>
    <w:p w14:paraId="6A7A2AD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The most effective format used to be annual in-person forums. Though in-person desk sessions carry risk mitigation concerns (potential abuse of direct meetings), face-to-face dialogue allowed immediate clarification. In Zoom calls, leadership might be assigned elsewhere and assign low priority to listening without addressing field issues. We used to have </w:t>
      </w:r>
      <w:proofErr w:type="spellStart"/>
      <w:r w:rsidRPr="00A03FC8">
        <w:rPr>
          <w:rFonts w:ascii="Arial" w:eastAsia="Calibri" w:hAnsi="Arial" w:cs="Arial"/>
          <w:bCs/>
          <w:sz w:val="22"/>
          <w:szCs w:val="22"/>
        </w:rPr>
        <w:t>Rakerkesnas</w:t>
      </w:r>
      <w:proofErr w:type="spellEnd"/>
      <w:r w:rsidRPr="00A03FC8">
        <w:rPr>
          <w:rFonts w:ascii="Arial" w:eastAsia="Calibri" w:hAnsi="Arial" w:cs="Arial"/>
          <w:bCs/>
          <w:sz w:val="22"/>
          <w:szCs w:val="22"/>
        </w:rPr>
        <w:t xml:space="preserve">, but it no longer exists—likely due to cost efficiency. But such forums are needed to hear regional experiences directly. </w:t>
      </w:r>
    </w:p>
    <w:p w14:paraId="6BCB9A2E"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So online Zoom desks reduced dialogue quality? </w:t>
      </w:r>
    </w:p>
    <w:p w14:paraId="7CE6C97F"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Unless the desk is system-based. In-depth interview desks verify data. In-person, participants learn directly from peers beside them. On Zoom, staff might split </w:t>
      </w:r>
      <w:r w:rsidRPr="00A03FC8">
        <w:rPr>
          <w:rFonts w:ascii="Arial" w:eastAsia="Calibri" w:hAnsi="Arial" w:cs="Arial"/>
          <w:bCs/>
          <w:sz w:val="22"/>
          <w:szCs w:val="22"/>
        </w:rPr>
        <w:lastRenderedPageBreak/>
        <w:t xml:space="preserve">attention across multiple meetings or tasks simultaneously, making it ineffective. Before 2016, DAK was formula-based, which was effective for risk mitigation—no direct transactions, purely formula-driven. The drawback was low fiscal capacity regions always won allocation while high fiscal capacity ones didn't, even when needed. Formula criteria should be refined beyond fiscal capacity. Now we get tied up in regional cases—like East </w:t>
      </w:r>
      <w:proofErr w:type="spellStart"/>
      <w:r w:rsidRPr="00A03FC8">
        <w:rPr>
          <w:rFonts w:ascii="Arial" w:eastAsia="Calibri" w:hAnsi="Arial" w:cs="Arial"/>
          <w:bCs/>
          <w:sz w:val="22"/>
          <w:szCs w:val="22"/>
        </w:rPr>
        <w:t>Kolaka</w:t>
      </w:r>
      <w:proofErr w:type="spellEnd"/>
      <w:r w:rsidRPr="00A03FC8">
        <w:rPr>
          <w:rFonts w:ascii="Arial" w:eastAsia="Calibri" w:hAnsi="Arial" w:cs="Arial"/>
          <w:bCs/>
          <w:sz w:val="22"/>
          <w:szCs w:val="22"/>
        </w:rPr>
        <w:t xml:space="preserve">—where we get summoned by KPK to explain planning processes, even though planning processes are logged transparently in Krisna. </w:t>
      </w:r>
    </w:p>
    <w:p w14:paraId="3CCD17D4"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Were there previous forums like </w:t>
      </w:r>
      <w:proofErr w:type="spellStart"/>
      <w:r w:rsidRPr="00A03FC8">
        <w:rPr>
          <w:rFonts w:ascii="Arial" w:eastAsia="Calibri" w:hAnsi="Arial" w:cs="Arial"/>
          <w:bCs/>
          <w:sz w:val="22"/>
          <w:szCs w:val="22"/>
        </w:rPr>
        <w:t>Rakerkesnas</w:t>
      </w:r>
      <w:proofErr w:type="spellEnd"/>
      <w:r w:rsidRPr="00A03FC8">
        <w:rPr>
          <w:rFonts w:ascii="Arial" w:eastAsia="Calibri" w:hAnsi="Arial" w:cs="Arial"/>
          <w:bCs/>
          <w:sz w:val="22"/>
          <w:szCs w:val="22"/>
        </w:rPr>
        <w:t xml:space="preserve">? </w:t>
      </w:r>
    </w:p>
    <w:p w14:paraId="2318024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Yes, forums like Raker POK for provincial heads or Raker Krisna. Ministries presented priority programs, and we presented DAK. These no longer exist post-COVID/SDGs. Operational authorities for desk verification remained the same under </w:t>
      </w:r>
      <w:proofErr w:type="spellStart"/>
      <w:r w:rsidRPr="00A03FC8">
        <w:rPr>
          <w:rFonts w:ascii="Arial" w:eastAsia="Calibri" w:hAnsi="Arial" w:cs="Arial"/>
          <w:bCs/>
          <w:sz w:val="22"/>
          <w:szCs w:val="22"/>
        </w:rPr>
        <w:t>SecGen</w:t>
      </w:r>
      <w:proofErr w:type="spellEnd"/>
      <w:r w:rsidRPr="00A03FC8">
        <w:rPr>
          <w:rFonts w:ascii="Arial" w:eastAsia="Calibri" w:hAnsi="Arial" w:cs="Arial"/>
          <w:bCs/>
          <w:sz w:val="22"/>
          <w:szCs w:val="22"/>
        </w:rPr>
        <w:t xml:space="preserve"> decrees, but in-person collaboration allowed quick desk-to-desk resolution, whereas Zoom desks scatter focus. </w:t>
      </w:r>
    </w:p>
    <w:p w14:paraId="6B1B09BE"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Are there other factors facilitating regional access to DAK? </w:t>
      </w:r>
    </w:p>
    <w:p w14:paraId="0751BC95"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We are designing a Technical Index formula, which will be shared with regions prior to proposal submission. Regions can self-assess their eligibility and potential allocation using the index. This will start for primary care in 2027 (or 2026). Currently, if a region needs 50 units, they propose 100 expecting cuts. The index aims for realistic proposals. Additionally, accurate baseline data is lacking; ASPAK data requires significant updating, and IRENGA monitoring participation remains low. Unlike </w:t>
      </w:r>
      <w:proofErr w:type="spellStart"/>
      <w:r w:rsidRPr="00A03FC8">
        <w:rPr>
          <w:rFonts w:ascii="Arial" w:eastAsia="Calibri" w:hAnsi="Arial" w:cs="Arial"/>
          <w:bCs/>
          <w:sz w:val="22"/>
          <w:szCs w:val="22"/>
        </w:rPr>
        <w:t>Kemenkeu</w:t>
      </w:r>
      <w:proofErr w:type="spellEnd"/>
      <w:r w:rsidRPr="00A03FC8">
        <w:rPr>
          <w:rFonts w:ascii="Arial" w:eastAsia="Calibri" w:hAnsi="Arial" w:cs="Arial"/>
          <w:bCs/>
          <w:sz w:val="22"/>
          <w:szCs w:val="22"/>
        </w:rPr>
        <w:t>, we lack enforcement authority ("stick and carrot") to mandate data input. Budget politicization also exists legally via legislative constituent proposals (</w:t>
      </w:r>
      <w:proofErr w:type="spellStart"/>
      <w:r w:rsidRPr="00A03FC8">
        <w:rPr>
          <w:rFonts w:ascii="Arial" w:eastAsia="Calibri" w:hAnsi="Arial" w:cs="Arial"/>
          <w:bCs/>
          <w:sz w:val="22"/>
          <w:szCs w:val="22"/>
        </w:rPr>
        <w:t>pokir</w:t>
      </w:r>
      <w:proofErr w:type="spellEnd"/>
      <w:r w:rsidRPr="00A03FC8">
        <w:rPr>
          <w:rFonts w:ascii="Arial" w:eastAsia="Calibri" w:hAnsi="Arial" w:cs="Arial"/>
          <w:bCs/>
          <w:sz w:val="22"/>
          <w:szCs w:val="22"/>
        </w:rPr>
        <w:t xml:space="preserve">/aspirations). We adjust those to meet our technical criteria. Now, loci are determined by combining our technical index, </w:t>
      </w:r>
      <w:proofErr w:type="spellStart"/>
      <w:r w:rsidRPr="00A03FC8">
        <w:rPr>
          <w:rFonts w:ascii="Arial" w:eastAsia="Calibri" w:hAnsi="Arial" w:cs="Arial"/>
          <w:bCs/>
          <w:sz w:val="22"/>
          <w:szCs w:val="22"/>
        </w:rPr>
        <w:t>Bappenas</w:t>
      </w:r>
      <w:proofErr w:type="spellEnd"/>
      <w:r w:rsidRPr="00A03FC8">
        <w:rPr>
          <w:rFonts w:ascii="Arial" w:eastAsia="Calibri" w:hAnsi="Arial" w:cs="Arial"/>
          <w:bCs/>
          <w:sz w:val="22"/>
          <w:szCs w:val="22"/>
        </w:rPr>
        <w:t xml:space="preserve"> criteria, and </w:t>
      </w:r>
      <w:proofErr w:type="spellStart"/>
      <w:r w:rsidRPr="00A03FC8">
        <w:rPr>
          <w:rFonts w:ascii="Arial" w:eastAsia="Calibri" w:hAnsi="Arial" w:cs="Arial"/>
          <w:bCs/>
          <w:sz w:val="22"/>
          <w:szCs w:val="22"/>
        </w:rPr>
        <w:t>Kemendagri</w:t>
      </w:r>
      <w:proofErr w:type="spellEnd"/>
      <w:r w:rsidRPr="00A03FC8">
        <w:rPr>
          <w:rFonts w:ascii="Arial" w:eastAsia="Calibri" w:hAnsi="Arial" w:cs="Arial"/>
          <w:bCs/>
          <w:sz w:val="22"/>
          <w:szCs w:val="22"/>
        </w:rPr>
        <w:t xml:space="preserve"> criteria. ASPAK data upgrades (ASPAK 2.0) are being developed primarily for projects like SOPI/Impulse procurement tracking rather than baseline equipment condition data. </w:t>
      </w:r>
    </w:p>
    <w:p w14:paraId="65BC4BA9"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Besides formulas, do regional heads play a role in maximizing DAK utilization? </w:t>
      </w:r>
    </w:p>
    <w:p w14:paraId="03AF80B1"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When targets aren't met, it becomes a burden on regional APBD. Regional heads play a key role during APBD verification. However, misuse issues occur during field implementation, not planning. Regents should actively supervise projects and review inspectorate evaluations before disbursement submissions. Often regents are unaware, making communication with Health Office Heads and Hospital Directors crucial. </w:t>
      </w:r>
    </w:p>
    <w:p w14:paraId="7EE8C829"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Any final statements, Pak Andri? Who is this study target audience? </w:t>
      </w:r>
    </w:p>
    <w:p w14:paraId="4353C022"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1] This policy brief is intended for the World Bank and Ministry of Health. First, I hope direct dialogue forums return to hear regional input. Second, physical DAK remains essential as the primary infrastructure assistance regions rely on. The main issue is quality; output quality depends on regional capacity. The solution is not recentralizing procurement </w:t>
      </w:r>
      <w:r w:rsidRPr="00A03FC8">
        <w:rPr>
          <w:rFonts w:ascii="Arial" w:eastAsia="Calibri" w:hAnsi="Arial" w:cs="Arial"/>
          <w:bCs/>
          <w:sz w:val="22"/>
          <w:szCs w:val="22"/>
        </w:rPr>
        <w:lastRenderedPageBreak/>
        <w:t xml:space="preserve">to the central government, but improving regional capacity. Recentralizing renders regions entirely dependent, contradicting decentralization laws. Currently, up to 70-80% of some regional APBDs go solely to employee salaries, leaving minimal room for programs without DAK. Centralized execution might work as a short-term fix, but capable regions should retain management. </w:t>
      </w:r>
    </w:p>
    <w:p w14:paraId="7EFEC020" w14:textId="77777777" w:rsidR="00A03FC8" w:rsidRPr="00A03FC8" w:rsidRDefault="00A03FC8" w:rsidP="00A03FC8">
      <w:pPr>
        <w:spacing w:line="360" w:lineRule="auto"/>
        <w:rPr>
          <w:rFonts w:ascii="Arial" w:eastAsia="Calibri" w:hAnsi="Arial" w:cs="Arial"/>
          <w:bCs/>
          <w:sz w:val="22"/>
          <w:szCs w:val="22"/>
        </w:rPr>
      </w:pPr>
      <w:r w:rsidRPr="00A03FC8">
        <w:rPr>
          <w:rFonts w:ascii="Arial" w:eastAsia="Calibri" w:hAnsi="Arial" w:cs="Arial"/>
          <w:bCs/>
          <w:sz w:val="22"/>
          <w:szCs w:val="22"/>
        </w:rPr>
        <w:t xml:space="preserve">[Speaker 2] Thank you very much, Pak Andri. We will conclude the recording. </w:t>
      </w:r>
    </w:p>
    <w:p w14:paraId="00000130" w14:textId="09258541" w:rsidR="004C0D68" w:rsidRPr="00A03FC8" w:rsidRDefault="004C0D68" w:rsidP="00A03FC8">
      <w:pPr>
        <w:spacing w:line="360" w:lineRule="auto"/>
        <w:rPr>
          <w:rFonts w:ascii="Arial" w:hAnsi="Arial" w:cs="Arial"/>
          <w:bCs/>
          <w:sz w:val="22"/>
          <w:szCs w:val="22"/>
        </w:rPr>
      </w:pPr>
    </w:p>
    <w:sectPr w:rsidR="004C0D68" w:rsidRPr="00A03FC8">
      <w:footerReference w:type="even" r:id="rId7"/>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C8DDA4" w14:textId="77777777" w:rsidR="00D5096D" w:rsidRDefault="00D5096D" w:rsidP="008D48B2">
      <w:r>
        <w:separator/>
      </w:r>
    </w:p>
  </w:endnote>
  <w:endnote w:type="continuationSeparator" w:id="0">
    <w:p w14:paraId="6E856FBF" w14:textId="77777777" w:rsidR="00D5096D" w:rsidRDefault="00D5096D" w:rsidP="008D4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09070C5-8B92-BC40-8A17-41C5385E282F}"/>
    <w:embedBold r:id="rId2" w:fontKey="{CF786597-2196-7C4B-A7E3-CD2229E24D3F}"/>
    <w:embedItalic r:id="rId3" w:fontKey="{23C2134C-F1C0-B64C-81CC-82794309EF65}"/>
  </w:font>
  <w:font w:name="Georgia">
    <w:panose1 w:val="02040502050405020303"/>
    <w:charset w:val="00"/>
    <w:family w:val="roman"/>
    <w:pitch w:val="variable"/>
    <w:sig w:usb0="00000287" w:usb1="00000000" w:usb2="00000000" w:usb3="00000000" w:csb0="0000009F" w:csb1="00000000"/>
    <w:embedRegular r:id="rId4" w:fontKey="{BA073583-8CA1-564C-A9A1-192D948A7073}"/>
    <w:embedItalic r:id="rId5" w:fontKey="{0F7B1A10-2E6A-0F49-8C18-BB3991F645F3}"/>
  </w:font>
  <w:font w:name="Arial">
    <w:panose1 w:val="020B0604020202020204"/>
    <w:charset w:val="00"/>
    <w:family w:val="swiss"/>
    <w:pitch w:val="variable"/>
    <w:sig w:usb0="E0002AFF" w:usb1="C0007843" w:usb2="00000009" w:usb3="00000000" w:csb0="000001FF" w:csb1="00000000"/>
    <w:embedRegular r:id="rId6" w:fontKey="{0DF16F34-B959-774F-8ED4-63E8B8240F8D}"/>
    <w:embedBold r:id="rId7" w:fontKey="{DF94E8DE-5396-D944-8290-3E64113F04FD}"/>
  </w:font>
  <w:font w:name="Calibri">
    <w:panose1 w:val="020F0502020204030204"/>
    <w:charset w:val="00"/>
    <w:family w:val="swiss"/>
    <w:pitch w:val="variable"/>
    <w:sig w:usb0="E4002EFF" w:usb1="C000247B" w:usb2="00000009" w:usb3="00000000" w:csb0="000001FF" w:csb1="00000000"/>
    <w:embedRegular r:id="rId8" w:fontKey="{0FD15B74-6616-5846-8700-56B010F08CD4}"/>
    <w:embedBold r:id="rId9" w:fontKey="{AB393CDC-D88B-F14B-B02A-EC12830AE43A}"/>
  </w:font>
  <w:font w:name="Cambria">
    <w:panose1 w:val="02040503050406030204"/>
    <w:charset w:val="00"/>
    <w:family w:val="roman"/>
    <w:pitch w:val="variable"/>
    <w:sig w:usb0="E00002FF" w:usb1="400004FF" w:usb2="00000000" w:usb3="00000000" w:csb0="0000019F" w:csb1="00000000"/>
    <w:embedRegular r:id="rId10" w:fontKey="{AC8CD2D8-7BE7-BF45-9C62-84ED777826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1525193"/>
      <w:docPartObj>
        <w:docPartGallery w:val="Page Numbers (Bottom of Page)"/>
        <w:docPartUnique/>
      </w:docPartObj>
    </w:sdtPr>
    <w:sdtContent>
      <w:p w14:paraId="34BF6440" w14:textId="1739D602" w:rsidR="008D48B2" w:rsidRDefault="008D48B2"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B8B332" w14:textId="77777777" w:rsidR="008D48B2" w:rsidRDefault="008D48B2" w:rsidP="008D48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728419"/>
      <w:docPartObj>
        <w:docPartGallery w:val="Page Numbers (Bottom of Page)"/>
        <w:docPartUnique/>
      </w:docPartObj>
    </w:sdtPr>
    <w:sdtContent>
      <w:p w14:paraId="6BBD901A" w14:textId="2966250D" w:rsidR="008D48B2" w:rsidRDefault="008D48B2"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EE5AA28" w14:textId="77777777" w:rsidR="008D48B2" w:rsidRDefault="008D48B2" w:rsidP="008D48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C03F6" w14:textId="77777777" w:rsidR="00D5096D" w:rsidRDefault="00D5096D" w:rsidP="008D48B2">
      <w:r>
        <w:separator/>
      </w:r>
    </w:p>
  </w:footnote>
  <w:footnote w:type="continuationSeparator" w:id="0">
    <w:p w14:paraId="00488B6C" w14:textId="77777777" w:rsidR="00D5096D" w:rsidRDefault="00D5096D" w:rsidP="008D48B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D68"/>
    <w:rsid w:val="004C0D68"/>
    <w:rsid w:val="00565E16"/>
    <w:rsid w:val="007A3944"/>
    <w:rsid w:val="008D48B2"/>
    <w:rsid w:val="00A03FC8"/>
    <w:rsid w:val="00AB23BC"/>
    <w:rsid w:val="00D5096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1A22514"/>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8D48B2"/>
    <w:pPr>
      <w:tabs>
        <w:tab w:val="center" w:pos="4680"/>
        <w:tab w:val="right" w:pos="9360"/>
      </w:tabs>
    </w:pPr>
  </w:style>
  <w:style w:type="character" w:customStyle="1" w:styleId="FooterChar">
    <w:name w:val="Footer Char"/>
    <w:basedOn w:val="DefaultParagraphFont"/>
    <w:link w:val="Footer"/>
    <w:uiPriority w:val="99"/>
    <w:rsid w:val="008D48B2"/>
  </w:style>
  <w:style w:type="character" w:styleId="PageNumber">
    <w:name w:val="page number"/>
    <w:basedOn w:val="DefaultParagraphFont"/>
    <w:uiPriority w:val="99"/>
    <w:semiHidden/>
    <w:unhideWhenUsed/>
    <w:rsid w:val="008D4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500609">
      <w:bodyDiv w:val="1"/>
      <w:marLeft w:val="0"/>
      <w:marRight w:val="0"/>
      <w:marTop w:val="0"/>
      <w:marBottom w:val="0"/>
      <w:divBdr>
        <w:top w:val="none" w:sz="0" w:space="0" w:color="auto"/>
        <w:left w:val="none" w:sz="0" w:space="0" w:color="auto"/>
        <w:bottom w:val="none" w:sz="0" w:space="0" w:color="auto"/>
        <w:right w:val="none" w:sz="0" w:space="0" w:color="auto"/>
      </w:divBdr>
    </w:div>
    <w:div w:id="214900799">
      <w:bodyDiv w:val="1"/>
      <w:marLeft w:val="0"/>
      <w:marRight w:val="0"/>
      <w:marTop w:val="0"/>
      <w:marBottom w:val="0"/>
      <w:divBdr>
        <w:top w:val="none" w:sz="0" w:space="0" w:color="auto"/>
        <w:left w:val="none" w:sz="0" w:space="0" w:color="auto"/>
        <w:bottom w:val="none" w:sz="0" w:space="0" w:color="auto"/>
        <w:right w:val="none" w:sz="0" w:space="0" w:color="auto"/>
      </w:divBdr>
    </w:div>
    <w:div w:id="959922264">
      <w:bodyDiv w:val="1"/>
      <w:marLeft w:val="0"/>
      <w:marRight w:val="0"/>
      <w:marTop w:val="0"/>
      <w:marBottom w:val="0"/>
      <w:divBdr>
        <w:top w:val="none" w:sz="0" w:space="0" w:color="auto"/>
        <w:left w:val="none" w:sz="0" w:space="0" w:color="auto"/>
        <w:bottom w:val="none" w:sz="0" w:space="0" w:color="auto"/>
        <w:right w:val="none" w:sz="0" w:space="0" w:color="auto"/>
      </w:divBdr>
    </w:div>
    <w:div w:id="97166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zSOPPVHprwgib4yFTIJShQy2g==">CgMxLjA4AHIhMTRrU0VIMTEtWVB3MDBYY3daZW4xZGlnZTZnckFfUm9H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3547</Words>
  <Characters>20220</Characters>
  <Application>Microsoft Office Word</Application>
  <DocSecurity>0</DocSecurity>
  <Lines>168</Lines>
  <Paragraphs>47</Paragraphs>
  <ScaleCrop>false</ScaleCrop>
  <Company/>
  <LinksUpToDate>false</LinksUpToDate>
  <CharactersWithSpaces>23720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TurboScribe.ai</dc:creator>
  <cp:lastModifiedBy>Cynthia Febrina Maharani</cp:lastModifiedBy>
  <cp:revision>4</cp:revision>
  <dcterms:created xsi:type="dcterms:W3CDTF">2026-08-31T02:01:00Z</dcterms:created>
  <dcterms:modified xsi:type="dcterms:W3CDTF">2026-08-31T15:13:00Z</dcterms:modified>
</cp:coreProperties>
</file>