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CONSORT 2025 checklist of information to include when reporting a randomised trial* </w:t>
      </w:r>
    </w:p>
    <w:tbl>
      <w:tblPr>
        <w:tblStyle w:val="Table1"/>
        <w:tblW w:w="14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992"/>
        <w:gridCol w:w="9356"/>
        <w:gridCol w:w="1417"/>
        <w:tblGridChange w:id="0">
          <w:tblGrid>
            <w:gridCol w:w="2547"/>
            <w:gridCol w:w="992"/>
            <w:gridCol w:w="9356"/>
            <w:gridCol w:w="1417"/>
          </w:tblGrid>
        </w:tblGridChange>
      </w:tblGrid>
      <w:tr>
        <w:trPr>
          <w:cantSplit w:val="0"/>
          <w:trHeight w:val="276" w:hRule="atLeast"/>
          <w:tblHeader w:val="0"/>
        </w:trPr>
        <w:tc>
          <w:tcPr>
            <w:shd w:fill="bfbfbf" w:val="clear"/>
          </w:tcPr>
          <w:p w:rsidR="00000000" w:rsidDel="00000000" w:rsidP="00000000" w:rsidRDefault="00000000" w:rsidRPr="00000000" w14:paraId="00000002">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Section / Topic</w:t>
            </w:r>
          </w:p>
          <w:p w:rsidR="00000000" w:rsidDel="00000000" w:rsidP="00000000" w:rsidRDefault="00000000" w:rsidRPr="00000000" w14:paraId="00000003">
            <w:pPr>
              <w:spacing w:line="240" w:lineRule="auto"/>
              <w:rPr>
                <w:rFonts w:ascii="Calibri" w:cs="Calibri" w:eastAsia="Calibri" w:hAnsi="Calibri"/>
                <w:b w:val="1"/>
                <w:bCs w:val="1"/>
                <w:color w:val="000000"/>
                <w:sz w:val="22"/>
                <w:szCs w:val="22"/>
              </w:rPr>
            </w:pPr>
            <w:r w:rsidDel="00000000" w:rsidR="00000000" w:rsidRPr="00000000">
              <w:rPr>
                <w:rtl w:val="0"/>
              </w:rPr>
            </w:r>
          </w:p>
        </w:tc>
        <w:tc>
          <w:tcPr>
            <w:shd w:fill="bfbfbf" w:val="clear"/>
          </w:tcPr>
          <w:p w:rsidR="00000000" w:rsidDel="00000000" w:rsidP="00000000" w:rsidRDefault="00000000" w:rsidRPr="00000000" w14:paraId="00000004">
            <w:pPr>
              <w:spacing w:line="240"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No</w:t>
            </w:r>
          </w:p>
        </w:tc>
        <w:tc>
          <w:tcPr>
            <w:shd w:fill="bfbfbf" w:val="clear"/>
          </w:tcPr>
          <w:p w:rsidR="00000000" w:rsidDel="00000000" w:rsidP="00000000" w:rsidRDefault="00000000" w:rsidRPr="00000000" w14:paraId="00000005">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CONSORT 2025 checklist item description</w:t>
            </w:r>
          </w:p>
        </w:tc>
        <w:tc>
          <w:tcPr>
            <w:shd w:fill="bfbfbf" w:val="clear"/>
          </w:tcPr>
          <w:p w:rsidR="00000000" w:rsidDel="00000000" w:rsidP="00000000" w:rsidRDefault="00000000" w:rsidRPr="00000000" w14:paraId="00000006">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Reported on page no.</w:t>
            </w:r>
          </w:p>
        </w:tc>
      </w:tr>
      <w:tr>
        <w:trPr>
          <w:cantSplit w:val="0"/>
          <w:trHeight w:val="268" w:hRule="atLeast"/>
          <w:tblHeader w:val="0"/>
        </w:trPr>
        <w:tc>
          <w:tcPr>
            <w:gridSpan w:val="3"/>
            <w:shd w:fill="c6d9f1" w:val="clear"/>
          </w:tcPr>
          <w:p w:rsidR="00000000" w:rsidDel="00000000" w:rsidP="00000000" w:rsidRDefault="00000000" w:rsidRPr="00000000" w14:paraId="00000007">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Title and abstract</w:t>
            </w:r>
          </w:p>
        </w:tc>
        <w:tc>
          <w:tcPr>
            <w:shd w:fill="c6d9f1" w:val="clear"/>
          </w:tcPr>
          <w:p w:rsidR="00000000" w:rsidDel="00000000" w:rsidP="00000000" w:rsidRDefault="00000000" w:rsidRPr="00000000" w14:paraId="0000000A">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76" w:hRule="atLeast"/>
          <w:tblHeader w:val="0"/>
        </w:trPr>
        <w:tc>
          <w:tcPr>
            <w:vMerge w:val="restart"/>
          </w:tcPr>
          <w:p w:rsidR="00000000" w:rsidDel="00000000" w:rsidP="00000000" w:rsidRDefault="00000000" w:rsidRPr="00000000" w14:paraId="0000000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Title and structured abstract</w:t>
            </w:r>
          </w:p>
        </w:tc>
        <w:tc>
          <w:tcPr/>
          <w:p w:rsidR="00000000" w:rsidDel="00000000" w:rsidP="00000000" w:rsidRDefault="00000000" w:rsidRPr="00000000" w14:paraId="0000000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1a</w:t>
            </w:r>
          </w:p>
        </w:tc>
        <w:tc>
          <w:tcPr/>
          <w:p w:rsidR="00000000" w:rsidDel="00000000" w:rsidP="00000000" w:rsidRDefault="00000000" w:rsidRPr="00000000" w14:paraId="0000000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Identification as a randomised trial </w:t>
            </w:r>
          </w:p>
        </w:tc>
        <w:tc>
          <w:tcPr/>
          <w:p w:rsidR="00000000" w:rsidDel="00000000" w:rsidP="00000000" w:rsidRDefault="00000000" w:rsidRPr="00000000" w14:paraId="0000000E">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 (title); Page 2 (abstract)</w:t>
            </w:r>
            <w:r w:rsidDel="00000000" w:rsidR="00000000" w:rsidRPr="00000000">
              <w:rPr>
                <w:rtl w:val="0"/>
              </w:rPr>
            </w:r>
          </w:p>
        </w:tc>
      </w:tr>
      <w:tr>
        <w:trPr>
          <w:cantSplit w:val="0"/>
          <w:trHeight w:val="418"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1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1b</w:t>
            </w:r>
          </w:p>
        </w:tc>
        <w:tc>
          <w:tcPr/>
          <w:p w:rsidR="00000000" w:rsidDel="00000000" w:rsidP="00000000" w:rsidRDefault="00000000" w:rsidRPr="00000000" w14:paraId="0000001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Structured summary of the trial design, methods, results, and conclusions</w:t>
            </w:r>
          </w:p>
        </w:tc>
        <w:tc>
          <w:tcPr/>
          <w:p w:rsidR="00000000" w:rsidDel="00000000" w:rsidP="00000000" w:rsidRDefault="00000000" w:rsidRPr="00000000" w14:paraId="00000012">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2</w:t>
            </w:r>
            <w:r w:rsidDel="00000000" w:rsidR="00000000" w:rsidRPr="00000000">
              <w:rPr>
                <w:rtl w:val="0"/>
              </w:rPr>
            </w:r>
          </w:p>
        </w:tc>
      </w:tr>
      <w:tr>
        <w:trPr>
          <w:cantSplit w:val="0"/>
          <w:trHeight w:val="276" w:hRule="atLeast"/>
          <w:tblHeader w:val="0"/>
        </w:trPr>
        <w:tc>
          <w:tcPr>
            <w:gridSpan w:val="3"/>
            <w:shd w:fill="bdd7ee" w:val="clear"/>
          </w:tcPr>
          <w:p w:rsidR="00000000" w:rsidDel="00000000" w:rsidP="00000000" w:rsidRDefault="00000000" w:rsidRPr="00000000" w14:paraId="00000013">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Open science</w:t>
            </w:r>
          </w:p>
        </w:tc>
        <w:tc>
          <w:tcPr>
            <w:shd w:fill="c6d9f1" w:val="clear"/>
          </w:tcPr>
          <w:p w:rsidR="00000000" w:rsidDel="00000000" w:rsidP="00000000" w:rsidRDefault="00000000" w:rsidRPr="00000000" w14:paraId="00000016">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72" w:hRule="atLeast"/>
          <w:tblHeader w:val="0"/>
        </w:trPr>
        <w:tc>
          <w:tcPr/>
          <w:p w:rsidR="00000000" w:rsidDel="00000000" w:rsidP="00000000" w:rsidRDefault="00000000" w:rsidRPr="00000000" w14:paraId="00000017">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Trial registration</w:t>
            </w:r>
          </w:p>
        </w:tc>
        <w:tc>
          <w:tcPr/>
          <w:p w:rsidR="00000000" w:rsidDel="00000000" w:rsidP="00000000" w:rsidRDefault="00000000" w:rsidRPr="00000000" w14:paraId="00000018">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p w:rsidR="00000000" w:rsidDel="00000000" w:rsidP="00000000" w:rsidRDefault="00000000" w:rsidRPr="00000000" w14:paraId="0000001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Name of trial registry, identifying number (with URL) and date of registration</w:t>
            </w:r>
          </w:p>
        </w:tc>
        <w:tc>
          <w:tcPr/>
          <w:p w:rsidR="00000000" w:rsidDel="00000000" w:rsidP="00000000" w:rsidRDefault="00000000" w:rsidRPr="00000000" w14:paraId="0000001A">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2</w:t>
            </w:r>
            <w:r w:rsidDel="00000000" w:rsidR="00000000" w:rsidRPr="00000000">
              <w:rPr>
                <w:rtl w:val="0"/>
              </w:rPr>
            </w:r>
          </w:p>
        </w:tc>
      </w:tr>
      <w:tr>
        <w:trPr>
          <w:cantSplit w:val="0"/>
          <w:trHeight w:val="272" w:hRule="atLeast"/>
          <w:tblHeader w:val="0"/>
        </w:trPr>
        <w:tc>
          <w:tcPr/>
          <w:p w:rsidR="00000000" w:rsidDel="00000000" w:rsidP="00000000" w:rsidRDefault="00000000" w:rsidRPr="00000000" w14:paraId="0000001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Protocol and statistical analysis plan</w:t>
            </w:r>
          </w:p>
        </w:tc>
        <w:tc>
          <w:tcPr/>
          <w:p w:rsidR="00000000" w:rsidDel="00000000" w:rsidP="00000000" w:rsidRDefault="00000000" w:rsidRPr="00000000" w14:paraId="0000001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p w:rsidR="00000000" w:rsidDel="00000000" w:rsidP="00000000" w:rsidRDefault="00000000" w:rsidRPr="00000000" w14:paraId="0000001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Where the trial protocol and statistical analysis plan can be accessed</w:t>
            </w:r>
          </w:p>
        </w:tc>
        <w:tc>
          <w:tcPr/>
          <w:p w:rsidR="00000000" w:rsidDel="00000000" w:rsidP="00000000" w:rsidRDefault="00000000" w:rsidRPr="00000000" w14:paraId="0000001E">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5 (protocol cited, ref 36)</w:t>
            </w:r>
            <w:r w:rsidDel="00000000" w:rsidR="00000000" w:rsidRPr="00000000">
              <w:rPr>
                <w:rtl w:val="0"/>
              </w:rPr>
            </w:r>
          </w:p>
        </w:tc>
      </w:tr>
      <w:tr>
        <w:trPr>
          <w:cantSplit w:val="0"/>
          <w:trHeight w:val="272" w:hRule="atLeast"/>
          <w:tblHeader w:val="0"/>
        </w:trPr>
        <w:tc>
          <w:tcPr/>
          <w:p w:rsidR="00000000" w:rsidDel="00000000" w:rsidP="00000000" w:rsidRDefault="00000000" w:rsidRPr="00000000" w14:paraId="0000001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Data sharing</w:t>
            </w:r>
          </w:p>
        </w:tc>
        <w:tc>
          <w:tcPr/>
          <w:p w:rsidR="00000000" w:rsidDel="00000000" w:rsidP="00000000" w:rsidRDefault="00000000" w:rsidRPr="00000000" w14:paraId="0000002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p w:rsidR="00000000" w:rsidDel="00000000" w:rsidP="00000000" w:rsidRDefault="00000000" w:rsidRPr="00000000" w14:paraId="0000002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Where and how the individual de-identified participant data (including data dictionary), statistical code and any other materials can be accessed</w:t>
            </w:r>
          </w:p>
        </w:tc>
        <w:tc>
          <w:tcPr/>
          <w:p w:rsidR="00000000" w:rsidDel="00000000" w:rsidP="00000000" w:rsidRDefault="00000000" w:rsidRPr="00000000" w14:paraId="00000022">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21</w:t>
            </w:r>
            <w:r w:rsidDel="00000000" w:rsidR="00000000" w:rsidRPr="00000000">
              <w:rPr>
                <w:rtl w:val="0"/>
              </w:rPr>
            </w:r>
          </w:p>
        </w:tc>
      </w:tr>
      <w:tr>
        <w:trPr>
          <w:cantSplit w:val="0"/>
          <w:trHeight w:val="272" w:hRule="atLeast"/>
          <w:tblHeader w:val="0"/>
        </w:trPr>
        <w:tc>
          <w:tcPr>
            <w:vMerge w:val="restart"/>
          </w:tcPr>
          <w:p w:rsidR="00000000" w:rsidDel="00000000" w:rsidP="00000000" w:rsidRDefault="00000000" w:rsidRPr="00000000" w14:paraId="0000002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Funding and conflicts of interest</w:t>
            </w:r>
          </w:p>
        </w:tc>
        <w:tc>
          <w:tcPr/>
          <w:p w:rsidR="00000000" w:rsidDel="00000000" w:rsidP="00000000" w:rsidRDefault="00000000" w:rsidRPr="00000000" w14:paraId="0000002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5a</w:t>
            </w:r>
          </w:p>
        </w:tc>
        <w:tc>
          <w:tcPr/>
          <w:p w:rsidR="00000000" w:rsidDel="00000000" w:rsidP="00000000" w:rsidRDefault="00000000" w:rsidRPr="00000000" w14:paraId="0000002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Sources of funding and other support (e.g., supply of drugs), and role of funders in the design, conduct, analysis and reporting of the trial</w:t>
            </w:r>
          </w:p>
        </w:tc>
        <w:tc>
          <w:tcPr/>
          <w:p w:rsidR="00000000" w:rsidDel="00000000" w:rsidP="00000000" w:rsidRDefault="00000000" w:rsidRPr="00000000" w14:paraId="00000026">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21</w:t>
            </w: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28">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5b</w:t>
            </w:r>
          </w:p>
        </w:tc>
        <w:tc>
          <w:tcPr/>
          <w:p w:rsidR="00000000" w:rsidDel="00000000" w:rsidP="00000000" w:rsidRDefault="00000000" w:rsidRPr="00000000" w14:paraId="0000002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Financial and other conflicts of interest of the manuscript authors</w:t>
            </w:r>
          </w:p>
        </w:tc>
        <w:tc>
          <w:tcPr/>
          <w:p w:rsidR="00000000" w:rsidDel="00000000" w:rsidP="00000000" w:rsidRDefault="00000000" w:rsidRPr="00000000" w14:paraId="0000002A">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21</w:t>
            </w:r>
            <w:r w:rsidDel="00000000" w:rsidR="00000000" w:rsidRPr="00000000">
              <w:rPr>
                <w:rtl w:val="0"/>
              </w:rPr>
            </w:r>
          </w:p>
        </w:tc>
      </w:tr>
      <w:tr>
        <w:trPr>
          <w:cantSplit w:val="0"/>
          <w:trHeight w:val="276" w:hRule="atLeast"/>
          <w:tblHeader w:val="0"/>
        </w:trPr>
        <w:tc>
          <w:tcPr>
            <w:gridSpan w:val="3"/>
            <w:shd w:fill="bdd7ee" w:val="clear"/>
          </w:tcPr>
          <w:p w:rsidR="00000000" w:rsidDel="00000000" w:rsidP="00000000" w:rsidRDefault="00000000" w:rsidRPr="00000000" w14:paraId="0000002B">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Introduction</w:t>
            </w:r>
          </w:p>
        </w:tc>
        <w:tc>
          <w:tcPr>
            <w:shd w:fill="c6d9f1" w:val="clear"/>
          </w:tcPr>
          <w:p w:rsidR="00000000" w:rsidDel="00000000" w:rsidP="00000000" w:rsidRDefault="00000000" w:rsidRPr="00000000" w14:paraId="0000002E">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71" w:hRule="atLeast"/>
          <w:tblHeader w:val="0"/>
        </w:trPr>
        <w:tc>
          <w:tcPr>
            <w:tcBorders>
              <w:bottom w:color="000000" w:space="0" w:sz="4" w:val="single"/>
            </w:tcBorders>
          </w:tcPr>
          <w:p w:rsidR="00000000" w:rsidDel="00000000" w:rsidP="00000000" w:rsidRDefault="00000000" w:rsidRPr="00000000" w14:paraId="0000002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Background and rationale</w:t>
            </w:r>
          </w:p>
        </w:tc>
        <w:tc>
          <w:tcPr>
            <w:tcBorders>
              <w:bottom w:color="000000" w:space="0" w:sz="4" w:val="single"/>
            </w:tcBorders>
          </w:tcPr>
          <w:p w:rsidR="00000000" w:rsidDel="00000000" w:rsidP="00000000" w:rsidRDefault="00000000" w:rsidRPr="00000000" w14:paraId="0000003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p w:rsidR="00000000" w:rsidDel="00000000" w:rsidP="00000000" w:rsidRDefault="00000000" w:rsidRPr="00000000" w14:paraId="0000003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Scientific background and rationale</w:t>
            </w:r>
          </w:p>
        </w:tc>
        <w:tc>
          <w:tcPr/>
          <w:p w:rsidR="00000000" w:rsidDel="00000000" w:rsidP="00000000" w:rsidRDefault="00000000" w:rsidRPr="00000000" w14:paraId="00000032">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3-4</w:t>
            </w: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3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Objectives</w:t>
            </w:r>
          </w:p>
        </w:tc>
        <w:tc>
          <w:tcPr/>
          <w:p w:rsidR="00000000" w:rsidDel="00000000" w:rsidP="00000000" w:rsidRDefault="00000000" w:rsidRPr="00000000" w14:paraId="0000003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p w:rsidR="00000000" w:rsidDel="00000000" w:rsidP="00000000" w:rsidRDefault="00000000" w:rsidRPr="00000000" w14:paraId="0000003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Specific objectives related to benefits and harms</w:t>
            </w:r>
          </w:p>
        </w:tc>
        <w:tc>
          <w:tcPr/>
          <w:p w:rsidR="00000000" w:rsidDel="00000000" w:rsidP="00000000" w:rsidRDefault="00000000" w:rsidRPr="00000000" w14:paraId="00000036">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4</w:t>
            </w:r>
            <w:r w:rsidDel="00000000" w:rsidR="00000000" w:rsidRPr="00000000">
              <w:rPr>
                <w:rtl w:val="0"/>
              </w:rPr>
            </w:r>
          </w:p>
        </w:tc>
      </w:tr>
      <w:tr>
        <w:trPr>
          <w:cantSplit w:val="0"/>
          <w:trHeight w:val="276" w:hRule="atLeast"/>
          <w:tblHeader w:val="0"/>
        </w:trPr>
        <w:tc>
          <w:tcPr>
            <w:gridSpan w:val="3"/>
            <w:shd w:fill="bdd7ee" w:val="clear"/>
          </w:tcPr>
          <w:p w:rsidR="00000000" w:rsidDel="00000000" w:rsidP="00000000" w:rsidRDefault="00000000" w:rsidRPr="00000000" w14:paraId="00000037">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Methods</w:t>
            </w:r>
          </w:p>
        </w:tc>
        <w:tc>
          <w:tcPr>
            <w:shd w:fill="c6d9f1" w:val="clear"/>
          </w:tcPr>
          <w:p w:rsidR="00000000" w:rsidDel="00000000" w:rsidP="00000000" w:rsidRDefault="00000000" w:rsidRPr="00000000" w14:paraId="0000003A">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3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Patient and public involvement</w:t>
            </w:r>
          </w:p>
        </w:tc>
        <w:tc>
          <w:tcPr/>
          <w:p w:rsidR="00000000" w:rsidDel="00000000" w:rsidP="00000000" w:rsidRDefault="00000000" w:rsidRPr="00000000" w14:paraId="0000003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p w:rsidR="00000000" w:rsidDel="00000000" w:rsidP="00000000" w:rsidRDefault="00000000" w:rsidRPr="00000000" w14:paraId="0000003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Details of patient or public involvement in the design, conduct and reporting of the trial</w:t>
            </w:r>
          </w:p>
        </w:tc>
        <w:tc>
          <w:tcPr/>
          <w:p w:rsidR="00000000" w:rsidDel="00000000" w:rsidP="00000000" w:rsidRDefault="00000000" w:rsidRPr="00000000" w14:paraId="0000003E">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5</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3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Trial design</w:t>
            </w:r>
          </w:p>
        </w:tc>
        <w:tc>
          <w:tcPr/>
          <w:p w:rsidR="00000000" w:rsidDel="00000000" w:rsidP="00000000" w:rsidRDefault="00000000" w:rsidRPr="00000000" w14:paraId="0000004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p w:rsidR="00000000" w:rsidDel="00000000" w:rsidP="00000000" w:rsidRDefault="00000000" w:rsidRPr="00000000" w14:paraId="0000004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Description of trial design including type of trial (e.g., parallel group, crossover), allocation ratio, and framework (e.g., superiority, equivalence, non-inferiority, exploratory)</w:t>
            </w:r>
          </w:p>
        </w:tc>
        <w:tc>
          <w:tcPr/>
          <w:p w:rsidR="00000000" w:rsidDel="00000000" w:rsidP="00000000" w:rsidRDefault="00000000" w:rsidRPr="00000000" w14:paraId="00000042">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5</w:t>
            </w:r>
            <w:r w:rsidDel="00000000" w:rsidR="00000000" w:rsidRPr="00000000">
              <w:rPr>
                <w:rtl w:val="0"/>
              </w:rPr>
            </w:r>
          </w:p>
        </w:tc>
      </w:tr>
      <w:tr>
        <w:trPr>
          <w:cantSplit w:val="0"/>
          <w:trHeight w:val="214" w:hRule="atLeast"/>
          <w:tblHeader w:val="0"/>
        </w:trPr>
        <w:tc>
          <w:tcPr/>
          <w:p w:rsidR="00000000" w:rsidDel="00000000" w:rsidP="00000000" w:rsidRDefault="00000000" w:rsidRPr="00000000" w14:paraId="0000004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Changes to trial protocol</w:t>
            </w:r>
          </w:p>
        </w:tc>
        <w:tc>
          <w:tcPr/>
          <w:p w:rsidR="00000000" w:rsidDel="00000000" w:rsidP="00000000" w:rsidRDefault="00000000" w:rsidRPr="00000000" w14:paraId="0000004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p w:rsidR="00000000" w:rsidDel="00000000" w:rsidP="00000000" w:rsidRDefault="00000000" w:rsidRPr="00000000" w14:paraId="0000004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Important changes to the trial after it commenced including any outcomes or analyses that were not prespecified, with reason</w:t>
            </w:r>
          </w:p>
        </w:tc>
        <w:tc>
          <w:tcPr/>
          <w:p w:rsidR="00000000" w:rsidDel="00000000" w:rsidP="00000000" w:rsidRDefault="00000000" w:rsidRPr="00000000" w14:paraId="00000046">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11</w:t>
            </w: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047">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Trial setting</w:t>
            </w:r>
          </w:p>
        </w:tc>
        <w:tc>
          <w:tcPr/>
          <w:p w:rsidR="00000000" w:rsidDel="00000000" w:rsidP="00000000" w:rsidRDefault="00000000" w:rsidRPr="00000000" w14:paraId="00000048">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p w:rsidR="00000000" w:rsidDel="00000000" w:rsidP="00000000" w:rsidRDefault="00000000" w:rsidRPr="00000000" w14:paraId="0000004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Settings (e.g., community, hospital) and locations (e.g., countries, sites) where the trial was conducted</w:t>
            </w:r>
          </w:p>
        </w:tc>
        <w:tc>
          <w:tcPr/>
          <w:p w:rsidR="00000000" w:rsidDel="00000000" w:rsidP="00000000" w:rsidRDefault="00000000" w:rsidRPr="00000000" w14:paraId="0000004A">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5</w:t>
            </w:r>
            <w:r w:rsidDel="00000000" w:rsidR="00000000" w:rsidRPr="00000000">
              <w:rPr>
                <w:rtl w:val="0"/>
              </w:rPr>
            </w:r>
          </w:p>
        </w:tc>
      </w:tr>
      <w:tr>
        <w:trPr>
          <w:cantSplit w:val="0"/>
          <w:trHeight w:val="276" w:hRule="atLeast"/>
          <w:tblHeader w:val="0"/>
        </w:trPr>
        <w:tc>
          <w:tcPr>
            <w:vMerge w:val="restart"/>
            <w:vAlign w:val="center"/>
          </w:tcPr>
          <w:p w:rsidR="00000000" w:rsidDel="00000000" w:rsidP="00000000" w:rsidRDefault="00000000" w:rsidRPr="00000000" w14:paraId="0000004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Eligibility criteria</w:t>
            </w:r>
          </w:p>
        </w:tc>
        <w:tc>
          <w:tcPr/>
          <w:p w:rsidR="00000000" w:rsidDel="00000000" w:rsidP="00000000" w:rsidRDefault="00000000" w:rsidRPr="00000000" w14:paraId="0000004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12a</w:t>
            </w:r>
          </w:p>
        </w:tc>
        <w:tc>
          <w:tcPr/>
          <w:p w:rsidR="00000000" w:rsidDel="00000000" w:rsidP="00000000" w:rsidRDefault="00000000" w:rsidRPr="00000000" w14:paraId="0000004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Eligibility criteria for participants</w:t>
            </w:r>
          </w:p>
        </w:tc>
        <w:tc>
          <w:tcPr/>
          <w:p w:rsidR="00000000" w:rsidDel="00000000" w:rsidP="00000000" w:rsidRDefault="00000000" w:rsidRPr="00000000" w14:paraId="0000004E">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5-6</w:t>
            </w: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5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12b</w:t>
            </w:r>
          </w:p>
        </w:tc>
        <w:tc>
          <w:tcPr/>
          <w:p w:rsidR="00000000" w:rsidDel="00000000" w:rsidP="00000000" w:rsidRDefault="00000000" w:rsidRPr="00000000" w14:paraId="0000005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applicable, eligibility criteria for sites and for individuals delivering the interventions (e.g., surgeons, physiotherapists)</w:t>
            </w:r>
          </w:p>
        </w:tc>
        <w:tc>
          <w:tcPr/>
          <w:p w:rsidR="00000000" w:rsidDel="00000000" w:rsidP="00000000" w:rsidRDefault="00000000" w:rsidRPr="00000000" w14:paraId="00000052">
            <w:pPr>
              <w:spacing w:line="240" w:lineRule="auto"/>
              <w:rPr>
                <w:rFonts w:ascii="Calibri" w:cs="Calibri" w:eastAsia="Calibri" w:hAnsi="Calibri"/>
                <w:color w:val="000000"/>
                <w:sz w:val="22"/>
                <w:szCs w:val="22"/>
              </w:rPr>
            </w:pPr>
            <w:r w:rsidDel="00000000" w:rsidR="00000000" w:rsidRPr="00000000">
              <w:rPr>
                <w:sz w:val="20"/>
                <w:szCs w:val="20"/>
                <w:rtl w:val="0"/>
              </w:rPr>
              <w:t xml:space="preserve">N/A</w:t>
            </w: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05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Intervention and comparator</w:t>
            </w:r>
          </w:p>
        </w:tc>
        <w:tc>
          <w:tcPr/>
          <w:p w:rsidR="00000000" w:rsidDel="00000000" w:rsidP="00000000" w:rsidRDefault="00000000" w:rsidRPr="00000000" w14:paraId="0000005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w:t>
            </w:r>
          </w:p>
        </w:tc>
        <w:tc>
          <w:tcPr/>
          <w:p w:rsidR="00000000" w:rsidDel="00000000" w:rsidP="00000000" w:rsidRDefault="00000000" w:rsidRPr="00000000" w14:paraId="0000005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Intervention and comparator with sufficient details to allow replication. If relevant, where additional materials describing the intervention and comparator (e.g., intervention manual) can be accessed</w:t>
            </w:r>
          </w:p>
        </w:tc>
        <w:tc>
          <w:tcPr/>
          <w:p w:rsidR="00000000" w:rsidDel="00000000" w:rsidP="00000000" w:rsidRDefault="00000000" w:rsidRPr="00000000" w14:paraId="00000056">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7-9</w:t>
            </w:r>
            <w:r w:rsidDel="00000000" w:rsidR="00000000" w:rsidRPr="00000000">
              <w:rPr>
                <w:rtl w:val="0"/>
              </w:rPr>
            </w:r>
          </w:p>
        </w:tc>
      </w:tr>
      <w:tr>
        <w:trPr>
          <w:cantSplit w:val="0"/>
          <w:trHeight w:val="614" w:hRule="atLeast"/>
          <w:tblHeader w:val="0"/>
        </w:trPr>
        <w:tc>
          <w:tcPr/>
          <w:p w:rsidR="00000000" w:rsidDel="00000000" w:rsidP="00000000" w:rsidRDefault="00000000" w:rsidRPr="00000000" w14:paraId="00000057">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Outcomes</w:t>
            </w:r>
          </w:p>
        </w:tc>
        <w:tc>
          <w:tcPr/>
          <w:p w:rsidR="00000000" w:rsidDel="00000000" w:rsidP="00000000" w:rsidRDefault="00000000" w:rsidRPr="00000000" w14:paraId="00000058">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w:t>
            </w:r>
          </w:p>
          <w:p w:rsidR="00000000" w:rsidDel="00000000" w:rsidP="00000000" w:rsidRDefault="00000000" w:rsidRPr="00000000" w14:paraId="00000059">
            <w:pPr>
              <w:spacing w:line="240" w:lineRule="auto"/>
              <w:jc w:val="center"/>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5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Pre-specified primary and secondary outcomes, including the specific measurement variable (e.g., systolic blood pressure), analysis metric (e.g., change from baseline, final value, time to event), method of aggregation (e.g., median, proportion), and time point for each outcome</w:t>
            </w:r>
          </w:p>
        </w:tc>
        <w:tc>
          <w:tcPr/>
          <w:p w:rsidR="00000000" w:rsidDel="00000000" w:rsidP="00000000" w:rsidRDefault="00000000" w:rsidRPr="00000000" w14:paraId="0000005B">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10</w:t>
            </w:r>
            <w:r w:rsidDel="00000000" w:rsidR="00000000" w:rsidRPr="00000000">
              <w:rPr>
                <w:rtl w:val="0"/>
              </w:rPr>
            </w:r>
          </w:p>
        </w:tc>
      </w:tr>
      <w:tr>
        <w:trPr>
          <w:cantSplit w:val="0"/>
          <w:trHeight w:val="339" w:hRule="atLeast"/>
          <w:tblHeader w:val="0"/>
        </w:trPr>
        <w:tc>
          <w:tcPr/>
          <w:p w:rsidR="00000000" w:rsidDel="00000000" w:rsidP="00000000" w:rsidRDefault="00000000" w:rsidRPr="00000000" w14:paraId="0000005C">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Harms</w:t>
            </w:r>
          </w:p>
        </w:tc>
        <w:tc>
          <w:tcPr/>
          <w:p w:rsidR="00000000" w:rsidDel="00000000" w:rsidP="00000000" w:rsidRDefault="00000000" w:rsidRPr="00000000" w14:paraId="0000005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w:t>
            </w:r>
          </w:p>
        </w:tc>
        <w:tc>
          <w:tcPr/>
          <w:p w:rsidR="00000000" w:rsidDel="00000000" w:rsidP="00000000" w:rsidRDefault="00000000" w:rsidRPr="00000000" w14:paraId="0000005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How harms were defined and assessed (e.g., systematically, non-systematically)</w:t>
            </w:r>
          </w:p>
        </w:tc>
        <w:tc>
          <w:tcPr/>
          <w:p w:rsidR="00000000" w:rsidDel="00000000" w:rsidP="00000000" w:rsidRDefault="00000000" w:rsidRPr="00000000" w14:paraId="0000005F">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16</w:t>
            </w:r>
            <w:r w:rsidDel="00000000" w:rsidR="00000000" w:rsidRPr="00000000">
              <w:rPr>
                <w:rtl w:val="0"/>
              </w:rPr>
            </w:r>
          </w:p>
        </w:tc>
      </w:tr>
      <w:tr>
        <w:trPr>
          <w:cantSplit w:val="0"/>
          <w:trHeight w:val="273" w:hRule="atLeast"/>
          <w:tblHeader w:val="0"/>
        </w:trPr>
        <w:tc>
          <w:tcPr>
            <w:vMerge w:val="restart"/>
          </w:tcPr>
          <w:p w:rsidR="00000000" w:rsidDel="00000000" w:rsidP="00000000" w:rsidRDefault="00000000" w:rsidRPr="00000000" w14:paraId="00000060">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Sample size</w:t>
            </w:r>
          </w:p>
        </w:tc>
        <w:tc>
          <w:tcPr/>
          <w:p w:rsidR="00000000" w:rsidDel="00000000" w:rsidP="00000000" w:rsidRDefault="00000000" w:rsidRPr="00000000" w14:paraId="0000006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16a</w:t>
            </w:r>
          </w:p>
        </w:tc>
        <w:tc>
          <w:tcPr/>
          <w:p w:rsidR="00000000" w:rsidDel="00000000" w:rsidP="00000000" w:rsidRDefault="00000000" w:rsidRPr="00000000" w14:paraId="0000006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How sample size was determined, including all assumptions supporting the sample size calculation</w:t>
            </w:r>
          </w:p>
        </w:tc>
        <w:tc>
          <w:tcPr/>
          <w:p w:rsidR="00000000" w:rsidDel="00000000" w:rsidP="00000000" w:rsidRDefault="00000000" w:rsidRPr="00000000" w14:paraId="00000063">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11</w:t>
            </w:r>
            <w:r w:rsidDel="00000000" w:rsidR="00000000" w:rsidRPr="00000000">
              <w:rPr>
                <w:rtl w:val="0"/>
              </w:rPr>
            </w:r>
          </w:p>
        </w:tc>
      </w:tr>
      <w:tr>
        <w:trPr>
          <w:cantSplit w:val="0"/>
          <w:trHeight w:val="273" w:hRule="atLeast"/>
          <w:tblHeader w:val="0"/>
        </w:trPr>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65">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16b</w:t>
            </w:r>
          </w:p>
        </w:tc>
        <w:tc>
          <w:tcPr/>
          <w:p w:rsidR="00000000" w:rsidDel="00000000" w:rsidP="00000000" w:rsidRDefault="00000000" w:rsidRPr="00000000" w14:paraId="00000066">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Explanation of any interim analyses and stopping guidelines</w:t>
            </w:r>
          </w:p>
        </w:tc>
        <w:tc>
          <w:tcPr/>
          <w:p w:rsidR="00000000" w:rsidDel="00000000" w:rsidP="00000000" w:rsidRDefault="00000000" w:rsidRPr="00000000" w14:paraId="00000067">
            <w:pPr>
              <w:spacing w:line="240" w:lineRule="auto"/>
              <w:rPr>
                <w:rFonts w:ascii="Calibri" w:cs="Calibri" w:eastAsia="Calibri" w:hAnsi="Calibri"/>
                <w:color w:val="000000"/>
                <w:sz w:val="22"/>
                <w:szCs w:val="22"/>
              </w:rPr>
            </w:pPr>
            <w:r w:rsidDel="00000000" w:rsidR="00000000" w:rsidRPr="00000000">
              <w:rPr>
                <w:sz w:val="20"/>
                <w:szCs w:val="20"/>
                <w:rtl w:val="0"/>
              </w:rPr>
              <w:t xml:space="preserve">N/A</w:t>
            </w: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068">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Randomisation:</w:t>
            </w:r>
          </w:p>
        </w:tc>
        <w:tc>
          <w:tcPr/>
          <w:p w:rsidR="00000000" w:rsidDel="00000000" w:rsidP="00000000" w:rsidRDefault="00000000" w:rsidRPr="00000000" w14:paraId="0000006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p w:rsidR="00000000" w:rsidDel="00000000" w:rsidP="00000000" w:rsidRDefault="00000000" w:rsidRPr="00000000" w14:paraId="0000006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p w:rsidR="00000000" w:rsidDel="00000000" w:rsidP="00000000" w:rsidRDefault="00000000" w:rsidRPr="00000000" w14:paraId="0000006B">
            <w:pPr>
              <w:spacing w:line="240" w:lineRule="auto"/>
              <w:rPr>
                <w:rFonts w:ascii="Calibri" w:cs="Calibri" w:eastAsia="Calibri" w:hAnsi="Calibri"/>
                <w:color w:val="000000"/>
                <w:sz w:val="22"/>
                <w:szCs w:val="22"/>
              </w:rPr>
            </w:pPr>
            <w:r w:rsidDel="00000000" w:rsidR="00000000" w:rsidRPr="00000000">
              <w:rPr>
                <w:rtl w:val="0"/>
              </w:rPr>
            </w:r>
          </w:p>
        </w:tc>
      </w:tr>
      <w:tr>
        <w:trPr>
          <w:cantSplit w:val="0"/>
          <w:trHeight w:val="266" w:hRule="atLeast"/>
          <w:tblHeader w:val="0"/>
        </w:trPr>
        <w:tc>
          <w:tcPr>
            <w:vMerge w:val="restart"/>
          </w:tcPr>
          <w:p w:rsidR="00000000" w:rsidDel="00000000" w:rsidP="00000000" w:rsidRDefault="00000000" w:rsidRPr="00000000" w14:paraId="0000006C">
            <w:pPr>
              <w:spacing w:line="240" w:lineRule="auto"/>
              <w:ind w:left="113"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Sequence generation</w:t>
            </w:r>
          </w:p>
        </w:tc>
        <w:tc>
          <w:tcPr/>
          <w:p w:rsidR="00000000" w:rsidDel="00000000" w:rsidP="00000000" w:rsidRDefault="00000000" w:rsidRPr="00000000" w14:paraId="0000006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17a</w:t>
            </w:r>
          </w:p>
        </w:tc>
        <w:tc>
          <w:tcPr/>
          <w:p w:rsidR="00000000" w:rsidDel="00000000" w:rsidP="00000000" w:rsidRDefault="00000000" w:rsidRPr="00000000" w14:paraId="0000006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Who generated the random allocation sequence and the method used</w:t>
            </w:r>
          </w:p>
        </w:tc>
        <w:tc>
          <w:tcPr/>
          <w:p w:rsidR="00000000" w:rsidDel="00000000" w:rsidP="00000000" w:rsidRDefault="00000000" w:rsidRPr="00000000" w14:paraId="0000006F">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6-7</w:t>
            </w:r>
            <w:r w:rsidDel="00000000" w:rsidR="00000000" w:rsidRPr="00000000">
              <w:rPr>
                <w:rtl w:val="0"/>
              </w:rPr>
            </w:r>
          </w:p>
        </w:tc>
      </w:tr>
      <w:tr>
        <w:trPr>
          <w:cantSplit w:val="0"/>
          <w:trHeight w:val="285" w:hRule="atLeast"/>
          <w:tblHeader w:val="0"/>
        </w:trPr>
        <w:tc>
          <w:tcPr>
            <w:vMerge w:val="continue"/>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7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17b</w:t>
            </w:r>
          </w:p>
        </w:tc>
        <w:tc>
          <w:tcPr/>
          <w:p w:rsidR="00000000" w:rsidDel="00000000" w:rsidP="00000000" w:rsidRDefault="00000000" w:rsidRPr="00000000" w14:paraId="0000007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Type of randomisation and details of any restriction (e.g., stratification, blocking and block size)</w:t>
            </w:r>
          </w:p>
        </w:tc>
        <w:tc>
          <w:tcPr/>
          <w:p w:rsidR="00000000" w:rsidDel="00000000" w:rsidP="00000000" w:rsidRDefault="00000000" w:rsidRPr="00000000" w14:paraId="00000073">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6-7</w:t>
            </w:r>
            <w:r w:rsidDel="00000000" w:rsidR="00000000" w:rsidRPr="00000000">
              <w:rPr>
                <w:rtl w:val="0"/>
              </w:rPr>
            </w:r>
          </w:p>
        </w:tc>
      </w:tr>
      <w:tr>
        <w:trPr>
          <w:cantSplit w:val="0"/>
          <w:trHeight w:val="544" w:hRule="atLeast"/>
          <w:tblHeader w:val="0"/>
        </w:trPr>
        <w:tc>
          <w:tcPr/>
          <w:p w:rsidR="00000000" w:rsidDel="00000000" w:rsidP="00000000" w:rsidRDefault="00000000" w:rsidRPr="00000000" w14:paraId="00000074">
            <w:pPr>
              <w:spacing w:line="240" w:lineRule="auto"/>
              <w:ind w:left="113"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Allocation concealment mechanism</w:t>
            </w:r>
          </w:p>
        </w:tc>
        <w:tc>
          <w:tcPr/>
          <w:p w:rsidR="00000000" w:rsidDel="00000000" w:rsidP="00000000" w:rsidRDefault="00000000" w:rsidRPr="00000000" w14:paraId="00000075">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w:t>
            </w:r>
          </w:p>
        </w:tc>
        <w:tc>
          <w:tcPr/>
          <w:p w:rsidR="00000000" w:rsidDel="00000000" w:rsidP="00000000" w:rsidRDefault="00000000" w:rsidRPr="00000000" w14:paraId="00000076">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Mechanism used to implement the random allocation sequence (e.g., central computer/telephone; sequentially numbered, opaque, sealed containers), describing any steps to conceal the sequence until interventions were assigned</w:t>
            </w:r>
          </w:p>
        </w:tc>
        <w:tc>
          <w:tcPr/>
          <w:p w:rsidR="00000000" w:rsidDel="00000000" w:rsidP="00000000" w:rsidRDefault="00000000" w:rsidRPr="00000000" w14:paraId="00000077">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7</w:t>
            </w:r>
            <w:r w:rsidDel="00000000" w:rsidR="00000000" w:rsidRPr="00000000">
              <w:rPr>
                <w:rtl w:val="0"/>
              </w:rPr>
            </w:r>
          </w:p>
        </w:tc>
      </w:tr>
      <w:tr>
        <w:trPr>
          <w:cantSplit w:val="0"/>
          <w:trHeight w:val="558" w:hRule="atLeast"/>
          <w:tblHeader w:val="0"/>
        </w:trPr>
        <w:tc>
          <w:tcPr/>
          <w:p w:rsidR="00000000" w:rsidDel="00000000" w:rsidP="00000000" w:rsidRDefault="00000000" w:rsidRPr="00000000" w14:paraId="00000078">
            <w:pPr>
              <w:spacing w:line="240" w:lineRule="auto"/>
              <w:ind w:left="113"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Implementation</w:t>
            </w:r>
          </w:p>
        </w:tc>
        <w:tc>
          <w:tcPr/>
          <w:p w:rsidR="00000000" w:rsidDel="00000000" w:rsidP="00000000" w:rsidRDefault="00000000" w:rsidRPr="00000000" w14:paraId="00000079">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19</w:t>
            </w:r>
          </w:p>
        </w:tc>
        <w:tc>
          <w:tcPr/>
          <w:p w:rsidR="00000000" w:rsidDel="00000000" w:rsidP="00000000" w:rsidRDefault="00000000" w:rsidRPr="00000000" w14:paraId="0000007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Whether the personnel who enrolled and those who assigned participants to the interventions had access to the random allocation sequence </w:t>
            </w:r>
          </w:p>
        </w:tc>
        <w:tc>
          <w:tcPr/>
          <w:p w:rsidR="00000000" w:rsidDel="00000000" w:rsidP="00000000" w:rsidRDefault="00000000" w:rsidRPr="00000000" w14:paraId="0000007B">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7</w:t>
            </w:r>
            <w:r w:rsidDel="00000000" w:rsidR="00000000" w:rsidRPr="00000000">
              <w:rPr>
                <w:rtl w:val="0"/>
              </w:rPr>
            </w:r>
          </w:p>
        </w:tc>
      </w:tr>
      <w:tr>
        <w:trPr>
          <w:cantSplit w:val="0"/>
          <w:trHeight w:val="251" w:hRule="atLeast"/>
          <w:tblHeader w:val="0"/>
        </w:trPr>
        <w:tc>
          <w:tcPr>
            <w:vMerge w:val="restart"/>
          </w:tcPr>
          <w:p w:rsidR="00000000" w:rsidDel="00000000" w:rsidP="00000000" w:rsidRDefault="00000000" w:rsidRPr="00000000" w14:paraId="0000007C">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Blinding</w:t>
            </w:r>
          </w:p>
        </w:tc>
        <w:tc>
          <w:tcPr/>
          <w:p w:rsidR="00000000" w:rsidDel="00000000" w:rsidP="00000000" w:rsidRDefault="00000000" w:rsidRPr="00000000" w14:paraId="0000007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20a</w:t>
            </w:r>
          </w:p>
        </w:tc>
        <w:tc>
          <w:tcPr/>
          <w:p w:rsidR="00000000" w:rsidDel="00000000" w:rsidP="00000000" w:rsidRDefault="00000000" w:rsidRPr="00000000" w14:paraId="0000007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Who was blinded after assignment to interventions (e.g., participants, care providers, outcome assessors, data analysts) </w:t>
            </w:r>
          </w:p>
        </w:tc>
        <w:tc>
          <w:tcPr/>
          <w:p w:rsidR="00000000" w:rsidDel="00000000" w:rsidP="00000000" w:rsidRDefault="00000000" w:rsidRPr="00000000" w14:paraId="0000007F">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7</w:t>
            </w:r>
            <w:r w:rsidDel="00000000" w:rsidR="00000000" w:rsidRPr="00000000">
              <w:rPr>
                <w:rtl w:val="0"/>
              </w:rPr>
            </w:r>
          </w:p>
        </w:tc>
      </w:tr>
      <w:tr>
        <w:trPr>
          <w:cantSplit w:val="0"/>
          <w:trHeight w:val="274" w:hRule="atLeast"/>
          <w:tblHeader w:val="0"/>
        </w:trPr>
        <w:tc>
          <w:tcPr>
            <w:vMerge w:val="continue"/>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8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20b</w:t>
            </w:r>
          </w:p>
        </w:tc>
        <w:tc>
          <w:tcPr/>
          <w:p w:rsidR="00000000" w:rsidDel="00000000" w:rsidP="00000000" w:rsidRDefault="00000000" w:rsidRPr="00000000" w14:paraId="0000008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blinded, how blinding was achieved and description of the similarity of interventions</w:t>
            </w:r>
          </w:p>
        </w:tc>
        <w:tc>
          <w:tcPr/>
          <w:p w:rsidR="00000000" w:rsidDel="00000000" w:rsidP="00000000" w:rsidRDefault="00000000" w:rsidRPr="00000000" w14:paraId="00000083">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7</w:t>
            </w:r>
            <w:r w:rsidDel="00000000" w:rsidR="00000000" w:rsidRPr="00000000">
              <w:rPr>
                <w:rtl w:val="0"/>
              </w:rPr>
            </w:r>
          </w:p>
        </w:tc>
      </w:tr>
      <w:tr>
        <w:trPr>
          <w:cantSplit w:val="0"/>
          <w:trHeight w:val="225" w:hRule="atLeast"/>
          <w:tblHeader w:val="0"/>
        </w:trPr>
        <w:tc>
          <w:tcPr>
            <w:vMerge w:val="restart"/>
          </w:tcPr>
          <w:p w:rsidR="00000000" w:rsidDel="00000000" w:rsidP="00000000" w:rsidRDefault="00000000" w:rsidRPr="00000000" w14:paraId="00000084">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Statistical methods</w:t>
            </w:r>
          </w:p>
        </w:tc>
        <w:tc>
          <w:tcPr/>
          <w:p w:rsidR="00000000" w:rsidDel="00000000" w:rsidP="00000000" w:rsidRDefault="00000000" w:rsidRPr="00000000" w14:paraId="00000085">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21a</w:t>
            </w:r>
          </w:p>
        </w:tc>
        <w:tc>
          <w:tcPr/>
          <w:p w:rsidR="00000000" w:rsidDel="00000000" w:rsidP="00000000" w:rsidRDefault="00000000" w:rsidRPr="00000000" w14:paraId="00000086">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Statistical methods used to compare groups for primary and secondary outcomes, including harms</w:t>
            </w:r>
          </w:p>
        </w:tc>
        <w:tc>
          <w:tcPr/>
          <w:p w:rsidR="00000000" w:rsidDel="00000000" w:rsidP="00000000" w:rsidRDefault="00000000" w:rsidRPr="00000000" w14:paraId="00000087">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10-11</w:t>
            </w:r>
            <w:r w:rsidDel="00000000" w:rsidR="00000000" w:rsidRPr="00000000">
              <w:rPr>
                <w:rtl w:val="0"/>
              </w:rPr>
            </w:r>
          </w:p>
        </w:tc>
      </w:tr>
      <w:tr>
        <w:trPr>
          <w:cantSplit w:val="0"/>
          <w:trHeight w:val="225" w:hRule="atLeast"/>
          <w:tblHeader w:val="0"/>
        </w:trPr>
        <w:tc>
          <w:tcPr>
            <w:vMerge w:val="continue"/>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89">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21b</w:t>
            </w:r>
          </w:p>
        </w:tc>
        <w:tc>
          <w:tcPr/>
          <w:p w:rsidR="00000000" w:rsidDel="00000000" w:rsidP="00000000" w:rsidRDefault="00000000" w:rsidRPr="00000000" w14:paraId="0000008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Definition of who is included in each analysis (e.g., all randomised participants), and in which group</w:t>
            </w:r>
          </w:p>
        </w:tc>
        <w:tc>
          <w:tcPr/>
          <w:p w:rsidR="00000000" w:rsidDel="00000000" w:rsidP="00000000" w:rsidRDefault="00000000" w:rsidRPr="00000000" w14:paraId="0000008B">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10-11</w:t>
            </w:r>
            <w:r w:rsidDel="00000000" w:rsidR="00000000" w:rsidRPr="00000000">
              <w:rPr>
                <w:rtl w:val="0"/>
              </w:rPr>
            </w:r>
          </w:p>
        </w:tc>
      </w:tr>
      <w:tr>
        <w:trPr>
          <w:cantSplit w:val="0"/>
          <w:trHeight w:val="225" w:hRule="atLeast"/>
          <w:tblHeader w:val="0"/>
        </w:trPr>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8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21c</w:t>
            </w:r>
          </w:p>
        </w:tc>
        <w:tc>
          <w:tcPr/>
          <w:p w:rsidR="00000000" w:rsidDel="00000000" w:rsidP="00000000" w:rsidRDefault="00000000" w:rsidRPr="00000000" w14:paraId="0000008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How missing data were handled in the analysis</w:t>
            </w:r>
          </w:p>
        </w:tc>
        <w:tc>
          <w:tcPr/>
          <w:p w:rsidR="00000000" w:rsidDel="00000000" w:rsidP="00000000" w:rsidRDefault="00000000" w:rsidRPr="00000000" w14:paraId="0000008F">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11</w:t>
            </w:r>
            <w:r w:rsidDel="00000000" w:rsidR="00000000" w:rsidRPr="00000000">
              <w:rPr>
                <w:rtl w:val="0"/>
              </w:rPr>
            </w:r>
          </w:p>
        </w:tc>
      </w:tr>
      <w:tr>
        <w:trPr>
          <w:cantSplit w:val="0"/>
          <w:trHeight w:val="257" w:hRule="atLeast"/>
          <w:tblHeader w:val="0"/>
        </w:trPr>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9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21d</w:t>
            </w:r>
          </w:p>
        </w:tc>
        <w:tc>
          <w:tcPr/>
          <w:p w:rsidR="00000000" w:rsidDel="00000000" w:rsidP="00000000" w:rsidRDefault="00000000" w:rsidRPr="00000000" w14:paraId="0000009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Methods for any additional analyses (e.g., subgroup and sensitivity analyses), distinguishing prespecified from post-hoc</w:t>
            </w:r>
          </w:p>
        </w:tc>
        <w:tc>
          <w:tcPr/>
          <w:p w:rsidR="00000000" w:rsidDel="00000000" w:rsidP="00000000" w:rsidRDefault="00000000" w:rsidRPr="00000000" w14:paraId="00000093">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10</w:t>
            </w:r>
            <w:r w:rsidDel="00000000" w:rsidR="00000000" w:rsidRPr="00000000">
              <w:rPr>
                <w:rtl w:val="0"/>
              </w:rPr>
            </w:r>
          </w:p>
        </w:tc>
      </w:tr>
      <w:tr>
        <w:trPr>
          <w:cantSplit w:val="0"/>
          <w:trHeight w:val="276" w:hRule="atLeast"/>
          <w:tblHeader w:val="0"/>
        </w:trPr>
        <w:tc>
          <w:tcPr>
            <w:gridSpan w:val="3"/>
            <w:shd w:fill="bdd7ee" w:val="clear"/>
            <w:vAlign w:val="bottom"/>
          </w:tcPr>
          <w:p w:rsidR="00000000" w:rsidDel="00000000" w:rsidP="00000000" w:rsidRDefault="00000000" w:rsidRPr="00000000" w14:paraId="00000094">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Results</w:t>
            </w:r>
          </w:p>
        </w:tc>
        <w:tc>
          <w:tcPr>
            <w:shd w:fill="c6d9f1" w:val="clear"/>
          </w:tcPr>
          <w:p w:rsidR="00000000" w:rsidDel="00000000" w:rsidP="00000000" w:rsidRDefault="00000000" w:rsidRPr="00000000" w14:paraId="00000097">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409" w:hRule="atLeast"/>
          <w:tblHeader w:val="0"/>
        </w:trPr>
        <w:tc>
          <w:tcPr>
            <w:vMerge w:val="restart"/>
          </w:tcPr>
          <w:p w:rsidR="00000000" w:rsidDel="00000000" w:rsidP="00000000" w:rsidRDefault="00000000" w:rsidRPr="00000000" w14:paraId="00000098">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Participant flow, including flow diagram</w:t>
            </w:r>
          </w:p>
        </w:tc>
        <w:tc>
          <w:tcPr/>
          <w:p w:rsidR="00000000" w:rsidDel="00000000" w:rsidP="00000000" w:rsidRDefault="00000000" w:rsidRPr="00000000" w14:paraId="00000099">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22a</w:t>
            </w:r>
          </w:p>
        </w:tc>
        <w:tc>
          <w:tcPr/>
          <w:p w:rsidR="00000000" w:rsidDel="00000000" w:rsidP="00000000" w:rsidRDefault="00000000" w:rsidRPr="00000000" w14:paraId="0000009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For each group, the numbers of participants who were randomly assigned, received intended intervention, and were analysed for the primary outcome</w:t>
            </w:r>
          </w:p>
        </w:tc>
        <w:tc>
          <w:tcPr/>
          <w:p w:rsidR="00000000" w:rsidDel="00000000" w:rsidP="00000000" w:rsidRDefault="00000000" w:rsidRPr="00000000" w14:paraId="0000009B">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12; Figure 1</w:t>
            </w:r>
            <w:r w:rsidDel="00000000" w:rsidR="00000000" w:rsidRPr="00000000">
              <w:rPr>
                <w:rtl w:val="0"/>
              </w:rPr>
            </w:r>
          </w:p>
        </w:tc>
      </w:tr>
      <w:tr>
        <w:trPr>
          <w:cantSplit w:val="0"/>
          <w:trHeight w:val="189" w:hRule="atLeast"/>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9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22b</w:t>
            </w:r>
          </w:p>
        </w:tc>
        <w:tc>
          <w:tcPr/>
          <w:p w:rsidR="00000000" w:rsidDel="00000000" w:rsidP="00000000" w:rsidRDefault="00000000" w:rsidRPr="00000000" w14:paraId="0000009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For each group, losses and exclusions after randomisation, together with reasons</w:t>
            </w:r>
          </w:p>
        </w:tc>
        <w:tc>
          <w:tcPr/>
          <w:p w:rsidR="00000000" w:rsidDel="00000000" w:rsidP="00000000" w:rsidRDefault="00000000" w:rsidRPr="00000000" w14:paraId="0000009F">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12; Figure 1</w:t>
            </w:r>
            <w:r w:rsidDel="00000000" w:rsidR="00000000" w:rsidRPr="00000000">
              <w:rPr>
                <w:rtl w:val="0"/>
              </w:rPr>
            </w:r>
          </w:p>
        </w:tc>
      </w:tr>
      <w:tr>
        <w:trPr>
          <w:cantSplit w:val="0"/>
          <w:trHeight w:val="221" w:hRule="atLeast"/>
          <w:tblHeader w:val="0"/>
        </w:trPr>
        <w:tc>
          <w:tcPr>
            <w:vMerge w:val="restart"/>
          </w:tcPr>
          <w:p w:rsidR="00000000" w:rsidDel="00000000" w:rsidP="00000000" w:rsidRDefault="00000000" w:rsidRPr="00000000" w14:paraId="000000A0">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Recruitment</w:t>
            </w:r>
          </w:p>
        </w:tc>
        <w:tc>
          <w:tcPr/>
          <w:p w:rsidR="00000000" w:rsidDel="00000000" w:rsidP="00000000" w:rsidRDefault="00000000" w:rsidRPr="00000000" w14:paraId="000000A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23a</w:t>
            </w:r>
          </w:p>
        </w:tc>
        <w:tc>
          <w:tcPr/>
          <w:p w:rsidR="00000000" w:rsidDel="00000000" w:rsidP="00000000" w:rsidRDefault="00000000" w:rsidRPr="00000000" w14:paraId="000000A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Dates defining the periods of recruitment and follow-up for outcomes of benefits and harms</w:t>
            </w:r>
          </w:p>
        </w:tc>
        <w:tc>
          <w:tcPr/>
          <w:p w:rsidR="00000000" w:rsidDel="00000000" w:rsidP="00000000" w:rsidRDefault="00000000" w:rsidRPr="00000000" w14:paraId="000000A3">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12</w:t>
            </w:r>
            <w:r w:rsidDel="00000000" w:rsidR="00000000" w:rsidRPr="00000000">
              <w:rPr>
                <w:rtl w:val="0"/>
              </w:rPr>
            </w:r>
          </w:p>
        </w:tc>
      </w:tr>
      <w:tr>
        <w:trPr>
          <w:cantSplit w:val="0"/>
          <w:trHeight w:val="276" w:hRule="atLeast"/>
          <w:tblHeader w:val="0"/>
        </w:trPr>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A5">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23b</w:t>
            </w:r>
          </w:p>
        </w:tc>
        <w:tc>
          <w:tcPr/>
          <w:p w:rsidR="00000000" w:rsidDel="00000000" w:rsidP="00000000" w:rsidRDefault="00000000" w:rsidRPr="00000000" w14:paraId="000000A6">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relevant, why the trial ended or was stopped</w:t>
            </w:r>
          </w:p>
        </w:tc>
        <w:tc>
          <w:tcPr/>
          <w:p w:rsidR="00000000" w:rsidDel="00000000" w:rsidP="00000000" w:rsidRDefault="00000000" w:rsidRPr="00000000" w14:paraId="000000A7">
            <w:pPr>
              <w:spacing w:line="240" w:lineRule="auto"/>
              <w:rPr>
                <w:rFonts w:ascii="Calibri" w:cs="Calibri" w:eastAsia="Calibri" w:hAnsi="Calibri"/>
                <w:color w:val="000000"/>
                <w:sz w:val="22"/>
                <w:szCs w:val="22"/>
              </w:rPr>
            </w:pPr>
            <w:r w:rsidDel="00000000" w:rsidR="00000000" w:rsidRPr="00000000">
              <w:rPr>
                <w:sz w:val="20"/>
                <w:szCs w:val="20"/>
                <w:rtl w:val="0"/>
              </w:rPr>
              <w:t xml:space="preserve">N/A</w:t>
            </w:r>
            <w:r w:rsidDel="00000000" w:rsidR="00000000" w:rsidRPr="00000000">
              <w:rPr>
                <w:rtl w:val="0"/>
              </w:rPr>
            </w:r>
          </w:p>
        </w:tc>
      </w:tr>
      <w:tr>
        <w:trPr>
          <w:cantSplit w:val="0"/>
          <w:trHeight w:val="441" w:hRule="atLeast"/>
          <w:tblHeader w:val="0"/>
        </w:trPr>
        <w:tc>
          <w:tcPr>
            <w:vMerge w:val="restart"/>
          </w:tcPr>
          <w:p w:rsidR="00000000" w:rsidDel="00000000" w:rsidP="00000000" w:rsidRDefault="00000000" w:rsidRPr="00000000" w14:paraId="000000A8">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Intervention and comparator delivery</w:t>
            </w:r>
          </w:p>
        </w:tc>
        <w:tc>
          <w:tcPr/>
          <w:p w:rsidR="00000000" w:rsidDel="00000000" w:rsidP="00000000" w:rsidRDefault="00000000" w:rsidRPr="00000000" w14:paraId="000000A9">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24a</w:t>
            </w:r>
          </w:p>
        </w:tc>
        <w:tc>
          <w:tcPr/>
          <w:p w:rsidR="00000000" w:rsidDel="00000000" w:rsidP="00000000" w:rsidRDefault="00000000" w:rsidRPr="00000000" w14:paraId="000000A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Intervention and comparator as they were actually administered (e.g., where appropriate, who delivered the intervention/comparator, how participants adhered, whether they were delivered as intended [fidelity]) </w:t>
            </w:r>
          </w:p>
        </w:tc>
        <w:tc>
          <w:tcPr/>
          <w:p w:rsidR="00000000" w:rsidDel="00000000" w:rsidP="00000000" w:rsidRDefault="00000000" w:rsidRPr="00000000" w14:paraId="000000AB">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7-9</w:t>
            </w: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A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24b</w:t>
            </w:r>
          </w:p>
        </w:tc>
        <w:tc>
          <w:tcPr/>
          <w:p w:rsidR="00000000" w:rsidDel="00000000" w:rsidP="00000000" w:rsidRDefault="00000000" w:rsidRPr="00000000" w14:paraId="000000A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Concomitant care received during the trial for each group</w:t>
            </w:r>
          </w:p>
        </w:tc>
        <w:tc>
          <w:tcPr/>
          <w:p w:rsidR="00000000" w:rsidDel="00000000" w:rsidP="00000000" w:rsidRDefault="00000000" w:rsidRPr="00000000" w14:paraId="000000AF">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10</w:t>
            </w: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B0">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Baseline data</w:t>
            </w:r>
          </w:p>
        </w:tc>
        <w:tc>
          <w:tcPr/>
          <w:p w:rsidR="00000000" w:rsidDel="00000000" w:rsidP="00000000" w:rsidRDefault="00000000" w:rsidRPr="00000000" w14:paraId="000000B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25</w:t>
            </w:r>
          </w:p>
        </w:tc>
        <w:tc>
          <w:tcPr/>
          <w:p w:rsidR="00000000" w:rsidDel="00000000" w:rsidP="00000000" w:rsidRDefault="00000000" w:rsidRPr="00000000" w14:paraId="000000B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table showing baseline demographic and clinical characteristics for each group</w:t>
            </w:r>
          </w:p>
        </w:tc>
        <w:tc>
          <w:tcPr/>
          <w:p w:rsidR="00000000" w:rsidDel="00000000" w:rsidP="00000000" w:rsidRDefault="00000000" w:rsidRPr="00000000" w14:paraId="000000B3">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29 ; Table 1</w:t>
            </w: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0B4">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Numbers analysed, </w:t>
            </w:r>
          </w:p>
          <w:p w:rsidR="00000000" w:rsidDel="00000000" w:rsidP="00000000" w:rsidRDefault="00000000" w:rsidRPr="00000000" w14:paraId="000000B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outcomes and estimation</w:t>
            </w:r>
          </w:p>
        </w:tc>
        <w:tc>
          <w:tcPr/>
          <w:p w:rsidR="00000000" w:rsidDel="00000000" w:rsidP="00000000" w:rsidRDefault="00000000" w:rsidRPr="00000000" w14:paraId="000000B6">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26</w:t>
            </w:r>
          </w:p>
        </w:tc>
        <w:tc>
          <w:tcPr/>
          <w:p w:rsidR="00000000" w:rsidDel="00000000" w:rsidP="00000000" w:rsidRDefault="00000000" w:rsidRPr="00000000" w14:paraId="000000B7">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For each primary and secondary outcome, by group: </w:t>
            </w:r>
          </w:p>
          <w:p w:rsidR="00000000" w:rsidDel="00000000" w:rsidP="00000000" w:rsidRDefault="00000000" w:rsidRPr="00000000" w14:paraId="000000B8">
            <w:pPr>
              <w:numPr>
                <w:ilvl w:val="0"/>
                <w:numId w:val="1"/>
              </w:numPr>
              <w:spacing w:line="240" w:lineRule="auto"/>
              <w:ind w:left="720" w:hanging="360"/>
              <w:rPr>
                <w:color w:val="000000"/>
                <w:sz w:val="22"/>
                <w:szCs w:val="22"/>
              </w:rPr>
            </w:pPr>
            <w:r w:rsidDel="00000000" w:rsidR="00000000" w:rsidRPr="00000000">
              <w:rPr>
                <w:rFonts w:ascii="Calibri" w:cs="Calibri" w:eastAsia="Calibri" w:hAnsi="Calibri"/>
                <w:color w:val="000000"/>
                <w:sz w:val="22"/>
                <w:szCs w:val="22"/>
                <w:rtl w:val="0"/>
              </w:rPr>
              <w:t xml:space="preserve">the number of participants included in the analysis </w:t>
            </w:r>
            <w:r w:rsidDel="00000000" w:rsidR="00000000" w:rsidRPr="00000000">
              <w:rPr>
                <w:rtl w:val="0"/>
              </w:rPr>
            </w:r>
          </w:p>
          <w:p w:rsidR="00000000" w:rsidDel="00000000" w:rsidP="00000000" w:rsidRDefault="00000000" w:rsidRPr="00000000" w14:paraId="000000B9">
            <w:pPr>
              <w:numPr>
                <w:ilvl w:val="0"/>
                <w:numId w:val="1"/>
              </w:numPr>
              <w:spacing w:line="240" w:lineRule="auto"/>
              <w:ind w:left="720" w:hanging="360"/>
              <w:rPr>
                <w:color w:val="000000"/>
                <w:sz w:val="22"/>
                <w:szCs w:val="22"/>
              </w:rPr>
            </w:pPr>
            <w:r w:rsidDel="00000000" w:rsidR="00000000" w:rsidRPr="00000000">
              <w:rPr>
                <w:rFonts w:ascii="Calibri" w:cs="Calibri" w:eastAsia="Calibri" w:hAnsi="Calibri"/>
                <w:color w:val="000000"/>
                <w:sz w:val="22"/>
                <w:szCs w:val="22"/>
                <w:rtl w:val="0"/>
              </w:rPr>
              <w:t xml:space="preserve">the number of participants with available data at the outcome time point</w:t>
            </w:r>
            <w:r w:rsidDel="00000000" w:rsidR="00000000" w:rsidRPr="00000000">
              <w:rPr>
                <w:rtl w:val="0"/>
              </w:rPr>
            </w:r>
          </w:p>
          <w:p w:rsidR="00000000" w:rsidDel="00000000" w:rsidP="00000000" w:rsidRDefault="00000000" w:rsidRPr="00000000" w14:paraId="000000BA">
            <w:pPr>
              <w:numPr>
                <w:ilvl w:val="0"/>
                <w:numId w:val="1"/>
              </w:numPr>
              <w:spacing w:line="240" w:lineRule="auto"/>
              <w:ind w:left="720" w:hanging="360"/>
              <w:rPr>
                <w:color w:val="000000"/>
                <w:sz w:val="22"/>
                <w:szCs w:val="22"/>
              </w:rPr>
            </w:pPr>
            <w:r w:rsidDel="00000000" w:rsidR="00000000" w:rsidRPr="00000000">
              <w:rPr>
                <w:rFonts w:ascii="Calibri" w:cs="Calibri" w:eastAsia="Calibri" w:hAnsi="Calibri"/>
                <w:color w:val="000000"/>
                <w:sz w:val="22"/>
                <w:szCs w:val="22"/>
                <w:rtl w:val="0"/>
              </w:rPr>
              <w:t xml:space="preserve">result for each group, and the estimated effect size and its precision (such as 95% confidence interval) </w:t>
            </w:r>
            <w:r w:rsidDel="00000000" w:rsidR="00000000" w:rsidRPr="00000000">
              <w:rPr>
                <w:rtl w:val="0"/>
              </w:rPr>
            </w:r>
          </w:p>
          <w:p w:rsidR="00000000" w:rsidDel="00000000" w:rsidP="00000000" w:rsidRDefault="00000000" w:rsidRPr="00000000" w14:paraId="000000BB">
            <w:pPr>
              <w:numPr>
                <w:ilvl w:val="0"/>
                <w:numId w:val="1"/>
              </w:numPr>
              <w:spacing w:after="160" w:line="240" w:lineRule="auto"/>
              <w:ind w:left="720" w:hanging="360"/>
              <w:rPr>
                <w:color w:val="000000"/>
                <w:sz w:val="22"/>
                <w:szCs w:val="22"/>
              </w:rPr>
            </w:pPr>
            <w:r w:rsidDel="00000000" w:rsidR="00000000" w:rsidRPr="00000000">
              <w:rPr>
                <w:rFonts w:ascii="Calibri" w:cs="Calibri" w:eastAsia="Calibri" w:hAnsi="Calibri"/>
                <w:color w:val="000000"/>
                <w:sz w:val="22"/>
                <w:szCs w:val="22"/>
                <w:rtl w:val="0"/>
              </w:rPr>
              <w:t xml:space="preserve">for binary outcomes, presentation of both absolute and relative effect size </w:t>
            </w:r>
            <w:r w:rsidDel="00000000" w:rsidR="00000000" w:rsidRPr="00000000">
              <w:rPr>
                <w:rtl w:val="0"/>
              </w:rPr>
            </w:r>
          </w:p>
        </w:tc>
        <w:tc>
          <w:tcPr/>
          <w:p w:rsidR="00000000" w:rsidDel="00000000" w:rsidP="00000000" w:rsidRDefault="00000000" w:rsidRPr="00000000" w14:paraId="000000BC">
            <w:pPr>
              <w:spacing w:line="240" w:lineRule="auto"/>
              <w:rPr>
                <w:sz w:val="20"/>
                <w:szCs w:val="20"/>
              </w:rPr>
            </w:pPr>
            <w:r w:rsidDel="00000000" w:rsidR="00000000" w:rsidRPr="00000000">
              <w:rPr>
                <w:sz w:val="20"/>
                <w:szCs w:val="20"/>
                <w:rtl w:val="0"/>
              </w:rPr>
              <w:t xml:space="preserve">Pages 13-14</w:t>
            </w:r>
          </w:p>
          <w:p w:rsidR="00000000" w:rsidDel="00000000" w:rsidP="00000000" w:rsidRDefault="00000000" w:rsidRPr="00000000" w14:paraId="000000BD">
            <w:pPr>
              <w:spacing w:line="240" w:lineRule="auto"/>
              <w:rPr>
                <w:sz w:val="20"/>
                <w:szCs w:val="20"/>
              </w:rPr>
            </w:pPr>
            <w:r w:rsidDel="00000000" w:rsidR="00000000" w:rsidRPr="00000000">
              <w:rPr>
                <w:rtl w:val="0"/>
              </w:rPr>
            </w:r>
          </w:p>
          <w:p w:rsidR="00000000" w:rsidDel="00000000" w:rsidP="00000000" w:rsidRDefault="00000000" w:rsidRPr="00000000" w14:paraId="000000BE">
            <w:pPr>
              <w:spacing w:line="240" w:lineRule="auto"/>
              <w:rPr>
                <w:sz w:val="20"/>
                <w:szCs w:val="20"/>
              </w:rPr>
            </w:pPr>
            <w:r w:rsidDel="00000000" w:rsidR="00000000" w:rsidRPr="00000000">
              <w:rPr>
                <w:sz w:val="20"/>
                <w:szCs w:val="20"/>
                <w:rtl w:val="0"/>
              </w:rPr>
              <w:t xml:space="preserve">Tables 2-3 ; Pages 30-31</w:t>
            </w:r>
          </w:p>
        </w:tc>
      </w:tr>
      <w:tr>
        <w:trPr>
          <w:cantSplit w:val="0"/>
          <w:trHeight w:val="204" w:hRule="atLeast"/>
          <w:tblHeader w:val="0"/>
        </w:trPr>
        <w:tc>
          <w:tcPr/>
          <w:p w:rsidR="00000000" w:rsidDel="00000000" w:rsidP="00000000" w:rsidRDefault="00000000" w:rsidRPr="00000000" w14:paraId="000000B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Harms</w:t>
            </w:r>
          </w:p>
        </w:tc>
        <w:tc>
          <w:tcPr/>
          <w:p w:rsidR="00000000" w:rsidDel="00000000" w:rsidP="00000000" w:rsidRDefault="00000000" w:rsidRPr="00000000" w14:paraId="000000C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27</w:t>
            </w:r>
          </w:p>
        </w:tc>
        <w:tc>
          <w:tcPr/>
          <w:p w:rsidR="00000000" w:rsidDel="00000000" w:rsidP="00000000" w:rsidRDefault="00000000" w:rsidRPr="00000000" w14:paraId="000000C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All harms or unintended events in each group </w:t>
            </w:r>
          </w:p>
        </w:tc>
        <w:tc>
          <w:tcPr/>
          <w:p w:rsidR="00000000" w:rsidDel="00000000" w:rsidP="00000000" w:rsidRDefault="00000000" w:rsidRPr="00000000" w14:paraId="000000C2">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16</w:t>
            </w: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0C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Ancillary analyses</w:t>
            </w:r>
          </w:p>
        </w:tc>
        <w:tc>
          <w:tcPr/>
          <w:p w:rsidR="00000000" w:rsidDel="00000000" w:rsidP="00000000" w:rsidRDefault="00000000" w:rsidRPr="00000000" w14:paraId="000000C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28</w:t>
            </w:r>
          </w:p>
        </w:tc>
        <w:tc>
          <w:tcPr/>
          <w:p w:rsidR="00000000" w:rsidDel="00000000" w:rsidP="00000000" w:rsidRDefault="00000000" w:rsidRPr="00000000" w14:paraId="000000C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Any other analyses performed, including subgroup and sensitivity analyses, distinguishing pre-specified from post-hoc</w:t>
            </w:r>
          </w:p>
        </w:tc>
        <w:tc>
          <w:tcPr/>
          <w:p w:rsidR="00000000" w:rsidDel="00000000" w:rsidP="00000000" w:rsidRDefault="00000000" w:rsidRPr="00000000" w14:paraId="000000C6">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15</w:t>
            </w:r>
            <w:r w:rsidDel="00000000" w:rsidR="00000000" w:rsidRPr="00000000">
              <w:rPr>
                <w:rtl w:val="0"/>
              </w:rPr>
            </w:r>
          </w:p>
        </w:tc>
      </w:tr>
      <w:tr>
        <w:trPr>
          <w:cantSplit w:val="0"/>
          <w:trHeight w:val="276" w:hRule="atLeast"/>
          <w:tblHeader w:val="0"/>
        </w:trPr>
        <w:tc>
          <w:tcPr>
            <w:gridSpan w:val="3"/>
            <w:shd w:fill="bdd7ee" w:val="clear"/>
          </w:tcPr>
          <w:p w:rsidR="00000000" w:rsidDel="00000000" w:rsidP="00000000" w:rsidRDefault="00000000" w:rsidRPr="00000000" w14:paraId="000000C7">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Discussion</w:t>
            </w:r>
          </w:p>
        </w:tc>
        <w:tc>
          <w:tcPr>
            <w:shd w:fill="c6d9f1" w:val="clear"/>
          </w:tcPr>
          <w:p w:rsidR="00000000" w:rsidDel="00000000" w:rsidP="00000000" w:rsidRDefault="00000000" w:rsidRPr="00000000" w14:paraId="000000CA">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00C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Interpretation</w:t>
            </w:r>
          </w:p>
        </w:tc>
        <w:tc>
          <w:tcPr/>
          <w:p w:rsidR="00000000" w:rsidDel="00000000" w:rsidP="00000000" w:rsidRDefault="00000000" w:rsidRPr="00000000" w14:paraId="000000C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29</w:t>
            </w:r>
          </w:p>
        </w:tc>
        <w:tc>
          <w:tcPr/>
          <w:p w:rsidR="00000000" w:rsidDel="00000000" w:rsidP="00000000" w:rsidRDefault="00000000" w:rsidRPr="00000000" w14:paraId="000000C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Interpretation consistent with results, balancing benefits and harms, and considering other relevant evidence</w:t>
            </w:r>
          </w:p>
        </w:tc>
        <w:tc>
          <w:tcPr/>
          <w:p w:rsidR="00000000" w:rsidDel="00000000" w:rsidP="00000000" w:rsidRDefault="00000000" w:rsidRPr="00000000" w14:paraId="000000CE">
            <w:pPr>
              <w:spacing w:line="240" w:lineRule="auto"/>
              <w:rPr>
                <w:rFonts w:ascii="Calibri" w:cs="Calibri" w:eastAsia="Calibri" w:hAnsi="Calibri"/>
                <w:color w:val="000000"/>
                <w:sz w:val="22"/>
                <w:szCs w:val="22"/>
              </w:rPr>
            </w:pPr>
            <w:r w:rsidDel="00000000" w:rsidR="00000000" w:rsidRPr="00000000">
              <w:rPr>
                <w:sz w:val="20"/>
                <w:szCs w:val="20"/>
                <w:rtl w:val="0"/>
              </w:rPr>
              <w:t xml:space="preserve">Pages 16-19</w:t>
            </w: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00C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Limitations</w:t>
            </w:r>
          </w:p>
        </w:tc>
        <w:tc>
          <w:tcPr/>
          <w:p w:rsidR="00000000" w:rsidDel="00000000" w:rsidP="00000000" w:rsidRDefault="00000000" w:rsidRPr="00000000" w14:paraId="000000D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30</w:t>
            </w:r>
          </w:p>
        </w:tc>
        <w:tc>
          <w:tcPr/>
          <w:p w:rsidR="00000000" w:rsidDel="00000000" w:rsidP="00000000" w:rsidRDefault="00000000" w:rsidRPr="00000000" w14:paraId="000000D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Trial limitations, addressing sources of potential bias, imprecision, generalisability, and, if relevant, multiplicity of analyses</w:t>
            </w:r>
          </w:p>
        </w:tc>
        <w:tc>
          <w:tcPr/>
          <w:p w:rsidR="00000000" w:rsidDel="00000000" w:rsidP="00000000" w:rsidRDefault="00000000" w:rsidRPr="00000000" w14:paraId="000000D2">
            <w:pPr>
              <w:spacing w:line="240" w:lineRule="auto"/>
              <w:rPr>
                <w:rFonts w:ascii="Calibri" w:cs="Calibri" w:eastAsia="Calibri" w:hAnsi="Calibri"/>
                <w:color w:val="000000"/>
                <w:sz w:val="22"/>
                <w:szCs w:val="22"/>
              </w:rPr>
            </w:pPr>
            <w:r w:rsidDel="00000000" w:rsidR="00000000" w:rsidRPr="00000000">
              <w:rPr>
                <w:sz w:val="20"/>
                <w:szCs w:val="20"/>
                <w:rtl w:val="0"/>
              </w:rPr>
              <w:t xml:space="preserve">Page 19</w:t>
            </w:r>
            <w:r w:rsidDel="00000000" w:rsidR="00000000" w:rsidRPr="00000000">
              <w:rPr>
                <w:rtl w:val="0"/>
              </w:rPr>
            </w:r>
          </w:p>
        </w:tc>
      </w:tr>
    </w:tbl>
    <w:p w:rsidR="00000000" w:rsidDel="00000000" w:rsidP="00000000" w:rsidRDefault="00000000" w:rsidRPr="00000000" w14:paraId="000000D3">
      <w:pPr>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6">
        <w:r w:rsidDel="00000000" w:rsidR="00000000" w:rsidRPr="00000000">
          <w:rPr>
            <w:rFonts w:ascii="Calibri" w:cs="Calibri" w:eastAsia="Calibri" w:hAnsi="Calibri"/>
            <w:b w:val="0"/>
            <w:bCs w:val="0"/>
            <w:i w:val="0"/>
            <w:iCs w:val="0"/>
            <w:smallCaps w:val="0"/>
            <w:strike w:val="0"/>
            <w:color w:val="0070c0"/>
            <w:sz w:val="20"/>
            <w:szCs w:val="20"/>
            <w:u w:val="single"/>
            <w:shd w:fill="auto" w:val="clear"/>
            <w:vertAlign w:val="baseline"/>
            <w:rtl w:val="0"/>
          </w:rPr>
          <w:t xml:space="preserve">www.consort-spirit.org</w:t>
        </w:r>
      </w:hyperlink>
      <w:r w:rsidDel="00000000" w:rsidR="00000000" w:rsidRPr="00000000">
        <w:rPr>
          <w:rFonts w:ascii="Calibri" w:cs="Calibri" w:eastAsia="Calibri" w:hAnsi="Calibri"/>
          <w:b w:val="0"/>
          <w:bCs w:val="0"/>
          <w:i w:val="0"/>
          <w:iCs w:val="0"/>
          <w:smallCaps w:val="0"/>
          <w:strike w:val="0"/>
          <w:color w:val="0070c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5">
      <w:pPr>
        <w:spacing w:line="24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Citation: Hopewell S, Chan AW, Collins GS, Hróbjartsson A, Moher D, Schulz KF, et al. CONSORT 2025 Statement: updated guideline for reporting randomised trials. BMJ. 2025; 388:e081123. </w:t>
      </w:r>
      <w:hyperlink r:id="rId7">
        <w:r w:rsidDel="00000000" w:rsidR="00000000" w:rsidRPr="00000000">
          <w:rPr>
            <w:rFonts w:ascii="Calibri" w:cs="Calibri" w:eastAsia="Calibri" w:hAnsi="Calibri"/>
            <w:b w:val="0"/>
            <w:bCs w:val="0"/>
            <w:i w:val="0"/>
            <w:iCs w:val="0"/>
            <w:smallCaps w:val="0"/>
            <w:strike w:val="0"/>
            <w:color w:val="0070c0"/>
            <w:sz w:val="20"/>
            <w:szCs w:val="20"/>
            <w:u w:val="single"/>
            <w:shd w:fill="auto" w:val="clear"/>
            <w:vertAlign w:val="baseline"/>
            <w:rtl w:val="0"/>
          </w:rPr>
          <w:t xml:space="preserve">https://dx.doi.org/10.1136/bmj-2024-081123</w:t>
        </w:r>
      </w:hyperlink>
      <w:r w:rsidDel="00000000" w:rsidR="00000000" w:rsidRPr="00000000">
        <w:rPr>
          <w:rFonts w:ascii="Calibri" w:cs="Calibri" w:eastAsia="Calibri" w:hAnsi="Calibri"/>
          <w:b w:val="0"/>
          <w:bCs w:val="0"/>
          <w:i w:val="0"/>
          <w:iCs w:val="0"/>
          <w:smallCaps w:val="0"/>
          <w:strike w:val="0"/>
          <w:color w:val="0070c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br w:type="textWrapping"/>
        <w:t xml:space="preserve">© 2025 Hopewell et al. This is an Open Access article distributed under the terms of the Creative Commons Attribution License (</w:t>
      </w:r>
      <w:hyperlink r:id="rId8">
        <w:r w:rsidDel="00000000" w:rsidR="00000000" w:rsidRPr="00000000">
          <w:rPr>
            <w:rFonts w:ascii="Calibri" w:cs="Calibri" w:eastAsia="Calibri" w:hAnsi="Calibri"/>
            <w:b w:val="0"/>
            <w:bCs w:val="0"/>
            <w:i w:val="0"/>
            <w:iCs w:val="0"/>
            <w:smallCaps w:val="0"/>
            <w:strike w:val="0"/>
            <w:color w:val="0070c0"/>
            <w:sz w:val="20"/>
            <w:szCs w:val="20"/>
            <w:u w:val="single"/>
            <w:shd w:fill="auto" w:val="clear"/>
            <w:vertAlign w:val="baseline"/>
            <w:rtl w:val="0"/>
          </w:rPr>
          <w:t xml:space="preserve">https://creativecommons.org/licenses/by/4.0/</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which permits unrestricted use, distribution, and reproduction in any medium, provided the original work is properly cited.</w:t>
      </w:r>
    </w:p>
    <w:sectPr>
      <w:footerReference r:id="rId9"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333333"/>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333333"/>
        <w:sz w:val="24"/>
        <w:szCs w:val="24"/>
        <w:lang w:val="en_GB"/>
      </w:rPr>
    </w:rPrDefault>
    <w:pPrDefault>
      <w:pPr>
        <w:spacing w:line="4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160" w:line="259" w:lineRule="auto"/>
    </w:pPr>
    <w:rPr>
      <w:rFonts w:ascii="Calibri" w:cs="Calibri" w:eastAsia="Calibri" w:hAnsi="Calibri"/>
      <w:b w:val="1"/>
      <w:bCs w:val="1"/>
      <w:color w:val="000000"/>
      <w:sz w:val="22"/>
      <w:szCs w:val="2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consort-spirit.org" TargetMode="External"/><Relationship Id="rId7" Type="http://schemas.openxmlformats.org/officeDocument/2006/relationships/hyperlink" Target="https://dx.doi.org/10.1136/bmj-2024-081123" TargetMode="External"/><Relationship Id="rId8"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