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2EF67" w14:textId="33DDCA83" w:rsidR="00C320CC" w:rsidRPr="00BF5C17" w:rsidRDefault="0075663D">
      <w:pPr>
        <w:rPr>
          <w:rFonts w:ascii="Arial" w:hAnsi="Arial" w:cs="Arial"/>
          <w:sz w:val="24"/>
          <w:szCs w:val="24"/>
        </w:rPr>
      </w:pPr>
      <w:r w:rsidRPr="00BF5C17">
        <w:rPr>
          <w:rFonts w:ascii="Arial" w:hAnsi="Arial" w:cs="Arial"/>
          <w:sz w:val="24"/>
          <w:szCs w:val="24"/>
        </w:rPr>
        <w:t>APPENDIX</w:t>
      </w:r>
    </w:p>
    <w:p w14:paraId="44E874C4" w14:textId="5B8B9FFB" w:rsidR="000E4CF6" w:rsidRDefault="0075663D" w:rsidP="000E4CF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F5C17">
        <w:rPr>
          <w:rFonts w:ascii="Arial" w:hAnsi="Arial" w:cs="Arial"/>
          <w:sz w:val="24"/>
          <w:szCs w:val="24"/>
        </w:rPr>
        <w:t>Medline search strategy.</w:t>
      </w:r>
    </w:p>
    <w:p w14:paraId="3DE5CD87" w14:textId="77777777" w:rsidR="000E4CF6" w:rsidRPr="000E4CF6" w:rsidRDefault="000E4CF6" w:rsidP="000E4CF6">
      <w:pPr>
        <w:spacing w:line="360" w:lineRule="atLeast"/>
        <w:rPr>
          <w:rStyle w:val="showdbname"/>
          <w:rFonts w:cstheme="minorHAnsi"/>
          <w:b/>
          <w:bCs/>
        </w:rPr>
      </w:pPr>
      <w:r w:rsidRPr="000E4CF6">
        <w:rPr>
          <w:rStyle w:val="showdbname"/>
          <w:rFonts w:cstheme="minorHAnsi"/>
          <w:b/>
          <w:bCs/>
        </w:rPr>
        <w:t>Ovid MEDLINE(R) ALL 1946 to March 23, 2021</w:t>
      </w:r>
    </w:p>
    <w:tbl>
      <w:tblPr>
        <w:tblW w:w="8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6027"/>
        <w:gridCol w:w="1043"/>
        <w:gridCol w:w="1104"/>
        <w:gridCol w:w="6"/>
        <w:gridCol w:w="6"/>
        <w:gridCol w:w="6"/>
      </w:tblGrid>
      <w:tr w:rsidR="000E4CF6" w:rsidRPr="00376D95" w14:paraId="10C74D3F" w14:textId="77777777" w:rsidTr="00E4278D">
        <w:trPr>
          <w:gridAfter w:val="6"/>
          <w:wAfter w:w="819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40A78C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DB0E34D" w14:textId="77777777" w:rsidTr="00E4278D">
        <w:trPr>
          <w:gridAfter w:val="3"/>
        </w:trPr>
        <w:tc>
          <w:tcPr>
            <w:tcW w:w="448" w:type="dxa"/>
            <w:shd w:val="clear" w:color="auto" w:fill="FFFFFF"/>
            <w:vAlign w:val="center"/>
            <w:hideMark/>
          </w:tcPr>
          <w:p w14:paraId="48EB2827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b/>
                <w:bCs/>
                <w:color w:val="0A0905"/>
              </w:rPr>
            </w:pPr>
            <w:r w:rsidRPr="00376D95">
              <w:rPr>
                <w:rFonts w:cstheme="minorHAnsi"/>
                <w:b/>
                <w:bCs/>
                <w:color w:val="0A0905"/>
              </w:rPr>
              <w:t>#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05" w:type="dxa"/>
              <w:bottom w:w="45" w:type="dxa"/>
              <w:right w:w="45" w:type="dxa"/>
            </w:tcMar>
            <w:vAlign w:val="center"/>
            <w:hideMark/>
          </w:tcPr>
          <w:p w14:paraId="007037D7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b/>
                <w:bCs/>
                <w:color w:val="0A0905"/>
              </w:rPr>
            </w:pPr>
            <w:r w:rsidRPr="00376D95">
              <w:rPr>
                <w:rStyle w:val="searchhistory-search-header"/>
                <w:rFonts w:cstheme="minorHAnsi"/>
                <w:b/>
                <w:bCs/>
                <w:color w:val="0A0905"/>
              </w:rPr>
              <w:t>Searches</w:t>
            </w:r>
          </w:p>
        </w:tc>
        <w:tc>
          <w:tcPr>
            <w:tcW w:w="1043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C1AD426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b/>
                <w:bCs/>
                <w:color w:val="0A0905"/>
              </w:rPr>
            </w:pPr>
            <w:r w:rsidRPr="00376D95">
              <w:rPr>
                <w:rFonts w:cstheme="minorHAnsi"/>
                <w:b/>
                <w:bCs/>
                <w:color w:val="0A0905"/>
              </w:rPr>
              <w:t>Results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5C49939D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b/>
                <w:bCs/>
                <w:color w:val="0A0905"/>
              </w:rPr>
            </w:pPr>
            <w:r w:rsidRPr="00376D95">
              <w:rPr>
                <w:rFonts w:cstheme="minorHAnsi"/>
                <w:b/>
                <w:bCs/>
                <w:color w:val="0A0905"/>
              </w:rPr>
              <w:t>Type</w:t>
            </w:r>
          </w:p>
        </w:tc>
      </w:tr>
      <w:tr w:rsidR="000E4CF6" w:rsidRPr="00376D95" w14:paraId="41FD3FBB" w14:textId="77777777" w:rsidTr="00E4278D">
        <w:tc>
          <w:tcPr>
            <w:tcW w:w="0" w:type="auto"/>
            <w:gridSpan w:val="7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60CBEB6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b/>
                <w:bCs/>
                <w:color w:val="0A0905"/>
              </w:rPr>
            </w:pPr>
          </w:p>
        </w:tc>
      </w:tr>
      <w:tr w:rsidR="000E4CF6" w:rsidRPr="00376D95" w14:paraId="7CD4F9BD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B82CD3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40685A0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exp Intestinal Obstruction/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9412724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47698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38745A6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787ECA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48E0275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70102C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32F4E63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7DB95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F3B9420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(bowel? adj3 obstruct*).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BAE437A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12236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5F6D7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F77FB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EC6C4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02818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110BE8D9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DF16F7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80C3E5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(gastro* adj3 obstruct*).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3E7EA95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2008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31F070F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85E956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F95764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3E7DCB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59074581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0F08A6D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FB36E9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intestin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 adj3 obstruct*).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767525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38651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178C08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7E6B0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DC0A8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8C14D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E14C2C2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7024CD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49B76D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duoden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 adj3 obstruct*).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0ED811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4498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83ED99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93EF64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F7BBB3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48CA25B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28BCA329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D803C9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BA0EB22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ile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 adj3 obstruct*).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694A5E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1174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D57023E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FDD55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EF76F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B42A0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59F4B563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7CC2F36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F3C2A39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jejun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 adj3 obstruct*).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22C8CFE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375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229E6A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C81A01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3E7073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10BBA3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76D418A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DF812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8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6A0450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meckel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 adj3 obstruct*).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63460C8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107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271ABD3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D9AF5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27A55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FE0E0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7B6D24DE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57835E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9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B8EFE7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((colon* or colic*) adj3 obstruct*).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4D85CF8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3237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B7346B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06CFCA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402462A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4EE9D3B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189803D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2C5ABA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10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1A151A3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((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c?ecum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 xml:space="preserve">* or 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c?ecal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*) adj3 obstruct*).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4C5994F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123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B971CEC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3D96E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D2D77D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A1997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A749367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309705D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11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C286F36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(sigmoid* adj3 obstruct*).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3F32C6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275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18BACB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466D0F8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0FA0A08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35FBA2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CADD21F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47A35F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12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533BE4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rect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 adj3 obstruct*).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2D8580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621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675A0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F50F1D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51A63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61C42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6ABF815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362C89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13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FB59D06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or/1-12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555BF0E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62503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58F47B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4BE0F5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A5F65B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8CE8AB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B66E2D9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E58E53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14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35D5F0C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exp Neoplasms/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140575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3433371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2238E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ED3F1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9970E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8C2B5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1ED1B05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519748C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15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C991744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neoplas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1E8802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2994798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6549BC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6E80B9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F11567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72F701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54995BE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0326CC6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16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83DF98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cancer*.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32580C5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1920433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0C9C20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259D2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0A988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8AC8E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50DF38BD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302555D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lastRenderedPageBreak/>
              <w:t>17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B91CB98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tumo?r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33C54F7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2210610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C94844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8A2D3D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9A575E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BA8415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155AF99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9082DA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18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F8B705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malig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91FBC7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610726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374EDA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CD791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AADF9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4F755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F197758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F3E596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19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5F774B7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metast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1457D33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604719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1E0FCDF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F51CDB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04D524D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15B1AA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99E70C5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04312D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20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DF6CC0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micrometast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5C070D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6978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187369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4639E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279D0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C0984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22BD44EB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59305F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21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EA1A18D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macrometast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9BF6D92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978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FDB619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E3BB8B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42B378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8FDFC1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B256884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209AC2F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22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81F657C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oligo*.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7851ACA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437343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861A1EE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8E0C8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83E53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FE76E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C76D03A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5278AEA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23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908E955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or/14-22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EC2FCE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5011949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0F2C81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CF283B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EB455F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4752543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1E9235E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51F04A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24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0274BB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"Quality of Life"/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44D94A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206160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350BDEE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93405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17D3D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27E78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1B79AA0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7FEAF6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25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09AFB1A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Quality-Adjusted Life Years/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49FC646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13026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863D4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8E8A79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0719EB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1E3F84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7BB91D60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B3AAC3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26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6AAF558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exp "Outcome Assessment (Health Care)"/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7933092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1178876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4BB37B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54554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590FE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C44C8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E4D9610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7A8E497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27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55619F1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exp Patient Outcome Assessment/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32E2F63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13492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DDC8DC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137061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6F0D308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FDCA25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DFE8C90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82BA5C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28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340707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Patient Reported Outcome Measures/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FE8CCE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7761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56C9EF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1A50C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9AACB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E136C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7FE00772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63533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29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7C5C31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Treatment Outcome/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7E99D43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1013800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8430EE6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F9F553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E93DEC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9D6C8B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FC8FE7E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08AAC3B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30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2FE2B2C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Treatment Failure/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CB2BBA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35801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C59320B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E1C80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C3B44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E895D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D13E70D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CD81A1D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31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6EAB6B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Symptom Assessment/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5B2FC77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5804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8C3DD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52D4E6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62685F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EEE0A7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000C4D2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938835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32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DD32B7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Disease Management/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5EF9209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38734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C2514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B46A0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55787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FA93B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29BEEE1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88B65C3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33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6CBA987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Patient Safety/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E3396CE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22085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C2D32DA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D04C31D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ABE1B5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A2C5A9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1C7A813D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328050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34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155CED5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exp Safety Management/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3ECB3CB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20567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ABA5A9A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326FF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FEC63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06807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526D790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2BCC34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35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E9B29AB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Survivors/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19A6088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25192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76325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37569B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A65DAC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0883A0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7D61892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2891EC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36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572BFB6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Cancer Survivors/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316CB3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4786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9240915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7D66C8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DD061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4038F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7248418F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7985C3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37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0D52D3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Survival/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A2F18FB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4804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BDE351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6A7A06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7C067B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B583725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B0C0899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907F0DA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lastRenderedPageBreak/>
              <w:t>38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AFB63C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Survival Rate/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FEEE9E0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179056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8EF43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3AD00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4B2FF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7B58D8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159B0D43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7B29CE9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39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3A93D9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exp Survival Analysis/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46D9AD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308214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19A6A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C1A2DB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3591E1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CE483A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C8AFE3F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587F5B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40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1AB2DA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Disease-Free Survival/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94C4B81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76483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EF98CDE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9E2E5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6485A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689E3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28B612D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48954D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41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94595A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Disease Progression/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34BC3F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171597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A267BC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1665DC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4F294E4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EACB43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778765A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1BCD17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42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D97F213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qualit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 adj4 life).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92EB385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376723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FA9CF6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85A2D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C3F908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3557DD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7C9992F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36135F6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43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35FDAFD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(life adj3 year? adj3 adjusted).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60CD5C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22151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FB33E2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A634D8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EA32B1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4B7BC9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266A9BB1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0674BE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44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B9809B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QOL?.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D877D26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41879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1D8CF2D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90F04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5EA23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83052D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47E9492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2E3910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45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3F3DBD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QALY?.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305C18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11417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49D5CC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59B94C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CA678F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97ABBA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D390862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166BC5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46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315064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HRQOL?.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8E5CE7E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17940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32F7A2A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6E4E3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BA525D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F6AC3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DD710E2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00341A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47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F9E03B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(outcome? adj3 assess*).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1C255A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170995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D1D98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F92856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314A25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9A519A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4096F5E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AFA4C9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48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351A86E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(patient? adj3 outcome?).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EB77613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280095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F39A93E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1E906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96BA6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78D17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AB9799F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024383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49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E4D4AE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(patient? adj3 report*).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BFD3C1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225291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12B63F6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8A6ADD5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D67999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A7B6408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222C96D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7BA61F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50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A0D98A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PRO?.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7C65AA7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270265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F90722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778EC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ACDE2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D4508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DF41553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B9627D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51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839416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PROM?.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4D4EB55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7931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754DF76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E0DABED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D8978D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DECBBF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5E1739EF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7E2F123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52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499957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PROMIS?.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A8C7F56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105467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AFDF33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67565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67787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85E7B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17B33D2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167997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53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4361AF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(treatment? adj3 outcome?).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074985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1087283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39C5014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EB8E428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615CB0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D1A354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58F3441C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E7FD44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54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FEC110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 xml:space="preserve">(treatment? adj3 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failur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04181E5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75394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20E41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DA2AA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A337A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9A426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30DE3E3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788D153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55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D306E4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(symptom? adj3 assess*).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8BC12FA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33173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30B28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13C9C6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D484B2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9789C38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143E4CF8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EC699C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56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69C5FF6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 xml:space="preserve">(symptom? adj3 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manag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1A357C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14484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82BD13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9C526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1109D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B426B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7B135B26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51B7DB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57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B1C098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 xml:space="preserve">(disease? adj3 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manag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0368A7F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87769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76BE69B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17A923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6471905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097D00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5DC8C4DE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9CC82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58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B64F44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 xml:space="preserve">(patient? adj3 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manag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0B9CCD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175570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8B27B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7E3BC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C89EB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7D6CE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B717F6D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3573C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lastRenderedPageBreak/>
              <w:t>59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FA69DA9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(patient? adj3 safe*).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5FB419F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78688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31159E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BB22D3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D7E33A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D8FA9C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2276BC97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C3258BC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60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82D980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surviv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0DEB5A0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1502406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AEAA8D3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5B6E3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9FD30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6E887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2AA91DE4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02DA18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61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19AAC7C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((recur* or re-cur*) adj3 free*).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5D7CEDE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23984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327C88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843DCF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E81FE3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C01C32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784D6689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4EC826E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62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0547E30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((reoccur* or re-occur*) adj3 free*).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479FB89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9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B3999B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1872E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FCC61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48F0D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4E87E72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C63999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63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4073D00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relaps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 adj3 free*).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BBDD00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13069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1A2515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40D9FE5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9BC0B6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E0E47E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71C39A1E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47B0FC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64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75D77A9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(residual* adj3 free*).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7C44624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1108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FC3B250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9C7BB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43988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3EC2C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6F0CC5C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FC6FD3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65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A5AE678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(disease? adj3 free*).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C4843F6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134580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B64214F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4B5ED81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0950F6D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417D81F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5C409BB6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EDCAC27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66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2C53FFD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 xml:space="preserve">(disease? adj3 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progres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434B55B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307035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1E6C35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29E26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DE74C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32284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293AFC5C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5A2867C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67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70E1611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 xml:space="preserve">(disease? adj3 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exacerbat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*).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716DE8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8462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922E0E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6FDA195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B2CAA7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B939EA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41176383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6F02106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68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2FC795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respon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 xml:space="preserve">* adj3 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evaluat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* adj3 (</w:t>
            </w: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tumo?r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* or cancer*)).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088841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2127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35FF96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EF014A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1141C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16787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AEBD6E8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5177F9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69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5746E11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recist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?.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EAF3726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4732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E396C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01B3DC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01F03E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0E6377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6258F806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4A05EF9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70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7681E06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spellStart"/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mrecist</w:t>
            </w:r>
            <w:proofErr w:type="spellEnd"/>
            <w:r w:rsidRPr="00376D95">
              <w:rPr>
                <w:rStyle w:val="searchhistory-search-term"/>
                <w:rFonts w:cstheme="minorHAnsi"/>
                <w:color w:val="0A0905"/>
              </w:rPr>
              <w:t>?.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0547C10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454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42827EA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8FF50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B7F027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84BD25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5DFBBD1E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A2FF83E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71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5311E0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resolution?.</w:t>
            </w:r>
            <w:proofErr w:type="spellStart"/>
            <w:r w:rsidRPr="00376D95">
              <w:rPr>
                <w:rStyle w:val="searchhistory-search-term"/>
                <w:rFonts w:cstheme="minorHAnsi"/>
                <w:color w:val="0A0905"/>
              </w:rPr>
              <w:t>mp,kw</w:t>
            </w:r>
            <w:proofErr w:type="spellEnd"/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>.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6E1B6C9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425721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2E12F6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4E9A4E51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10BB694C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0C3435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2A410D2B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D93178C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72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FB072A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or/24-71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F4E9DA9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4301708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03609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9C846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90223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7D2D5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F02D774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CA2E4B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73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02C2B60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13 and 23 and 72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988C9E2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5190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FB5ABEE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7791B894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C62EDF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A50F63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6D7B012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10427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74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9D2104A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(</w:t>
            </w:r>
            <w:proofErr w:type="gramStart"/>
            <w:r w:rsidRPr="00376D95">
              <w:rPr>
                <w:rStyle w:val="searchhistory-search-term"/>
                <w:rFonts w:cstheme="minorHAnsi"/>
                <w:color w:val="0A0905"/>
              </w:rPr>
              <w:t>exp</w:t>
            </w:r>
            <w:proofErr w:type="gramEnd"/>
            <w:r w:rsidRPr="00376D95">
              <w:rPr>
                <w:rStyle w:val="searchhistory-search-term"/>
                <w:rFonts w:cstheme="minorHAnsi"/>
                <w:color w:val="0A0905"/>
              </w:rPr>
              <w:t xml:space="preserve"> animals/ or exp animal experiment/) not humans/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AC7D0E8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4804408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A62EF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63CB8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833303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48CC6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7C614058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8A4BAD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75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385FAF9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73 not 74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5F9F51A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5137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13CCDB2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54AC0B0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6730759E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491D1952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26684EE2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9EE5CD7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76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86C7B1A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limit 75 to "all child (0 to 18 years)"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BB4380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560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196209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D2D99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F3874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9857AD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B3764DC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AA6EF13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77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12E5D81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limit 75 to "all adult (19 plus years)"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AC60125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3721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26B5C5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D180B6D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E7B2BA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2646F525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3251C98C" w14:textId="77777777" w:rsidTr="00E4278D">
        <w:tc>
          <w:tcPr>
            <w:tcW w:w="448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7250C49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78</w:t>
            </w:r>
          </w:p>
        </w:tc>
        <w:tc>
          <w:tcPr>
            <w:tcW w:w="6027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355277C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76 not 77</w:t>
            </w:r>
          </w:p>
        </w:tc>
        <w:tc>
          <w:tcPr>
            <w:tcW w:w="1043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D88727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231</w:t>
            </w:r>
          </w:p>
        </w:tc>
        <w:tc>
          <w:tcPr>
            <w:tcW w:w="1104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1C5CB78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1B8E70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344258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E1F3C5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7A6B94E6" w14:textId="77777777" w:rsidTr="00E4278D">
        <w:tc>
          <w:tcPr>
            <w:tcW w:w="448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ADD8CE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79</w:t>
            </w:r>
          </w:p>
        </w:tc>
        <w:tc>
          <w:tcPr>
            <w:tcW w:w="602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662FB40" w14:textId="77777777" w:rsidR="000E4CF6" w:rsidRPr="00376D95" w:rsidRDefault="000E4CF6" w:rsidP="00E4278D">
            <w:pPr>
              <w:spacing w:line="360" w:lineRule="atLeast"/>
              <w:rPr>
                <w:rFonts w:cstheme="minorHAnsi"/>
                <w:color w:val="0A0905"/>
              </w:rPr>
            </w:pPr>
            <w:r w:rsidRPr="00376D95">
              <w:rPr>
                <w:rStyle w:val="searchhistory-search-term"/>
                <w:rFonts w:cstheme="minorHAnsi"/>
                <w:color w:val="0A0905"/>
              </w:rPr>
              <w:t>75 not 78</w:t>
            </w:r>
          </w:p>
        </w:tc>
        <w:tc>
          <w:tcPr>
            <w:tcW w:w="104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4DAABB" w14:textId="77777777" w:rsidR="000E4CF6" w:rsidRPr="00376D95" w:rsidRDefault="000E4CF6" w:rsidP="00E4278D">
            <w:pPr>
              <w:spacing w:line="360" w:lineRule="atLeast"/>
              <w:jc w:val="right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4906</w:t>
            </w:r>
          </w:p>
        </w:tc>
        <w:tc>
          <w:tcPr>
            <w:tcW w:w="1104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49B91A9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  <w:r w:rsidRPr="00376D95">
              <w:rPr>
                <w:rFonts w:cstheme="minorHAnsi"/>
                <w:color w:val="0A0905"/>
              </w:rPr>
              <w:t>Advanced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F2FF669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3E0CD0EB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14:paraId="0CB798B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  <w:tr w:rsidR="000E4CF6" w:rsidRPr="00376D95" w14:paraId="0B61904F" w14:textId="77777777" w:rsidTr="00E4278D">
        <w:tc>
          <w:tcPr>
            <w:tcW w:w="0" w:type="auto"/>
            <w:gridSpan w:val="3"/>
            <w:shd w:val="clear" w:color="auto" w:fill="FFFFFF"/>
            <w:tcMar>
              <w:top w:w="480" w:type="dxa"/>
              <w:left w:w="48" w:type="dxa"/>
              <w:bottom w:w="0" w:type="dxa"/>
              <w:right w:w="0" w:type="dxa"/>
            </w:tcMar>
            <w:hideMark/>
          </w:tcPr>
          <w:p w14:paraId="0C3C40A1" w14:textId="77777777" w:rsidR="000E4CF6" w:rsidRPr="00376D95" w:rsidRDefault="000E4CF6" w:rsidP="00E4278D">
            <w:pPr>
              <w:spacing w:line="360" w:lineRule="atLeast"/>
              <w:jc w:val="center"/>
              <w:rPr>
                <w:rFonts w:cstheme="minorHAnsi"/>
                <w:color w:val="0A0905"/>
              </w:rPr>
            </w:pPr>
          </w:p>
        </w:tc>
        <w:tc>
          <w:tcPr>
            <w:tcW w:w="0" w:type="auto"/>
            <w:shd w:val="clear" w:color="auto" w:fill="FFFFFF"/>
            <w:tcMar>
              <w:top w:w="480" w:type="dxa"/>
              <w:left w:w="48" w:type="dxa"/>
              <w:bottom w:w="0" w:type="dxa"/>
              <w:right w:w="0" w:type="dxa"/>
            </w:tcMar>
            <w:hideMark/>
          </w:tcPr>
          <w:p w14:paraId="7E882ABD" w14:textId="77777777" w:rsidR="000E4CF6" w:rsidRPr="00376D95" w:rsidRDefault="000E4CF6" w:rsidP="00E4278D">
            <w:pPr>
              <w:spacing w:line="360" w:lineRule="atLeast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DC9516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5053B8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A894CF" w14:textId="77777777" w:rsidR="000E4CF6" w:rsidRPr="00376D95" w:rsidRDefault="000E4CF6" w:rsidP="00E4278D">
            <w:pPr>
              <w:rPr>
                <w:rFonts w:cstheme="minorHAnsi"/>
              </w:rPr>
            </w:pPr>
          </w:p>
        </w:tc>
      </w:tr>
    </w:tbl>
    <w:p w14:paraId="16855680" w14:textId="77777777" w:rsidR="000E4CF6" w:rsidRPr="000E4CF6" w:rsidRDefault="000E4CF6" w:rsidP="000E4CF6">
      <w:pPr>
        <w:rPr>
          <w:rFonts w:ascii="Arial" w:hAnsi="Arial" w:cs="Arial"/>
          <w:sz w:val="24"/>
          <w:szCs w:val="24"/>
        </w:rPr>
      </w:pPr>
    </w:p>
    <w:p w14:paraId="56ED7ECB" w14:textId="7D1F8AFD" w:rsidR="00532204" w:rsidRPr="00532204" w:rsidRDefault="00532204" w:rsidP="00532204">
      <w:pPr>
        <w:rPr>
          <w:sz w:val="20"/>
          <w:szCs w:val="20"/>
        </w:rPr>
      </w:pPr>
      <w:r w:rsidRPr="00532204">
        <w:rPr>
          <w:b/>
          <w:bCs/>
        </w:rPr>
        <w:t>Appendix B</w:t>
      </w:r>
      <w:r w:rsidRPr="00532204">
        <w:t>: Summary of evidence about anti-emetics used for malignant bowel obstruction management</w:t>
      </w:r>
      <w:r w:rsidRPr="0053220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1218"/>
        <w:gridCol w:w="1709"/>
        <w:gridCol w:w="1833"/>
        <w:gridCol w:w="1604"/>
        <w:gridCol w:w="1783"/>
      </w:tblGrid>
      <w:tr w:rsidR="00532204" w:rsidRPr="00532204" w14:paraId="453FE22B" w14:textId="77777777" w:rsidTr="00865FB8">
        <w:trPr>
          <w:tblHeader/>
        </w:trPr>
        <w:tc>
          <w:tcPr>
            <w:tcW w:w="1451" w:type="dxa"/>
          </w:tcPr>
          <w:p w14:paraId="70262176" w14:textId="77777777" w:rsidR="00532204" w:rsidRPr="00532204" w:rsidRDefault="00532204" w:rsidP="00865FB8">
            <w:pPr>
              <w:rPr>
                <w:b/>
                <w:bCs/>
                <w:sz w:val="20"/>
                <w:szCs w:val="20"/>
              </w:rPr>
            </w:pPr>
            <w:r w:rsidRPr="00532204">
              <w:rPr>
                <w:b/>
                <w:bCs/>
                <w:sz w:val="20"/>
                <w:szCs w:val="20"/>
              </w:rPr>
              <w:t>Author (Year)</w:t>
            </w:r>
          </w:p>
        </w:tc>
        <w:tc>
          <w:tcPr>
            <w:tcW w:w="1505" w:type="dxa"/>
          </w:tcPr>
          <w:p w14:paraId="01DEA568" w14:textId="77777777" w:rsidR="00532204" w:rsidRPr="00532204" w:rsidRDefault="00532204" w:rsidP="00865FB8">
            <w:pPr>
              <w:rPr>
                <w:b/>
                <w:bCs/>
                <w:sz w:val="20"/>
                <w:szCs w:val="20"/>
              </w:rPr>
            </w:pPr>
            <w:r w:rsidRPr="00532204">
              <w:rPr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895" w:type="dxa"/>
          </w:tcPr>
          <w:p w14:paraId="557C2BDF" w14:textId="77777777" w:rsidR="00532204" w:rsidRPr="00532204" w:rsidRDefault="00532204" w:rsidP="00865FB8">
            <w:pPr>
              <w:rPr>
                <w:b/>
                <w:bCs/>
                <w:sz w:val="20"/>
                <w:szCs w:val="20"/>
              </w:rPr>
            </w:pPr>
            <w:r w:rsidRPr="00532204">
              <w:rPr>
                <w:b/>
                <w:bCs/>
                <w:sz w:val="20"/>
                <w:szCs w:val="20"/>
              </w:rPr>
              <w:t>Study Population</w:t>
            </w:r>
          </w:p>
        </w:tc>
        <w:tc>
          <w:tcPr>
            <w:tcW w:w="2008" w:type="dxa"/>
          </w:tcPr>
          <w:p w14:paraId="17ABE07C" w14:textId="77777777" w:rsidR="00532204" w:rsidRPr="00532204" w:rsidRDefault="00532204" w:rsidP="00865FB8">
            <w:pPr>
              <w:rPr>
                <w:b/>
                <w:bCs/>
                <w:sz w:val="20"/>
                <w:szCs w:val="20"/>
              </w:rPr>
            </w:pPr>
            <w:r w:rsidRPr="00532204">
              <w:rPr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2890" w:type="dxa"/>
          </w:tcPr>
          <w:p w14:paraId="37CFB0B1" w14:textId="77777777" w:rsidR="00532204" w:rsidRPr="00532204" w:rsidRDefault="00532204" w:rsidP="00865FB8">
            <w:pPr>
              <w:rPr>
                <w:b/>
                <w:bCs/>
                <w:sz w:val="20"/>
                <w:szCs w:val="20"/>
              </w:rPr>
            </w:pPr>
            <w:r w:rsidRPr="00532204">
              <w:rPr>
                <w:b/>
                <w:bCs/>
                <w:sz w:val="20"/>
                <w:szCs w:val="20"/>
              </w:rPr>
              <w:t>Comparator</w:t>
            </w:r>
          </w:p>
        </w:tc>
        <w:tc>
          <w:tcPr>
            <w:tcW w:w="3201" w:type="dxa"/>
          </w:tcPr>
          <w:p w14:paraId="35BA4042" w14:textId="77777777" w:rsidR="00532204" w:rsidRPr="00532204" w:rsidRDefault="00532204" w:rsidP="00865FB8">
            <w:pPr>
              <w:rPr>
                <w:b/>
                <w:bCs/>
                <w:sz w:val="20"/>
                <w:szCs w:val="20"/>
              </w:rPr>
            </w:pPr>
            <w:r w:rsidRPr="00532204">
              <w:rPr>
                <w:b/>
                <w:bCs/>
                <w:sz w:val="20"/>
                <w:szCs w:val="20"/>
              </w:rPr>
              <w:t>Outcomes</w:t>
            </w:r>
          </w:p>
        </w:tc>
      </w:tr>
      <w:tr w:rsidR="00532204" w:rsidRPr="00532204" w14:paraId="68FDF804" w14:textId="77777777" w:rsidTr="00865FB8">
        <w:tc>
          <w:tcPr>
            <w:tcW w:w="1451" w:type="dxa"/>
          </w:tcPr>
          <w:p w14:paraId="3ED45C52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Berger (2016)</w:t>
            </w:r>
          </w:p>
        </w:tc>
        <w:tc>
          <w:tcPr>
            <w:tcW w:w="1505" w:type="dxa"/>
          </w:tcPr>
          <w:p w14:paraId="73E68150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Case series</w:t>
            </w:r>
          </w:p>
        </w:tc>
        <w:tc>
          <w:tcPr>
            <w:tcW w:w="1895" w:type="dxa"/>
          </w:tcPr>
          <w:p w14:paraId="6CFBDDDC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Bowel dysfunction (n=7), BO (n=12)</w:t>
            </w:r>
          </w:p>
        </w:tc>
        <w:tc>
          <w:tcPr>
            <w:tcW w:w="2008" w:type="dxa"/>
          </w:tcPr>
          <w:p w14:paraId="157B2E3F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Metoclopramide, octreotide, dexamethasone</w:t>
            </w:r>
          </w:p>
        </w:tc>
        <w:tc>
          <w:tcPr>
            <w:tcW w:w="2890" w:type="dxa"/>
          </w:tcPr>
          <w:p w14:paraId="31A9DAF7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5C41F26C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11/12 patients reported improved nausea by treatment day 1. 7/12 patients had moderate-severe pain on presentation and all 7 reported tolerable pain by treatment day 1. M</w:t>
            </w:r>
            <w:r w:rsidRPr="00532204">
              <w:rPr>
                <w:rFonts w:cstheme="minorHAnsi"/>
                <w:color w:val="131413"/>
                <w:sz w:val="20"/>
                <w:szCs w:val="20"/>
              </w:rPr>
              <w:t>edian time to resumption of oral intake was 2 days in 8 evaluable patients.</w:t>
            </w:r>
          </w:p>
        </w:tc>
      </w:tr>
      <w:tr w:rsidR="00532204" w:rsidRPr="00532204" w14:paraId="49F64721" w14:textId="77777777" w:rsidTr="00865FB8">
        <w:tc>
          <w:tcPr>
            <w:tcW w:w="1451" w:type="dxa"/>
          </w:tcPr>
          <w:p w14:paraId="7220A909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Baines (1985)</w:t>
            </w:r>
          </w:p>
        </w:tc>
        <w:tc>
          <w:tcPr>
            <w:tcW w:w="1505" w:type="dxa"/>
          </w:tcPr>
          <w:p w14:paraId="6A01BA93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5F5F806D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BO</w:t>
            </w:r>
          </w:p>
        </w:tc>
        <w:tc>
          <w:tcPr>
            <w:tcW w:w="2008" w:type="dxa"/>
          </w:tcPr>
          <w:p w14:paraId="6DCECC6E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Prochlorperazine, chlorpromazine, methotrimeprazine, haloperidol, metoclopramide, domperidone</w:t>
            </w:r>
          </w:p>
        </w:tc>
        <w:tc>
          <w:tcPr>
            <w:tcW w:w="2890" w:type="dxa"/>
          </w:tcPr>
          <w:p w14:paraId="31859B50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6DA40F92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bookmarkStart w:id="0" w:name="_Hlk81826905"/>
            <w:r w:rsidRPr="00532204">
              <w:rPr>
                <w:rFonts w:cstheme="minorHAnsi"/>
                <w:sz w:val="20"/>
                <w:szCs w:val="20"/>
              </w:rPr>
              <w:t xml:space="preserve">Prochlorperazine, chlorpromazine, haloperidol, methotrimeprazine </w:t>
            </w:r>
            <w:bookmarkEnd w:id="0"/>
            <w:r w:rsidRPr="00532204">
              <w:rPr>
                <w:rFonts w:cstheme="minorHAnsi"/>
                <w:sz w:val="20"/>
                <w:szCs w:val="20"/>
              </w:rPr>
              <w:t>were effective for vomiting. Domperidone and metoclopramide were ineffective for vomiting.</w:t>
            </w:r>
          </w:p>
        </w:tc>
      </w:tr>
      <w:tr w:rsidR="00532204" w:rsidRPr="00532204" w14:paraId="2FB95327" w14:textId="77777777" w:rsidTr="00865FB8">
        <w:tc>
          <w:tcPr>
            <w:tcW w:w="1451" w:type="dxa"/>
          </w:tcPr>
          <w:p w14:paraId="081396D5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Clare (2002)</w:t>
            </w:r>
          </w:p>
        </w:tc>
        <w:tc>
          <w:tcPr>
            <w:tcW w:w="1505" w:type="dxa"/>
          </w:tcPr>
          <w:p w14:paraId="728E14AF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Case series</w:t>
            </w:r>
          </w:p>
        </w:tc>
        <w:tc>
          <w:tcPr>
            <w:tcW w:w="1895" w:type="dxa"/>
          </w:tcPr>
          <w:p w14:paraId="4FBC7D54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BO</w:t>
            </w:r>
          </w:p>
        </w:tc>
        <w:tc>
          <w:tcPr>
            <w:tcW w:w="2008" w:type="dxa"/>
          </w:tcPr>
          <w:p w14:paraId="0D20CDD2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Octreotide,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lanreotide</w:t>
            </w:r>
            <w:proofErr w:type="spellEnd"/>
          </w:p>
        </w:tc>
        <w:tc>
          <w:tcPr>
            <w:tcW w:w="2890" w:type="dxa"/>
          </w:tcPr>
          <w:p w14:paraId="3E849DA6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00A0B12A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Transition from octreotide subcutaneous infusion to intermittent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lanreotide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injections was ineffective for vomiting</w:t>
            </w:r>
          </w:p>
        </w:tc>
      </w:tr>
      <w:tr w:rsidR="00532204" w:rsidRPr="00532204" w14:paraId="4588142D" w14:textId="77777777" w:rsidTr="00865FB8">
        <w:tc>
          <w:tcPr>
            <w:tcW w:w="1451" w:type="dxa"/>
          </w:tcPr>
          <w:p w14:paraId="73B7D02A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Currow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(2015)</w:t>
            </w:r>
          </w:p>
        </w:tc>
        <w:tc>
          <w:tcPr>
            <w:tcW w:w="1505" w:type="dxa"/>
          </w:tcPr>
          <w:p w14:paraId="6DB9CE28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Randomized control trial</w:t>
            </w:r>
          </w:p>
        </w:tc>
        <w:tc>
          <w:tcPr>
            <w:tcW w:w="1895" w:type="dxa"/>
          </w:tcPr>
          <w:p w14:paraId="0C26D68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BO with vomiting, age ≥ years</w:t>
            </w:r>
          </w:p>
        </w:tc>
        <w:tc>
          <w:tcPr>
            <w:tcW w:w="2008" w:type="dxa"/>
          </w:tcPr>
          <w:p w14:paraId="4900FEF1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</w:t>
            </w:r>
          </w:p>
        </w:tc>
        <w:tc>
          <w:tcPr>
            <w:tcW w:w="2890" w:type="dxa"/>
          </w:tcPr>
          <w:p w14:paraId="46412DBB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Placebo (normal saline)</w:t>
            </w:r>
          </w:p>
        </w:tc>
        <w:tc>
          <w:tcPr>
            <w:tcW w:w="3201" w:type="dxa"/>
          </w:tcPr>
          <w:p w14:paraId="4D843207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Patients in both intervention and placebo groups received dexamethasone, ranitidine, </w:t>
            </w:r>
            <w:r w:rsidRPr="00532204">
              <w:rPr>
                <w:rFonts w:cstheme="minorHAnsi"/>
                <w:sz w:val="20"/>
                <w:szCs w:val="20"/>
              </w:rPr>
              <w:lastRenderedPageBreak/>
              <w:t xml:space="preserve">hydration and as needed parenteral opioids, hyoscine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butylbromide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and haloperidol. </w:t>
            </w:r>
          </w:p>
          <w:p w14:paraId="6380213D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No statistical differences in number of vomiting between the two group (p=0.71), total number of people free of vomiting for 72 hours (p=0.67) and mean number of days free of vomiting in each group (p=0.47).  </w:t>
            </w:r>
          </w:p>
        </w:tc>
      </w:tr>
      <w:tr w:rsidR="00532204" w:rsidRPr="00532204" w14:paraId="091FBA92" w14:textId="77777777" w:rsidTr="00865FB8">
        <w:tc>
          <w:tcPr>
            <w:tcW w:w="1451" w:type="dxa"/>
          </w:tcPr>
          <w:p w14:paraId="107AD53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lastRenderedPageBreak/>
              <w:t>Davis (1999)</w:t>
            </w:r>
          </w:p>
        </w:tc>
        <w:tc>
          <w:tcPr>
            <w:tcW w:w="1505" w:type="dxa"/>
          </w:tcPr>
          <w:p w14:paraId="53529B23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Case report</w:t>
            </w:r>
          </w:p>
        </w:tc>
        <w:tc>
          <w:tcPr>
            <w:tcW w:w="1895" w:type="dxa"/>
          </w:tcPr>
          <w:p w14:paraId="231666BB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BO</w:t>
            </w:r>
          </w:p>
        </w:tc>
        <w:tc>
          <w:tcPr>
            <w:tcW w:w="2008" w:type="dxa"/>
          </w:tcPr>
          <w:p w14:paraId="2D6FE5AF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Glycopyrrolate, haloperidol, hydromorphone</w:t>
            </w:r>
          </w:p>
        </w:tc>
        <w:tc>
          <w:tcPr>
            <w:tcW w:w="2890" w:type="dxa"/>
          </w:tcPr>
          <w:p w14:paraId="38CB2492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6446BF24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Combination of glycopyrrolate, haloperidol and hydromorphone were effective for nausea and vomiting.</w:t>
            </w:r>
          </w:p>
        </w:tc>
      </w:tr>
      <w:tr w:rsidR="00532204" w:rsidRPr="00532204" w14:paraId="74915C46" w14:textId="77777777" w:rsidTr="00865FB8">
        <w:tc>
          <w:tcPr>
            <w:tcW w:w="1451" w:type="dxa"/>
          </w:tcPr>
          <w:p w14:paraId="21453B7F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De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Conno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(1991)</w:t>
            </w:r>
          </w:p>
        </w:tc>
        <w:tc>
          <w:tcPr>
            <w:tcW w:w="1505" w:type="dxa"/>
          </w:tcPr>
          <w:p w14:paraId="78084369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Case series</w:t>
            </w:r>
          </w:p>
          <w:p w14:paraId="700F0FE6" w14:textId="77777777" w:rsidR="00532204" w:rsidRPr="00532204" w:rsidRDefault="00532204" w:rsidP="00865F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14:paraId="0CE1D508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Ovarian Ca, BO</w:t>
            </w:r>
          </w:p>
        </w:tc>
        <w:tc>
          <w:tcPr>
            <w:tcW w:w="2008" w:type="dxa"/>
          </w:tcPr>
          <w:p w14:paraId="4EB64BBA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color w:val="000000"/>
                <w:sz w:val="20"/>
                <w:szCs w:val="20"/>
              </w:rPr>
              <w:t xml:space="preserve">Hyoscine </w:t>
            </w:r>
            <w:proofErr w:type="spellStart"/>
            <w:r w:rsidRPr="00532204">
              <w:rPr>
                <w:rFonts w:cstheme="minorHAnsi"/>
                <w:color w:val="000000"/>
                <w:sz w:val="20"/>
                <w:szCs w:val="20"/>
              </w:rPr>
              <w:t>butylbromide</w:t>
            </w:r>
            <w:proofErr w:type="spellEnd"/>
            <w:r w:rsidRPr="00532204">
              <w:rPr>
                <w:rFonts w:cstheme="minorHAnsi"/>
                <w:color w:val="000000"/>
                <w:sz w:val="20"/>
                <w:szCs w:val="20"/>
              </w:rPr>
              <w:t xml:space="preserve"> and octreotide</w:t>
            </w:r>
          </w:p>
        </w:tc>
        <w:tc>
          <w:tcPr>
            <w:tcW w:w="2890" w:type="dxa"/>
          </w:tcPr>
          <w:p w14:paraId="428404C6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5DB7F07A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color w:val="000000"/>
                <w:sz w:val="20"/>
                <w:szCs w:val="20"/>
              </w:rPr>
              <w:t xml:space="preserve">Hyoscine </w:t>
            </w:r>
            <w:proofErr w:type="spellStart"/>
            <w:r w:rsidRPr="00532204">
              <w:rPr>
                <w:rFonts w:cstheme="minorHAnsi"/>
                <w:color w:val="000000"/>
                <w:sz w:val="20"/>
                <w:szCs w:val="20"/>
              </w:rPr>
              <w:t>butylbromide</w:t>
            </w:r>
            <w:proofErr w:type="spellEnd"/>
            <w:r w:rsidRPr="00532204">
              <w:rPr>
                <w:rFonts w:cstheme="minorHAnsi"/>
                <w:color w:val="000000"/>
                <w:sz w:val="20"/>
                <w:szCs w:val="20"/>
              </w:rPr>
              <w:t xml:space="preserve"> and octreotide are effective for symptom management of refractory MBO.</w:t>
            </w:r>
          </w:p>
        </w:tc>
      </w:tr>
      <w:tr w:rsidR="00532204" w:rsidRPr="00532204" w14:paraId="4561055F" w14:textId="77777777" w:rsidTr="00865FB8">
        <w:tc>
          <w:tcPr>
            <w:tcW w:w="1451" w:type="dxa"/>
          </w:tcPr>
          <w:p w14:paraId="078DCF1C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Fainsinger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(1994)</w:t>
            </w:r>
          </w:p>
        </w:tc>
        <w:tc>
          <w:tcPr>
            <w:tcW w:w="1505" w:type="dxa"/>
          </w:tcPr>
          <w:p w14:paraId="664F2B61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064009A6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BO: complete (n=10), incomplete (n=5)</w:t>
            </w:r>
          </w:p>
        </w:tc>
        <w:tc>
          <w:tcPr>
            <w:tcW w:w="2008" w:type="dxa"/>
          </w:tcPr>
          <w:p w14:paraId="61BEDDE0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Metoclopramide, dimenhydrinate, haloperidol, hyoscine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butylbromide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cisapride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>, domperidone, chlorpromazine</w:t>
            </w:r>
          </w:p>
        </w:tc>
        <w:tc>
          <w:tcPr>
            <w:tcW w:w="2890" w:type="dxa"/>
          </w:tcPr>
          <w:p w14:paraId="7252B988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6AA48A78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Medications used for nausea/vomiting: 12/15 metoclopramide, 7/15, dimenhydrinate. 3/15 haloperidol, 2/15 </w:t>
            </w:r>
            <w:proofErr w:type="gramStart"/>
            <w:r w:rsidRPr="00532204">
              <w:rPr>
                <w:rFonts w:cstheme="minorHAnsi"/>
                <w:sz w:val="20"/>
                <w:szCs w:val="20"/>
              </w:rPr>
              <w:t>patients</w:t>
            </w:r>
            <w:proofErr w:type="gramEnd"/>
            <w:r w:rsidRPr="00532204">
              <w:rPr>
                <w:rFonts w:cstheme="minorHAnsi"/>
                <w:sz w:val="20"/>
                <w:szCs w:val="20"/>
              </w:rPr>
              <w:t xml:space="preserve"> hyoscine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butylbromide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, 2/15 domperidone, 1/15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cisapride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, 1/15 chlorpromazine </w:t>
            </w:r>
          </w:p>
        </w:tc>
      </w:tr>
      <w:tr w:rsidR="00532204" w:rsidRPr="00532204" w14:paraId="0E2E4FD6" w14:textId="77777777" w:rsidTr="00865FB8">
        <w:tc>
          <w:tcPr>
            <w:tcW w:w="1451" w:type="dxa"/>
          </w:tcPr>
          <w:p w14:paraId="3617D6F1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lastRenderedPageBreak/>
              <w:t>Hisanaga</w:t>
            </w:r>
            <w:proofErr w:type="spellEnd"/>
            <w:r w:rsidRPr="00532204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(2010)</w:t>
            </w:r>
          </w:p>
        </w:tc>
        <w:tc>
          <w:tcPr>
            <w:tcW w:w="1505" w:type="dxa"/>
          </w:tcPr>
          <w:p w14:paraId="4B9DB5B0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7C500E7B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color w:val="231F20"/>
                <w:sz w:val="20"/>
                <w:szCs w:val="20"/>
              </w:rPr>
              <w:t>≥ 20 years, MBO: based on imaging and symptoms, inoperable</w:t>
            </w:r>
          </w:p>
        </w:tc>
        <w:tc>
          <w:tcPr>
            <w:tcW w:w="2008" w:type="dxa"/>
          </w:tcPr>
          <w:p w14:paraId="264873F4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Octreotide, </w:t>
            </w:r>
          </w:p>
          <w:p w14:paraId="44952770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color w:val="231F20"/>
                <w:sz w:val="20"/>
                <w:szCs w:val="20"/>
              </w:rPr>
              <w:t xml:space="preserve">As needed </w:t>
            </w:r>
            <w:proofErr w:type="gramStart"/>
            <w:r w:rsidRPr="00532204">
              <w:rPr>
                <w:rFonts w:cstheme="minorHAnsi"/>
                <w:color w:val="231F20"/>
                <w:sz w:val="20"/>
                <w:szCs w:val="20"/>
              </w:rPr>
              <w:t>haloperidol,  prochlorperazine</w:t>
            </w:r>
            <w:proofErr w:type="gramEnd"/>
            <w:r w:rsidRPr="00532204">
              <w:rPr>
                <w:rFonts w:cstheme="minorHAnsi"/>
                <w:color w:val="231F20"/>
                <w:sz w:val="20"/>
                <w:szCs w:val="20"/>
              </w:rPr>
              <w:t>, morphine, fentanyl</w:t>
            </w:r>
          </w:p>
        </w:tc>
        <w:tc>
          <w:tcPr>
            <w:tcW w:w="2890" w:type="dxa"/>
          </w:tcPr>
          <w:p w14:paraId="2916DEB0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6D69C81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color w:val="231F20"/>
                <w:sz w:val="20"/>
                <w:szCs w:val="20"/>
              </w:rPr>
              <w:t>Abdominal distention (p=0.001), anorexia (p=0.001), nausea (p&lt;.001), vomiting (p&lt;.001), fatigue (p&lt;.001) and thirst (p&lt;.001) were significantly improved on day 4 compared with baseline. Nausea improved in 72% of the efficacy analysis set and duration of nausea was decreased in 52%. Quality of life improved in 56%. Mean number of daily vomiting episodes decreased significantly on day 4 (P = .001).</w:t>
            </w:r>
          </w:p>
        </w:tc>
      </w:tr>
      <w:tr w:rsidR="00532204" w:rsidRPr="00532204" w14:paraId="5B1D40C5" w14:textId="77777777" w:rsidTr="00865FB8">
        <w:tc>
          <w:tcPr>
            <w:tcW w:w="1451" w:type="dxa"/>
          </w:tcPr>
          <w:p w14:paraId="21B975D3" w14:textId="77777777" w:rsidR="00532204" w:rsidRPr="00532204" w:rsidRDefault="00532204" w:rsidP="00865FB8">
            <w:pP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532204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Hwang (2013)</w:t>
            </w:r>
          </w:p>
        </w:tc>
        <w:tc>
          <w:tcPr>
            <w:tcW w:w="1505" w:type="dxa"/>
          </w:tcPr>
          <w:p w14:paraId="62E9D227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3F300C57" w14:textId="77777777" w:rsidR="00532204" w:rsidRPr="00532204" w:rsidRDefault="00532204" w:rsidP="00865FB8">
            <w:pPr>
              <w:rPr>
                <w:rFonts w:cstheme="minorHAnsi"/>
                <w:color w:val="231F20"/>
                <w:sz w:val="20"/>
                <w:szCs w:val="20"/>
              </w:rPr>
            </w:pPr>
            <w:r w:rsidRPr="00532204">
              <w:rPr>
                <w:rFonts w:cstheme="minorHAnsi"/>
                <w:color w:val="231F20"/>
                <w:sz w:val="20"/>
                <w:szCs w:val="20"/>
              </w:rPr>
              <w:t>BO - inoperable</w:t>
            </w:r>
          </w:p>
        </w:tc>
        <w:tc>
          <w:tcPr>
            <w:tcW w:w="2008" w:type="dxa"/>
          </w:tcPr>
          <w:p w14:paraId="31564E35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</w:t>
            </w:r>
          </w:p>
        </w:tc>
        <w:tc>
          <w:tcPr>
            <w:tcW w:w="2890" w:type="dxa"/>
          </w:tcPr>
          <w:p w14:paraId="5703109C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2BA103D8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color w:val="231F20"/>
                <w:sz w:val="20"/>
                <w:szCs w:val="20"/>
              </w:rPr>
            </w:pPr>
            <w:r w:rsidRPr="00532204">
              <w:rPr>
                <w:rFonts w:cstheme="minorHAnsi"/>
                <w:color w:val="131413"/>
                <w:sz w:val="20"/>
                <w:szCs w:val="20"/>
              </w:rPr>
              <w:t>No statistical difference between patients with BO prescribed octreotide by the medical vs surgical services in the following factors: inpatient day octreotide was initiated, patient’s daily octreotide dose, patient’s cumulative octreotide dose, days receiving octreotide, length of stay, age, cancer stage, lines of chemotherapy, cancer type, overall survival</w:t>
            </w:r>
          </w:p>
        </w:tc>
      </w:tr>
      <w:tr w:rsidR="00532204" w:rsidRPr="00532204" w14:paraId="4B7004CE" w14:textId="77777777" w:rsidTr="00865FB8">
        <w:tc>
          <w:tcPr>
            <w:tcW w:w="1451" w:type="dxa"/>
          </w:tcPr>
          <w:p w14:paraId="0C4AB477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lastRenderedPageBreak/>
              <w:t>Kaneisha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(2012)</w:t>
            </w:r>
          </w:p>
        </w:tc>
        <w:tc>
          <w:tcPr>
            <w:tcW w:w="1505" w:type="dxa"/>
          </w:tcPr>
          <w:p w14:paraId="28F9E61D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15FDB8CF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Incomplete BO: upper GI (n=11), lower GI (n=9)</w:t>
            </w:r>
          </w:p>
        </w:tc>
        <w:tc>
          <w:tcPr>
            <w:tcW w:w="2008" w:type="dxa"/>
          </w:tcPr>
          <w:p w14:paraId="41A7A19C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Olanzapine</w:t>
            </w:r>
          </w:p>
        </w:tc>
        <w:tc>
          <w:tcPr>
            <w:tcW w:w="2890" w:type="dxa"/>
          </w:tcPr>
          <w:p w14:paraId="56EFB14A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447158FF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18/20 had reduction in nausea intensity. Average frequency of vomiting</w:t>
            </w:r>
          </w:p>
        </w:tc>
      </w:tr>
      <w:tr w:rsidR="00532204" w:rsidRPr="00532204" w14:paraId="05BE6C2F" w14:textId="77777777" w:rsidTr="00865FB8">
        <w:tc>
          <w:tcPr>
            <w:tcW w:w="1451" w:type="dxa"/>
          </w:tcPr>
          <w:p w14:paraId="23752855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Khoo (1994)</w:t>
            </w:r>
          </w:p>
        </w:tc>
        <w:tc>
          <w:tcPr>
            <w:tcW w:w="1505" w:type="dxa"/>
          </w:tcPr>
          <w:p w14:paraId="60990205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68EF5C0C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BO, ≤ 2 months life expectancy,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Karnofsky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score &lt;50%, intractable vomiting (WHO grade 4) that failed anti-emetics, steroids and/or nasogastric drainage for at least 24 hours</w:t>
            </w:r>
          </w:p>
        </w:tc>
        <w:tc>
          <w:tcPr>
            <w:tcW w:w="2008" w:type="dxa"/>
          </w:tcPr>
          <w:p w14:paraId="41AB1738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</w:t>
            </w:r>
          </w:p>
        </w:tc>
        <w:tc>
          <w:tcPr>
            <w:tcW w:w="2890" w:type="dxa"/>
          </w:tcPr>
          <w:p w14:paraId="5BA69788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21103498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Response according to WHO emesis scale: 14/24 patients had complete response (WHO 0). 4/24 had partial response (WHO 1-2). Control of vomiting occurred within 2-4h of achieving correct total daily dose. Median initial dose to control vomiting in responding patients was 300mcg/day.</w:t>
            </w:r>
          </w:p>
        </w:tc>
      </w:tr>
      <w:tr w:rsidR="00532204" w:rsidRPr="00532204" w14:paraId="3A702D68" w14:textId="77777777" w:rsidTr="00865FB8">
        <w:tc>
          <w:tcPr>
            <w:tcW w:w="1451" w:type="dxa"/>
          </w:tcPr>
          <w:p w14:paraId="75490D0E" w14:textId="77777777" w:rsidR="00532204" w:rsidRPr="00532204" w:rsidRDefault="00532204" w:rsidP="00865FB8">
            <w:pP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532204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Kubota (2013)</w:t>
            </w:r>
          </w:p>
        </w:tc>
        <w:tc>
          <w:tcPr>
            <w:tcW w:w="1505" w:type="dxa"/>
          </w:tcPr>
          <w:p w14:paraId="0E86C4F4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633E89A6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Urological cancer, BO</w:t>
            </w:r>
          </w:p>
        </w:tc>
        <w:tc>
          <w:tcPr>
            <w:tcW w:w="2008" w:type="dxa"/>
          </w:tcPr>
          <w:p w14:paraId="71338A4E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</w:t>
            </w:r>
          </w:p>
        </w:tc>
        <w:tc>
          <w:tcPr>
            <w:tcW w:w="2890" w:type="dxa"/>
          </w:tcPr>
          <w:p w14:paraId="614DCCD8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00B853B6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Mean time to control vomiting </w:t>
            </w:r>
            <w:r w:rsidRPr="00532204">
              <w:rPr>
                <w:rStyle w:val="A2"/>
                <w:rFonts w:cstheme="minorHAnsi"/>
                <w:sz w:val="18"/>
                <w:szCs w:val="18"/>
              </w:rPr>
              <w:t>1.6 days.</w:t>
            </w:r>
            <w:r w:rsidRPr="00532204">
              <w:rPr>
                <w:rStyle w:val="A2"/>
                <w:sz w:val="18"/>
                <w:szCs w:val="18"/>
              </w:rPr>
              <w:t xml:space="preserve"> I</w:t>
            </w:r>
            <w:r w:rsidRPr="00532204">
              <w:rPr>
                <w:rStyle w:val="A2"/>
                <w:rFonts w:cstheme="minorHAnsi"/>
                <w:sz w:val="18"/>
                <w:szCs w:val="18"/>
              </w:rPr>
              <w:t xml:space="preserve">mprovement in subjective vomiting: partial response 9/14, complete response 4/14. </w:t>
            </w:r>
            <w:proofErr w:type="spellStart"/>
            <w:r w:rsidRPr="00532204">
              <w:rPr>
                <w:rStyle w:val="A2"/>
                <w:rFonts w:cstheme="minorHAnsi"/>
                <w:sz w:val="18"/>
                <w:szCs w:val="18"/>
              </w:rPr>
              <w:t>Nasogatric</w:t>
            </w:r>
            <w:proofErr w:type="spellEnd"/>
            <w:r w:rsidRPr="00532204">
              <w:rPr>
                <w:rStyle w:val="A2"/>
                <w:rFonts w:cstheme="minorHAnsi"/>
                <w:sz w:val="18"/>
                <w:szCs w:val="18"/>
              </w:rPr>
              <w:t xml:space="preserve"> tube discontinued in 4/4 patients</w:t>
            </w:r>
          </w:p>
        </w:tc>
      </w:tr>
      <w:tr w:rsidR="00532204" w:rsidRPr="00532204" w14:paraId="55B567FB" w14:textId="77777777" w:rsidTr="00865FB8">
        <w:tc>
          <w:tcPr>
            <w:tcW w:w="1451" w:type="dxa"/>
          </w:tcPr>
          <w:p w14:paraId="7C8AC2C6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Mangili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(1996)</w:t>
            </w:r>
          </w:p>
        </w:tc>
        <w:tc>
          <w:tcPr>
            <w:tcW w:w="1505" w:type="dxa"/>
          </w:tcPr>
          <w:p w14:paraId="725F22FB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46CDFD88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Advanced ovarian cancer, BO</w:t>
            </w:r>
          </w:p>
        </w:tc>
        <w:tc>
          <w:tcPr>
            <w:tcW w:w="2008" w:type="dxa"/>
          </w:tcPr>
          <w:p w14:paraId="6784181B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</w:t>
            </w:r>
            <w:r w:rsidRPr="00532204">
              <w:rPr>
                <w:sz w:val="20"/>
                <w:szCs w:val="20"/>
              </w:rPr>
              <w:t>ctreotide</w:t>
            </w:r>
          </w:p>
        </w:tc>
        <w:tc>
          <w:tcPr>
            <w:tcW w:w="2890" w:type="dxa"/>
          </w:tcPr>
          <w:p w14:paraId="519DAB82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01" w:type="dxa"/>
          </w:tcPr>
          <w:p w14:paraId="28C9830E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32204">
              <w:rPr>
                <w:rFonts w:cstheme="minorHAnsi"/>
                <w:color w:val="131413"/>
                <w:sz w:val="20"/>
                <w:szCs w:val="20"/>
              </w:rPr>
              <w:t>Octreotide controlled vomiting for 13/13 pts within a mean of 3.03 days. No reported side effects.</w:t>
            </w:r>
          </w:p>
        </w:tc>
      </w:tr>
      <w:tr w:rsidR="00532204" w:rsidRPr="00532204" w14:paraId="01A5920B" w14:textId="77777777" w:rsidTr="00865FB8">
        <w:tc>
          <w:tcPr>
            <w:tcW w:w="1451" w:type="dxa"/>
          </w:tcPr>
          <w:p w14:paraId="2B62F55B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Mariana (2012)</w:t>
            </w:r>
          </w:p>
        </w:tc>
        <w:tc>
          <w:tcPr>
            <w:tcW w:w="1505" w:type="dxa"/>
          </w:tcPr>
          <w:p w14:paraId="0E6B707D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Randomized control trial</w:t>
            </w:r>
          </w:p>
        </w:tc>
        <w:tc>
          <w:tcPr>
            <w:tcW w:w="1895" w:type="dxa"/>
          </w:tcPr>
          <w:p w14:paraId="4AC72960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≥ 18 years old, peritoneal carcinomatosis, obstruction, ≥2 vomits/day or NG tube, inoperable BO, IV steroids ≥ 5 days and IV PPI</w:t>
            </w:r>
          </w:p>
          <w:p w14:paraId="558B2A08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8" w:type="dxa"/>
          </w:tcPr>
          <w:p w14:paraId="56D84CCC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Lanreotide</w:t>
            </w:r>
            <w:proofErr w:type="spellEnd"/>
          </w:p>
        </w:tc>
        <w:tc>
          <w:tcPr>
            <w:tcW w:w="2890" w:type="dxa"/>
          </w:tcPr>
          <w:p w14:paraId="43070A6C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Placebo</w:t>
            </w:r>
          </w:p>
        </w:tc>
        <w:tc>
          <w:tcPr>
            <w:tcW w:w="3201" w:type="dxa"/>
          </w:tcPr>
          <w:p w14:paraId="0027A2B0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color w:val="000000"/>
                <w:sz w:val="20"/>
                <w:szCs w:val="20"/>
              </w:rPr>
              <w:t>Intention to treat analysis (ITT): No statistical difference between the two groups (p</w:t>
            </w:r>
            <w:r w:rsidRPr="00532204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532204">
              <w:rPr>
                <w:rFonts w:cstheme="minorHAnsi"/>
                <w:sz w:val="20"/>
                <w:szCs w:val="20"/>
              </w:rPr>
              <w:t>=.24)</w:t>
            </w:r>
            <w:r w:rsidRPr="00532204">
              <w:rPr>
                <w:rFonts w:cstheme="minorHAnsi"/>
                <w:color w:val="000000"/>
                <w:sz w:val="20"/>
                <w:szCs w:val="20"/>
              </w:rPr>
              <w:t xml:space="preserve">. </w:t>
            </w:r>
          </w:p>
          <w:p w14:paraId="0B98D810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Supportive per protocol analysis found significant difference </w:t>
            </w:r>
            <w:r w:rsidRPr="00532204">
              <w:rPr>
                <w:rFonts w:cstheme="minorHAnsi"/>
                <w:sz w:val="20"/>
                <w:szCs w:val="20"/>
              </w:rPr>
              <w:lastRenderedPageBreak/>
              <w:t>between the two groups (p</w:t>
            </w:r>
            <w:r w:rsidRPr="00532204">
              <w:rPr>
                <w:rFonts w:cstheme="minorHAnsi"/>
                <w:i/>
                <w:iCs/>
                <w:sz w:val="20"/>
                <w:szCs w:val="20"/>
              </w:rPr>
              <w:t xml:space="preserve"> =</w:t>
            </w:r>
            <w:r w:rsidRPr="00532204">
              <w:rPr>
                <w:rFonts w:cstheme="minorHAnsi"/>
                <w:sz w:val="20"/>
                <w:szCs w:val="20"/>
              </w:rPr>
              <w:t xml:space="preserve"> .05). ITT analysis, </w:t>
            </w:r>
            <w:proofErr w:type="gramStart"/>
            <w:r w:rsidRPr="00532204">
              <w:rPr>
                <w:rFonts w:cstheme="minorHAnsi"/>
                <w:sz w:val="20"/>
                <w:szCs w:val="20"/>
              </w:rPr>
              <w:t>on the basis of</w:t>
            </w:r>
            <w:proofErr w:type="gramEnd"/>
            <w:r w:rsidRPr="00532204">
              <w:rPr>
                <w:rFonts w:cstheme="minorHAnsi"/>
                <w:sz w:val="20"/>
                <w:szCs w:val="20"/>
              </w:rPr>
              <w:t xml:space="preserve"> investigators’ assessments, found significant difference between the two groups (p=.05).</w:t>
            </w:r>
          </w:p>
        </w:tc>
      </w:tr>
      <w:tr w:rsidR="00532204" w:rsidRPr="00532204" w14:paraId="591A07B8" w14:textId="77777777" w:rsidTr="00865FB8">
        <w:tc>
          <w:tcPr>
            <w:tcW w:w="1451" w:type="dxa"/>
          </w:tcPr>
          <w:p w14:paraId="47E062A3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lastRenderedPageBreak/>
              <w:t>Massacesi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(2006)</w:t>
            </w:r>
          </w:p>
        </w:tc>
        <w:tc>
          <w:tcPr>
            <w:tcW w:w="1505" w:type="dxa"/>
          </w:tcPr>
          <w:p w14:paraId="0634F013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37EAAD51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BO refractory to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methoclopramide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, haloperidol, scopolamine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butylbromide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and analgesics</w:t>
            </w:r>
          </w:p>
        </w:tc>
        <w:tc>
          <w:tcPr>
            <w:tcW w:w="2008" w:type="dxa"/>
          </w:tcPr>
          <w:p w14:paraId="4107E0E8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 LAR</w:t>
            </w:r>
          </w:p>
        </w:tc>
        <w:tc>
          <w:tcPr>
            <w:tcW w:w="2890" w:type="dxa"/>
          </w:tcPr>
          <w:p w14:paraId="664BEE02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01" w:type="dxa"/>
          </w:tcPr>
          <w:p w14:paraId="09F6B8BE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32204">
              <w:rPr>
                <w:rFonts w:cstheme="minorHAnsi"/>
                <w:color w:val="292526"/>
                <w:sz w:val="20"/>
                <w:szCs w:val="20"/>
              </w:rPr>
              <w:t>8 patients had reduction in nasogastric tube secretions. 4 pts without nasogastric tube had reduction in nausea and vomiting. Reported adverse effect was abdominal pain.</w:t>
            </w:r>
          </w:p>
        </w:tc>
      </w:tr>
      <w:tr w:rsidR="00532204" w:rsidRPr="00532204" w14:paraId="0C18179A" w14:textId="77777777" w:rsidTr="00865FB8">
        <w:tc>
          <w:tcPr>
            <w:tcW w:w="1451" w:type="dxa"/>
          </w:tcPr>
          <w:p w14:paraId="56A70E9C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Matulonis</w:t>
            </w:r>
            <w:proofErr w:type="spellEnd"/>
            <w:r w:rsidRPr="00532204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(2005)</w:t>
            </w:r>
          </w:p>
        </w:tc>
        <w:tc>
          <w:tcPr>
            <w:tcW w:w="1505" w:type="dxa"/>
          </w:tcPr>
          <w:p w14:paraId="61E85EAC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2A84CAD2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Recurrent epithelial ovarian cancer, BO: inoperable, </w:t>
            </w:r>
            <w:proofErr w:type="gramStart"/>
            <w:r w:rsidRPr="00532204">
              <w:rPr>
                <w:rFonts w:cstheme="minorHAnsi"/>
                <w:sz w:val="20"/>
                <w:szCs w:val="20"/>
              </w:rPr>
              <w:t>chronic</w:t>
            </w:r>
            <w:proofErr w:type="gramEnd"/>
            <w:r w:rsidRPr="00532204">
              <w:rPr>
                <w:rFonts w:cstheme="minorHAnsi"/>
                <w:sz w:val="20"/>
                <w:szCs w:val="20"/>
              </w:rPr>
              <w:t xml:space="preserve"> or intermittent</w:t>
            </w:r>
          </w:p>
        </w:tc>
        <w:tc>
          <w:tcPr>
            <w:tcW w:w="2008" w:type="dxa"/>
          </w:tcPr>
          <w:p w14:paraId="4365A811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Octreotide,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lanreotide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(LAR)</w:t>
            </w:r>
          </w:p>
        </w:tc>
        <w:tc>
          <w:tcPr>
            <w:tcW w:w="2890" w:type="dxa"/>
          </w:tcPr>
          <w:p w14:paraId="2DED5C7C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01" w:type="dxa"/>
          </w:tcPr>
          <w:p w14:paraId="0601BF64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Response defined as significant reduction or resolution of nausea/vomiting and/or ability to remove nasogastric tube. 3/13 major response to LAR; 2/13 minor response; 4/13 no response. 4/13 progressive symptoms. 3/13 remained on LAR for more than 9 months. No significant toxicities found with octreotide or LAR.</w:t>
            </w:r>
          </w:p>
        </w:tc>
      </w:tr>
      <w:tr w:rsidR="00532204" w:rsidRPr="00532204" w14:paraId="6EA28575" w14:textId="77777777" w:rsidTr="00865FB8">
        <w:tc>
          <w:tcPr>
            <w:tcW w:w="1451" w:type="dxa"/>
          </w:tcPr>
          <w:p w14:paraId="134E323C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McCaffrey (2020)</w:t>
            </w:r>
          </w:p>
        </w:tc>
        <w:tc>
          <w:tcPr>
            <w:tcW w:w="1505" w:type="dxa"/>
          </w:tcPr>
          <w:p w14:paraId="39E9DF9F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Randomized control trial</w:t>
            </w:r>
          </w:p>
        </w:tc>
        <w:tc>
          <w:tcPr>
            <w:tcW w:w="1895" w:type="dxa"/>
          </w:tcPr>
          <w:p w14:paraId="5C34969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Same as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Currow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(2015)</w:t>
            </w:r>
          </w:p>
        </w:tc>
        <w:tc>
          <w:tcPr>
            <w:tcW w:w="2008" w:type="dxa"/>
          </w:tcPr>
          <w:p w14:paraId="6882627E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Same as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Currow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(2015)</w:t>
            </w:r>
          </w:p>
        </w:tc>
        <w:tc>
          <w:tcPr>
            <w:tcW w:w="2890" w:type="dxa"/>
          </w:tcPr>
          <w:p w14:paraId="6D095FBA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Same as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Currow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(2015)</w:t>
            </w:r>
          </w:p>
        </w:tc>
        <w:tc>
          <w:tcPr>
            <w:tcW w:w="3201" w:type="dxa"/>
          </w:tcPr>
          <w:p w14:paraId="1BAA4840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No statistical difference within (p=0.21) or between groups in mean quality of life (p=0.78).</w:t>
            </w:r>
          </w:p>
        </w:tc>
      </w:tr>
      <w:tr w:rsidR="00532204" w:rsidRPr="00532204" w14:paraId="099D92C2" w14:textId="77777777" w:rsidTr="00865FB8">
        <w:tc>
          <w:tcPr>
            <w:tcW w:w="1451" w:type="dxa"/>
          </w:tcPr>
          <w:p w14:paraId="6BE6BAE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lastRenderedPageBreak/>
              <w:t>Mercadante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(1992)</w:t>
            </w:r>
          </w:p>
        </w:tc>
        <w:tc>
          <w:tcPr>
            <w:tcW w:w="1505" w:type="dxa"/>
          </w:tcPr>
          <w:p w14:paraId="0D9D5B95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Case series</w:t>
            </w:r>
          </w:p>
        </w:tc>
        <w:tc>
          <w:tcPr>
            <w:tcW w:w="1895" w:type="dxa"/>
          </w:tcPr>
          <w:p w14:paraId="68CF1BFF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BO</w:t>
            </w:r>
          </w:p>
        </w:tc>
        <w:tc>
          <w:tcPr>
            <w:tcW w:w="2008" w:type="dxa"/>
          </w:tcPr>
          <w:p w14:paraId="6C7200AB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Octreotide, buprenorphine, haloperidol</w:t>
            </w:r>
          </w:p>
        </w:tc>
        <w:tc>
          <w:tcPr>
            <w:tcW w:w="2890" w:type="dxa"/>
          </w:tcPr>
          <w:p w14:paraId="6C9083B3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7F19534C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Octreotide initiation reduced secretions, </w:t>
            </w:r>
            <w:proofErr w:type="gramStart"/>
            <w:r w:rsidRPr="00532204">
              <w:rPr>
                <w:rFonts w:cstheme="minorHAnsi"/>
                <w:sz w:val="20"/>
                <w:szCs w:val="20"/>
              </w:rPr>
              <w:t>vomiting</w:t>
            </w:r>
            <w:proofErr w:type="gramEnd"/>
            <w:r w:rsidRPr="00532204">
              <w:rPr>
                <w:rFonts w:cstheme="minorHAnsi"/>
                <w:sz w:val="20"/>
                <w:szCs w:val="20"/>
              </w:rPr>
              <w:t xml:space="preserve"> and allowed nasogastric tube to be removed</w:t>
            </w:r>
          </w:p>
        </w:tc>
      </w:tr>
      <w:tr w:rsidR="00532204" w:rsidRPr="00532204" w14:paraId="0C916AAE" w14:textId="77777777" w:rsidTr="00865FB8">
        <w:tc>
          <w:tcPr>
            <w:tcW w:w="1451" w:type="dxa"/>
          </w:tcPr>
          <w:p w14:paraId="7D13D19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Mercadante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(1993)</w:t>
            </w:r>
          </w:p>
        </w:tc>
        <w:tc>
          <w:tcPr>
            <w:tcW w:w="1505" w:type="dxa"/>
          </w:tcPr>
          <w:p w14:paraId="7C5CD277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1003110D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BO</w:t>
            </w:r>
          </w:p>
        </w:tc>
        <w:tc>
          <w:tcPr>
            <w:tcW w:w="2008" w:type="dxa"/>
          </w:tcPr>
          <w:p w14:paraId="60B1CFE6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</w:t>
            </w:r>
          </w:p>
        </w:tc>
        <w:tc>
          <w:tcPr>
            <w:tcW w:w="2890" w:type="dxa"/>
          </w:tcPr>
          <w:p w14:paraId="2081A2E4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2852D3BB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12/14 patients had improvement in vomiting.</w:t>
            </w:r>
          </w:p>
        </w:tc>
      </w:tr>
      <w:tr w:rsidR="00532204" w:rsidRPr="00532204" w14:paraId="6F81077B" w14:textId="77777777" w:rsidTr="00865FB8">
        <w:tc>
          <w:tcPr>
            <w:tcW w:w="1451" w:type="dxa"/>
          </w:tcPr>
          <w:p w14:paraId="41B63C1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Mercadante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(1998)</w:t>
            </w:r>
          </w:p>
        </w:tc>
        <w:tc>
          <w:tcPr>
            <w:tcW w:w="1505" w:type="dxa"/>
          </w:tcPr>
          <w:p w14:paraId="072C6F57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Case report</w:t>
            </w:r>
          </w:p>
        </w:tc>
        <w:tc>
          <w:tcPr>
            <w:tcW w:w="1895" w:type="dxa"/>
          </w:tcPr>
          <w:p w14:paraId="4EB8116E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BO</w:t>
            </w:r>
          </w:p>
        </w:tc>
        <w:tc>
          <w:tcPr>
            <w:tcW w:w="2008" w:type="dxa"/>
          </w:tcPr>
          <w:p w14:paraId="068184FA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Metoclopromide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, ranitidine, haloperidol, scopolamine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butylbromide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>, octreotide</w:t>
            </w:r>
          </w:p>
        </w:tc>
        <w:tc>
          <w:tcPr>
            <w:tcW w:w="2890" w:type="dxa"/>
          </w:tcPr>
          <w:p w14:paraId="31D72065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250297A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Metoclopramide ineffective in restoring intestinal transit. Ranitidine, </w:t>
            </w:r>
            <w:proofErr w:type="gramStart"/>
            <w:r w:rsidRPr="00532204">
              <w:rPr>
                <w:rFonts w:cstheme="minorHAnsi"/>
                <w:sz w:val="20"/>
                <w:szCs w:val="20"/>
              </w:rPr>
              <w:t>haloperidol</w:t>
            </w:r>
            <w:proofErr w:type="gramEnd"/>
            <w:r w:rsidRPr="00532204">
              <w:rPr>
                <w:rFonts w:cstheme="minorHAnsi"/>
                <w:sz w:val="20"/>
                <w:szCs w:val="20"/>
              </w:rPr>
              <w:t xml:space="preserve"> and scopolamine ineffective in controlling vomiting. Scopolamine and octreotide combined were effective in stopping vomiting.</w:t>
            </w:r>
          </w:p>
        </w:tc>
      </w:tr>
      <w:tr w:rsidR="00532204" w:rsidRPr="00532204" w14:paraId="1A5E982F" w14:textId="77777777" w:rsidTr="00865FB8">
        <w:tc>
          <w:tcPr>
            <w:tcW w:w="1451" w:type="dxa"/>
          </w:tcPr>
          <w:p w14:paraId="4408F8C3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Mercadante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(2000)</w:t>
            </w:r>
          </w:p>
        </w:tc>
        <w:tc>
          <w:tcPr>
            <w:tcW w:w="1505" w:type="dxa"/>
          </w:tcPr>
          <w:p w14:paraId="273C2D14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Randomized control trial</w:t>
            </w:r>
          </w:p>
        </w:tc>
        <w:tc>
          <w:tcPr>
            <w:tcW w:w="1895" w:type="dxa"/>
          </w:tcPr>
          <w:p w14:paraId="4A9A22BE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BO - inoperable</w:t>
            </w:r>
          </w:p>
        </w:tc>
        <w:tc>
          <w:tcPr>
            <w:tcW w:w="2008" w:type="dxa"/>
          </w:tcPr>
          <w:p w14:paraId="1633C1FF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</w:t>
            </w:r>
          </w:p>
        </w:tc>
        <w:tc>
          <w:tcPr>
            <w:tcW w:w="2890" w:type="dxa"/>
          </w:tcPr>
          <w:p w14:paraId="5AA6077C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Hyoscine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butylbromide</w:t>
            </w:r>
            <w:proofErr w:type="spellEnd"/>
          </w:p>
        </w:tc>
        <w:tc>
          <w:tcPr>
            <w:tcW w:w="3201" w:type="dxa"/>
          </w:tcPr>
          <w:p w14:paraId="2E7A1490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Both intervention and comparator groups were able to use as needed analgesics and anti-inflammatories.</w:t>
            </w:r>
          </w:p>
          <w:p w14:paraId="1C739D1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color w:val="131413"/>
                <w:sz w:val="20"/>
                <w:szCs w:val="20"/>
              </w:rPr>
              <w:t xml:space="preserve">Octreotide significantly reduced number of vomiting episodes (p=0.03 to 0.008), nausea at different time points (p=0.01). Octreotide compared to hyoscine </w:t>
            </w:r>
            <w:proofErr w:type="spellStart"/>
            <w:r w:rsidRPr="00532204">
              <w:rPr>
                <w:rFonts w:cstheme="minorHAnsi"/>
                <w:color w:val="131413"/>
                <w:sz w:val="20"/>
                <w:szCs w:val="20"/>
              </w:rPr>
              <w:t>butylbromide</w:t>
            </w:r>
            <w:proofErr w:type="spellEnd"/>
            <w:r w:rsidRPr="00532204">
              <w:rPr>
                <w:rFonts w:cstheme="minorHAnsi"/>
                <w:color w:val="131413"/>
                <w:sz w:val="20"/>
                <w:szCs w:val="20"/>
              </w:rPr>
              <w:t xml:space="preserve"> was more effective with reducing number of vomiting episodes (p=0.01 to p=0.004) and </w:t>
            </w:r>
            <w:r w:rsidRPr="00532204">
              <w:rPr>
                <w:rFonts w:cstheme="minorHAnsi"/>
                <w:color w:val="131413"/>
                <w:sz w:val="20"/>
                <w:szCs w:val="20"/>
              </w:rPr>
              <w:lastRenderedPageBreak/>
              <w:t>nausea (p=0.002 to 0.003).</w:t>
            </w:r>
          </w:p>
        </w:tc>
      </w:tr>
      <w:tr w:rsidR="00532204" w:rsidRPr="00532204" w14:paraId="5BB579D6" w14:textId="77777777" w:rsidTr="00865FB8">
        <w:tc>
          <w:tcPr>
            <w:tcW w:w="1451" w:type="dxa"/>
          </w:tcPr>
          <w:p w14:paraId="3A00FD38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Mercadante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(2004)</w:t>
            </w:r>
          </w:p>
        </w:tc>
        <w:tc>
          <w:tcPr>
            <w:tcW w:w="1505" w:type="dxa"/>
          </w:tcPr>
          <w:p w14:paraId="52FF2562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214A0ADA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BO</w:t>
            </w:r>
          </w:p>
        </w:tc>
        <w:tc>
          <w:tcPr>
            <w:tcW w:w="2008" w:type="dxa"/>
          </w:tcPr>
          <w:p w14:paraId="308F1667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Amidotrizoato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>, metoclopramide, octreotide, dexamethasone</w:t>
            </w:r>
          </w:p>
        </w:tc>
        <w:tc>
          <w:tcPr>
            <w:tcW w:w="2890" w:type="dxa"/>
          </w:tcPr>
          <w:p w14:paraId="7C5B32A6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51B30436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Bolus of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amidotrizoato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followed by combination of metoclopramide, octreotide and dexamethasone resolved vomiting and recovered intestinal transit for 14/15 patients.</w:t>
            </w:r>
          </w:p>
        </w:tc>
      </w:tr>
      <w:tr w:rsidR="00532204" w:rsidRPr="00532204" w14:paraId="008EBFFC" w14:textId="77777777" w:rsidTr="00865FB8">
        <w:tc>
          <w:tcPr>
            <w:tcW w:w="1451" w:type="dxa"/>
          </w:tcPr>
          <w:p w14:paraId="5C0FE7FF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  <w:shd w:val="clear" w:color="auto" w:fill="FFFFFF"/>
              </w:rPr>
              <w:t>Mystakidou</w:t>
            </w:r>
            <w:proofErr w:type="spellEnd"/>
            <w:r w:rsidRPr="0053220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(2002)</w:t>
            </w:r>
          </w:p>
        </w:tc>
        <w:tc>
          <w:tcPr>
            <w:tcW w:w="1505" w:type="dxa"/>
          </w:tcPr>
          <w:p w14:paraId="694418FF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Randomized control trial</w:t>
            </w:r>
          </w:p>
        </w:tc>
        <w:tc>
          <w:tcPr>
            <w:tcW w:w="1895" w:type="dxa"/>
          </w:tcPr>
          <w:p w14:paraId="747FD60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BO - inoperable</w:t>
            </w:r>
          </w:p>
        </w:tc>
        <w:tc>
          <w:tcPr>
            <w:tcW w:w="2008" w:type="dxa"/>
          </w:tcPr>
          <w:p w14:paraId="67430A95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</w:t>
            </w:r>
          </w:p>
        </w:tc>
        <w:tc>
          <w:tcPr>
            <w:tcW w:w="2890" w:type="dxa"/>
          </w:tcPr>
          <w:p w14:paraId="11F9E4F3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 xml:space="preserve">Hyoscine </w:t>
            </w:r>
            <w:proofErr w:type="spellStart"/>
            <w:r w:rsidRPr="00532204">
              <w:rPr>
                <w:sz w:val="20"/>
                <w:szCs w:val="20"/>
              </w:rPr>
              <w:t>butylbromde</w:t>
            </w:r>
            <w:proofErr w:type="spellEnd"/>
          </w:p>
        </w:tc>
        <w:tc>
          <w:tcPr>
            <w:tcW w:w="3201" w:type="dxa"/>
          </w:tcPr>
          <w:p w14:paraId="3AD10A8E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Both groups received chlorpromazine. Octreotide significant decreased nausea (p=0.007), vomiting (p=0.004), fatigue and anorexia compared to patients who received hyoscine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butylbromide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532204" w:rsidRPr="00532204" w14:paraId="26062C3B" w14:textId="77777777" w:rsidTr="00865FB8">
        <w:tc>
          <w:tcPr>
            <w:tcW w:w="1451" w:type="dxa"/>
          </w:tcPr>
          <w:p w14:paraId="7F67C437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Muir (2001)</w:t>
            </w:r>
          </w:p>
        </w:tc>
        <w:tc>
          <w:tcPr>
            <w:tcW w:w="1505" w:type="dxa"/>
          </w:tcPr>
          <w:p w14:paraId="4ADF6F7C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Case report</w:t>
            </w:r>
          </w:p>
        </w:tc>
        <w:tc>
          <w:tcPr>
            <w:tcW w:w="1895" w:type="dxa"/>
          </w:tcPr>
          <w:p w14:paraId="78C4D703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BO</w:t>
            </w:r>
          </w:p>
        </w:tc>
        <w:tc>
          <w:tcPr>
            <w:tcW w:w="2008" w:type="dxa"/>
          </w:tcPr>
          <w:p w14:paraId="32798EAB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Haloperidol, octreotide</w:t>
            </w:r>
          </w:p>
        </w:tc>
        <w:tc>
          <w:tcPr>
            <w:tcW w:w="2890" w:type="dxa"/>
          </w:tcPr>
          <w:p w14:paraId="7C630445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7DA7B636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As needed, haloperidol is recommended for BO. If ineffective, then suggest addition of octreotide.</w:t>
            </w:r>
          </w:p>
        </w:tc>
      </w:tr>
      <w:tr w:rsidR="00532204" w:rsidRPr="00532204" w14:paraId="614CAFA1" w14:textId="77777777" w:rsidTr="00865FB8">
        <w:tc>
          <w:tcPr>
            <w:tcW w:w="1451" w:type="dxa"/>
          </w:tcPr>
          <w:p w14:paraId="55DB9B97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Obita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(2016)</w:t>
            </w:r>
          </w:p>
        </w:tc>
        <w:tc>
          <w:tcPr>
            <w:tcW w:w="1505" w:type="dxa"/>
          </w:tcPr>
          <w:p w14:paraId="64ECC69F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Randomized control trial</w:t>
            </w:r>
          </w:p>
        </w:tc>
        <w:tc>
          <w:tcPr>
            <w:tcW w:w="1895" w:type="dxa"/>
          </w:tcPr>
          <w:p w14:paraId="6A8CA8A3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BO - inoperable</w:t>
            </w:r>
          </w:p>
        </w:tc>
        <w:tc>
          <w:tcPr>
            <w:tcW w:w="2008" w:type="dxa"/>
          </w:tcPr>
          <w:p w14:paraId="312E5E1E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Somatostatin analogues</w:t>
            </w:r>
          </w:p>
        </w:tc>
        <w:tc>
          <w:tcPr>
            <w:tcW w:w="2890" w:type="dxa"/>
          </w:tcPr>
          <w:p w14:paraId="5ADD63C3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Placebo and/or other anti-emetic agents </w:t>
            </w:r>
          </w:p>
        </w:tc>
        <w:tc>
          <w:tcPr>
            <w:tcW w:w="3201" w:type="dxa"/>
          </w:tcPr>
          <w:p w14:paraId="7A4918E3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Two adequately powered multicenter RCTs with a low Cochrane risk of bias reported no significant difference between somatostatin analogues and placebo in their primary end points (number of days free of vomiting, total number of </w:t>
            </w:r>
            <w:r w:rsidRPr="00532204">
              <w:rPr>
                <w:rFonts w:cstheme="minorHAnsi"/>
                <w:sz w:val="20"/>
                <w:szCs w:val="20"/>
              </w:rPr>
              <w:lastRenderedPageBreak/>
              <w:t xml:space="preserve">people completely free of vomiting for 72 hours, proportion of patients with ≤1 vomiting episode/day, no recurrence of vomiting after NG tube removal for 3 consecutive days). Four RCTs with a high/unclear Cochrane risk of bias reported that somatostatin analogues were more effective than hyoscine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butylbromide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in reducing vomiting.</w:t>
            </w:r>
          </w:p>
        </w:tc>
      </w:tr>
      <w:tr w:rsidR="00532204" w:rsidRPr="00532204" w14:paraId="3261A3F8" w14:textId="77777777" w:rsidTr="00865FB8">
        <w:tc>
          <w:tcPr>
            <w:tcW w:w="1451" w:type="dxa"/>
          </w:tcPr>
          <w:p w14:paraId="55FA945F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Peng (2015)</w:t>
            </w:r>
          </w:p>
        </w:tc>
        <w:tc>
          <w:tcPr>
            <w:tcW w:w="1505" w:type="dxa"/>
          </w:tcPr>
          <w:p w14:paraId="091AD509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Randomized control trial</w:t>
            </w:r>
          </w:p>
        </w:tc>
        <w:tc>
          <w:tcPr>
            <w:tcW w:w="1895" w:type="dxa"/>
          </w:tcPr>
          <w:p w14:paraId="656B698C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 xml:space="preserve">Ovarian cancer, BO – inoperable, life expectancy </w:t>
            </w:r>
            <w:r w:rsidRPr="00532204">
              <w:rPr>
                <w:rFonts w:cstheme="minorHAnsi"/>
                <w:sz w:val="20"/>
                <w:szCs w:val="20"/>
              </w:rPr>
              <w:t>≥ 2 months</w:t>
            </w:r>
          </w:p>
        </w:tc>
        <w:tc>
          <w:tcPr>
            <w:tcW w:w="2008" w:type="dxa"/>
          </w:tcPr>
          <w:p w14:paraId="64BD114D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</w:t>
            </w:r>
          </w:p>
        </w:tc>
        <w:tc>
          <w:tcPr>
            <w:tcW w:w="2890" w:type="dxa"/>
          </w:tcPr>
          <w:p w14:paraId="444D90F6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Scopolamine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butylbromide</w:t>
            </w:r>
            <w:proofErr w:type="spellEnd"/>
          </w:p>
        </w:tc>
        <w:tc>
          <w:tcPr>
            <w:tcW w:w="3201" w:type="dxa"/>
          </w:tcPr>
          <w:p w14:paraId="6EBF0CF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color w:val="131413"/>
                <w:sz w:val="20"/>
                <w:szCs w:val="20"/>
              </w:rPr>
              <w:t>Compared to scopolamine, octreotide significantly reduced GI secretions at 24h, 48h and 72h (p&lt;0.05), number of episodes of vomiting at 24h, 48h and 72h (p&lt;0.05), intensity of nausea at 48h and 72h (0&lt;0.05) and continuous pain at 48h and 72h (p&lt;0.05).</w:t>
            </w:r>
          </w:p>
        </w:tc>
      </w:tr>
      <w:tr w:rsidR="00532204" w:rsidRPr="00532204" w14:paraId="7DB5E357" w14:textId="77777777" w:rsidTr="00865FB8">
        <w:tc>
          <w:tcPr>
            <w:tcW w:w="1451" w:type="dxa"/>
          </w:tcPr>
          <w:p w14:paraId="66DC3024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Ripamonti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(2000)</w:t>
            </w:r>
          </w:p>
        </w:tc>
        <w:tc>
          <w:tcPr>
            <w:tcW w:w="1505" w:type="dxa"/>
          </w:tcPr>
          <w:p w14:paraId="282FC71F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Randomized control trial</w:t>
            </w:r>
          </w:p>
        </w:tc>
        <w:tc>
          <w:tcPr>
            <w:tcW w:w="1895" w:type="dxa"/>
          </w:tcPr>
          <w:p w14:paraId="4BF6B545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BO - inoperable</w:t>
            </w:r>
          </w:p>
        </w:tc>
        <w:tc>
          <w:tcPr>
            <w:tcW w:w="2008" w:type="dxa"/>
          </w:tcPr>
          <w:p w14:paraId="5294FD12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</w:t>
            </w:r>
          </w:p>
        </w:tc>
        <w:tc>
          <w:tcPr>
            <w:tcW w:w="2890" w:type="dxa"/>
          </w:tcPr>
          <w:p w14:paraId="38BD6FAF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Scopolamine</w:t>
            </w:r>
          </w:p>
        </w:tc>
        <w:tc>
          <w:tcPr>
            <w:tcW w:w="3201" w:type="dxa"/>
          </w:tcPr>
          <w:p w14:paraId="567265BD" w14:textId="77777777" w:rsidR="00532204" w:rsidRPr="00532204" w:rsidRDefault="00532204" w:rsidP="00865FB8">
            <w:pPr>
              <w:rPr>
                <w:rFonts w:cstheme="minorHAnsi"/>
                <w:color w:val="131413"/>
                <w:sz w:val="20"/>
                <w:szCs w:val="20"/>
              </w:rPr>
            </w:pPr>
            <w:r w:rsidRPr="00532204">
              <w:rPr>
                <w:rFonts w:cstheme="minorHAnsi"/>
                <w:color w:val="131413"/>
                <w:sz w:val="20"/>
                <w:szCs w:val="20"/>
              </w:rPr>
              <w:t xml:space="preserve">Compared to before treatment, GI secretions were significantly reduced with octreotide at 48 hours (p=.016) and 72 hours (p=0.020) after starting it. Nausea among the home care patients was lower </w:t>
            </w:r>
            <w:r w:rsidRPr="00532204">
              <w:rPr>
                <w:rFonts w:cstheme="minorHAnsi"/>
                <w:color w:val="131413"/>
                <w:sz w:val="20"/>
                <w:szCs w:val="20"/>
              </w:rPr>
              <w:lastRenderedPageBreak/>
              <w:t xml:space="preserve">with octreotide compared to scopolamine 48 hours after starting the drugs (p=0.05). </w:t>
            </w:r>
          </w:p>
        </w:tc>
      </w:tr>
      <w:tr w:rsidR="00532204" w:rsidRPr="00532204" w14:paraId="5642F2CC" w14:textId="77777777" w:rsidTr="00865FB8">
        <w:tc>
          <w:tcPr>
            <w:tcW w:w="1451" w:type="dxa"/>
          </w:tcPr>
          <w:p w14:paraId="45DF7F16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lastRenderedPageBreak/>
              <w:t>Shima</w:t>
            </w:r>
            <w:proofErr w:type="spellEnd"/>
            <w:r w:rsidRPr="00532204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(2008)</w:t>
            </w:r>
          </w:p>
        </w:tc>
        <w:tc>
          <w:tcPr>
            <w:tcW w:w="1505" w:type="dxa"/>
          </w:tcPr>
          <w:p w14:paraId="2A1B39D9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7186FEEA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Hospitalized patients, BO refractory to treatment, ≥2 emesis/day or ≥500mL/day secretions via nasogastric tube</w:t>
            </w:r>
          </w:p>
        </w:tc>
        <w:tc>
          <w:tcPr>
            <w:tcW w:w="2008" w:type="dxa"/>
          </w:tcPr>
          <w:p w14:paraId="62EE42FA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</w:t>
            </w:r>
          </w:p>
        </w:tc>
        <w:tc>
          <w:tcPr>
            <w:tcW w:w="2890" w:type="dxa"/>
          </w:tcPr>
          <w:p w14:paraId="698C6748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01" w:type="dxa"/>
          </w:tcPr>
          <w:p w14:paraId="4A6315AA" w14:textId="77777777" w:rsidR="00532204" w:rsidRPr="00532204" w:rsidRDefault="00532204" w:rsidP="00865FB8">
            <w:pPr>
              <w:rPr>
                <w:rFonts w:cstheme="minorHAnsi"/>
                <w:color w:val="131413"/>
                <w:sz w:val="20"/>
                <w:szCs w:val="20"/>
              </w:rPr>
            </w:pPr>
            <w:r w:rsidRPr="00532204">
              <w:rPr>
                <w:rFonts w:cstheme="minorHAnsi"/>
                <w:color w:val="292526"/>
                <w:sz w:val="20"/>
                <w:szCs w:val="20"/>
              </w:rPr>
              <w:t>11/25 had resolution or improvement of nausea/vomiting. Potential treatment-related laboratory adverse events occurred in 6/25 patients including thrombocythemia, leukocytosis, increased ALP and increased GGT.</w:t>
            </w:r>
          </w:p>
        </w:tc>
      </w:tr>
      <w:tr w:rsidR="00532204" w:rsidRPr="00532204" w14:paraId="5AF13ECD" w14:textId="77777777" w:rsidTr="00865FB8">
        <w:tc>
          <w:tcPr>
            <w:tcW w:w="1451" w:type="dxa"/>
          </w:tcPr>
          <w:p w14:paraId="6169665B" w14:textId="77777777" w:rsidR="00532204" w:rsidRPr="00532204" w:rsidRDefault="00532204" w:rsidP="00865FB8">
            <w:pP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532204">
              <w:rPr>
                <w:rFonts w:cstheme="minorHAnsi"/>
                <w:sz w:val="20"/>
                <w:szCs w:val="20"/>
                <w:shd w:val="clear" w:color="auto" w:fill="FFFFFF"/>
              </w:rPr>
              <w:t>Steadman (1996)</w:t>
            </w:r>
          </w:p>
        </w:tc>
        <w:tc>
          <w:tcPr>
            <w:tcW w:w="1505" w:type="dxa"/>
          </w:tcPr>
          <w:p w14:paraId="2388A0A1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Case report</w:t>
            </w:r>
          </w:p>
        </w:tc>
        <w:tc>
          <w:tcPr>
            <w:tcW w:w="1895" w:type="dxa"/>
          </w:tcPr>
          <w:p w14:paraId="4B8705B9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Stage IV pancreatic cancer</w:t>
            </w:r>
          </w:p>
        </w:tc>
        <w:tc>
          <w:tcPr>
            <w:tcW w:w="2008" w:type="dxa"/>
          </w:tcPr>
          <w:p w14:paraId="15F35DC1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Diamorphine, octreotide</w:t>
            </w:r>
          </w:p>
        </w:tc>
        <w:tc>
          <w:tcPr>
            <w:tcW w:w="2890" w:type="dxa"/>
          </w:tcPr>
          <w:p w14:paraId="34607CE5" w14:textId="77777777" w:rsidR="00532204" w:rsidRPr="00532204" w:rsidRDefault="00532204" w:rsidP="00865F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01" w:type="dxa"/>
          </w:tcPr>
          <w:p w14:paraId="74A4377A" w14:textId="77777777" w:rsidR="00532204" w:rsidRPr="00532204" w:rsidRDefault="00532204" w:rsidP="00865FB8">
            <w:pPr>
              <w:rPr>
                <w:rFonts w:cstheme="minorHAnsi"/>
                <w:color w:val="292526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 reduced nausea, vomiting</w:t>
            </w:r>
          </w:p>
        </w:tc>
      </w:tr>
      <w:tr w:rsidR="00532204" w:rsidRPr="00532204" w14:paraId="10F731FC" w14:textId="77777777" w:rsidTr="00865FB8">
        <w:tc>
          <w:tcPr>
            <w:tcW w:w="1451" w:type="dxa"/>
          </w:tcPr>
          <w:p w14:paraId="7403257F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Tuca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(2009)</w:t>
            </w:r>
          </w:p>
        </w:tc>
        <w:tc>
          <w:tcPr>
            <w:tcW w:w="1505" w:type="dxa"/>
          </w:tcPr>
          <w:p w14:paraId="37C26FF9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Phase II clinical trial</w:t>
            </w:r>
          </w:p>
        </w:tc>
        <w:tc>
          <w:tcPr>
            <w:tcW w:w="1895" w:type="dxa"/>
          </w:tcPr>
          <w:p w14:paraId="394E8098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BO</w:t>
            </w:r>
          </w:p>
        </w:tc>
        <w:tc>
          <w:tcPr>
            <w:tcW w:w="2008" w:type="dxa"/>
          </w:tcPr>
          <w:p w14:paraId="13A81898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sz w:val="20"/>
                <w:szCs w:val="20"/>
              </w:rPr>
              <w:t>Granisetron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>, dexamethasone, haloperidol</w:t>
            </w:r>
          </w:p>
        </w:tc>
        <w:tc>
          <w:tcPr>
            <w:tcW w:w="2890" w:type="dxa"/>
          </w:tcPr>
          <w:p w14:paraId="32C43CBC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2D5AD702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 xml:space="preserve">Compared to before treatment, daily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granisetron</w:t>
            </w:r>
            <w:proofErr w:type="spellEnd"/>
            <w:r w:rsidRPr="00532204">
              <w:rPr>
                <w:rFonts w:cstheme="minorHAnsi"/>
                <w:sz w:val="20"/>
                <w:szCs w:val="20"/>
              </w:rPr>
              <w:t xml:space="preserve"> and dexamethasone and as needed haloperidol decrease the severity of nausea (p&lt;0.001), number of vomiting episodes (p&lt;0.001) and abdominal pain (p&lt;0.001).</w:t>
            </w:r>
          </w:p>
        </w:tc>
      </w:tr>
      <w:tr w:rsidR="00532204" w:rsidRPr="00532204" w14:paraId="16D8A4AB" w14:textId="77777777" w:rsidTr="00865FB8">
        <w:tc>
          <w:tcPr>
            <w:tcW w:w="1451" w:type="dxa"/>
          </w:tcPr>
          <w:p w14:paraId="7645443F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proofErr w:type="spellStart"/>
            <w:r w:rsidRPr="00532204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Watari</w:t>
            </w:r>
            <w:proofErr w:type="spellEnd"/>
            <w:r w:rsidRPr="00532204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(2012)</w:t>
            </w:r>
          </w:p>
        </w:tc>
        <w:tc>
          <w:tcPr>
            <w:tcW w:w="1505" w:type="dxa"/>
          </w:tcPr>
          <w:p w14:paraId="5A580B76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Cross-sectional study</w:t>
            </w:r>
          </w:p>
        </w:tc>
        <w:tc>
          <w:tcPr>
            <w:tcW w:w="1895" w:type="dxa"/>
          </w:tcPr>
          <w:p w14:paraId="7EBCA154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 xml:space="preserve">Gynecologic cancer, BO, </w:t>
            </w:r>
            <w:r w:rsidRPr="00532204">
              <w:rPr>
                <w:rFonts w:cstheme="minorHAnsi"/>
                <w:sz w:val="20"/>
                <w:szCs w:val="20"/>
              </w:rPr>
              <w:t>≥ 1 emesis/day</w:t>
            </w:r>
          </w:p>
        </w:tc>
        <w:tc>
          <w:tcPr>
            <w:tcW w:w="2008" w:type="dxa"/>
          </w:tcPr>
          <w:p w14:paraId="25861033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Octreotide</w:t>
            </w:r>
          </w:p>
        </w:tc>
        <w:tc>
          <w:tcPr>
            <w:tcW w:w="2890" w:type="dxa"/>
          </w:tcPr>
          <w:p w14:paraId="23283199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</w:tcPr>
          <w:p w14:paraId="58036F7B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Vomiting completely controlled in 15/22 patients.</w:t>
            </w:r>
          </w:p>
        </w:tc>
      </w:tr>
      <w:tr w:rsidR="00532204" w:rsidRPr="00532204" w14:paraId="323B471B" w14:textId="77777777" w:rsidTr="00865FB8">
        <w:tc>
          <w:tcPr>
            <w:tcW w:w="1451" w:type="dxa"/>
          </w:tcPr>
          <w:p w14:paraId="1031E594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  <w:shd w:val="clear" w:color="auto" w:fill="FFFFFF"/>
              </w:rPr>
              <w:t>Weber (2009)</w:t>
            </w:r>
          </w:p>
        </w:tc>
        <w:tc>
          <w:tcPr>
            <w:tcW w:w="1505" w:type="dxa"/>
          </w:tcPr>
          <w:p w14:paraId="65410DBE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Case series</w:t>
            </w:r>
          </w:p>
        </w:tc>
        <w:tc>
          <w:tcPr>
            <w:tcW w:w="1895" w:type="dxa"/>
          </w:tcPr>
          <w:p w14:paraId="0BB92DF5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sz w:val="20"/>
                <w:szCs w:val="20"/>
              </w:rPr>
              <w:t>Advanced gastrointestinal cancers, BO</w:t>
            </w:r>
          </w:p>
        </w:tc>
        <w:tc>
          <w:tcPr>
            <w:tcW w:w="2008" w:type="dxa"/>
          </w:tcPr>
          <w:p w14:paraId="5A24D41D" w14:textId="77777777" w:rsidR="00532204" w:rsidRPr="00532204" w:rsidRDefault="00532204" w:rsidP="00865FB8">
            <w:pPr>
              <w:rPr>
                <w:sz w:val="20"/>
                <w:szCs w:val="20"/>
              </w:rPr>
            </w:pPr>
          </w:p>
        </w:tc>
        <w:tc>
          <w:tcPr>
            <w:tcW w:w="2890" w:type="dxa"/>
          </w:tcPr>
          <w:p w14:paraId="51EA3AA5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Morphine, buprenorphine, methadone, dexamethasone, prednisone, metoclopramide, ondansetron, octreotide,</w:t>
            </w:r>
          </w:p>
          <w:p w14:paraId="21D8AB2D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lastRenderedPageBreak/>
              <w:t xml:space="preserve">hyoscine </w:t>
            </w:r>
            <w:proofErr w:type="spellStart"/>
            <w:r w:rsidRPr="00532204">
              <w:rPr>
                <w:rFonts w:cstheme="minorHAnsi"/>
                <w:sz w:val="20"/>
                <w:szCs w:val="20"/>
              </w:rPr>
              <w:t>butylbromide</w:t>
            </w:r>
            <w:proofErr w:type="spellEnd"/>
          </w:p>
        </w:tc>
        <w:tc>
          <w:tcPr>
            <w:tcW w:w="3201" w:type="dxa"/>
          </w:tcPr>
          <w:p w14:paraId="102BB205" w14:textId="77777777" w:rsidR="00532204" w:rsidRPr="00532204" w:rsidRDefault="00532204" w:rsidP="00865F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lastRenderedPageBreak/>
              <w:t>Analgesics, corticosteroids,</w:t>
            </w:r>
          </w:p>
          <w:p w14:paraId="77592708" w14:textId="77777777" w:rsidR="00532204" w:rsidRPr="00532204" w:rsidRDefault="00532204" w:rsidP="00865FB8">
            <w:pPr>
              <w:rPr>
                <w:sz w:val="20"/>
                <w:szCs w:val="20"/>
              </w:rPr>
            </w:pPr>
            <w:r w:rsidRPr="00532204">
              <w:rPr>
                <w:rFonts w:cstheme="minorHAnsi"/>
                <w:sz w:val="20"/>
                <w:szCs w:val="20"/>
              </w:rPr>
              <w:t>antiemetics, and octreotide were effective to MBO symptoms.</w:t>
            </w:r>
          </w:p>
        </w:tc>
      </w:tr>
    </w:tbl>
    <w:p w14:paraId="57BDFD5F" w14:textId="77777777" w:rsidR="0075663D" w:rsidRPr="00532204" w:rsidRDefault="0075663D" w:rsidP="00532204">
      <w:pPr>
        <w:pStyle w:val="ListParagraph"/>
        <w:rPr>
          <w:sz w:val="20"/>
          <w:szCs w:val="20"/>
        </w:rPr>
      </w:pPr>
    </w:p>
    <w:sectPr w:rsidR="0075663D" w:rsidRPr="005322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6337E"/>
    <w:multiLevelType w:val="hybridMultilevel"/>
    <w:tmpl w:val="5874D19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3D"/>
    <w:rsid w:val="000E4CF6"/>
    <w:rsid w:val="00443AB6"/>
    <w:rsid w:val="00532204"/>
    <w:rsid w:val="0075663D"/>
    <w:rsid w:val="00BF5C17"/>
    <w:rsid w:val="00C3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9C280"/>
  <w15:chartTrackingRefBased/>
  <w15:docId w15:val="{7B11AC46-E191-4F2E-93BE-90A3D78D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63D"/>
    <w:pPr>
      <w:ind w:left="720"/>
      <w:contextualSpacing/>
    </w:pPr>
  </w:style>
  <w:style w:type="character" w:customStyle="1" w:styleId="searchhistory-search-header">
    <w:name w:val="searchhistory-search-header"/>
    <w:rsid w:val="000E4CF6"/>
  </w:style>
  <w:style w:type="character" w:customStyle="1" w:styleId="searchhistory-search-term">
    <w:name w:val="searchhistory-search-term"/>
    <w:rsid w:val="000E4CF6"/>
  </w:style>
  <w:style w:type="character" w:customStyle="1" w:styleId="showdbname">
    <w:name w:val="showdbname"/>
    <w:rsid w:val="000E4CF6"/>
  </w:style>
  <w:style w:type="table" w:styleId="TableGrid">
    <w:name w:val="Table Grid"/>
    <w:basedOn w:val="TableNormal"/>
    <w:uiPriority w:val="39"/>
    <w:rsid w:val="0053220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">
    <w:name w:val="A2"/>
    <w:uiPriority w:val="99"/>
    <w:rsid w:val="00532204"/>
    <w:rPr>
      <w:rFonts w:cs="Time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Madariaga</dc:creator>
  <cp:keywords/>
  <dc:description/>
  <cp:lastModifiedBy>Ainhoa Madariaga</cp:lastModifiedBy>
  <cp:revision>2</cp:revision>
  <dcterms:created xsi:type="dcterms:W3CDTF">2021-11-11T17:59:00Z</dcterms:created>
  <dcterms:modified xsi:type="dcterms:W3CDTF">2021-11-11T17:59:00Z</dcterms:modified>
</cp:coreProperties>
</file>