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2E3B8" w14:textId="77777777" w:rsidR="002E0D63" w:rsidRPr="002E0D63" w:rsidRDefault="002E0D63" w:rsidP="002E0D63">
      <w:pPr>
        <w:rPr>
          <w:b/>
          <w:bCs/>
          <w:i/>
          <w:iCs/>
          <w:lang w:val="en-US"/>
        </w:rPr>
      </w:pPr>
    </w:p>
    <w:p w14:paraId="69A6E64E" w14:textId="77777777" w:rsidR="002E0D63" w:rsidRPr="002E0D63" w:rsidRDefault="002E0D63" w:rsidP="002E0D63">
      <w:pPr>
        <w:rPr>
          <w:b/>
          <w:bCs/>
          <w:i/>
          <w:iCs/>
          <w:lang w:val="en-US"/>
        </w:rPr>
      </w:pPr>
      <w:r w:rsidRPr="002E0D63">
        <w:rPr>
          <w:b/>
          <w:bCs/>
          <w:i/>
          <w:iCs/>
          <w:lang w:val="en-US"/>
        </w:rPr>
        <w:t>Extended data</w:t>
      </w:r>
    </w:p>
    <w:p w14:paraId="42DE1DB8" w14:textId="10DE6E04" w:rsidR="002E0D63" w:rsidRPr="002E0D63" w:rsidRDefault="002E0D63" w:rsidP="002E0D63">
      <w:pPr>
        <w:rPr>
          <w:b/>
          <w:bCs/>
          <w:lang w:val="en-US"/>
        </w:rPr>
      </w:pPr>
      <w:r w:rsidRPr="002E0D63">
        <w:rPr>
          <w:b/>
          <w:lang w:val="en-US"/>
        </w:rPr>
        <w:drawing>
          <wp:inline distT="0" distB="0" distL="0" distR="0" wp14:anchorId="36CF87D8" wp14:editId="3D0E682C">
            <wp:extent cx="5731510" cy="4774565"/>
            <wp:effectExtent l="0" t="0" r="2540" b="6985"/>
            <wp:docPr id="100799333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77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6FE73" w14:textId="77777777" w:rsidR="002E0D63" w:rsidRPr="002E0D63" w:rsidRDefault="002E0D63" w:rsidP="002E0D63">
      <w:pPr>
        <w:rPr>
          <w:lang w:val="en-US"/>
        </w:rPr>
      </w:pPr>
      <w:r w:rsidRPr="002E0D63">
        <w:rPr>
          <w:b/>
          <w:bCs/>
          <w:lang w:val="en-US"/>
        </w:rPr>
        <w:t xml:space="preserve">Extended Data Fig. 1 | Hotspots and </w:t>
      </w:r>
      <w:proofErr w:type="spellStart"/>
      <w:proofErr w:type="gramStart"/>
      <w:r w:rsidRPr="002E0D63">
        <w:rPr>
          <w:b/>
          <w:bCs/>
          <w:lang w:val="en-US"/>
        </w:rPr>
        <w:t>coldspots</w:t>
      </w:r>
      <w:proofErr w:type="spellEnd"/>
      <w:proofErr w:type="gramEnd"/>
      <w:r w:rsidRPr="002E0D63">
        <w:rPr>
          <w:b/>
          <w:bCs/>
          <w:lang w:val="en-US"/>
        </w:rPr>
        <w:t xml:space="preserve"> of above- and belowground functional structure across Europe. </w:t>
      </w:r>
      <w:r w:rsidRPr="002E0D63">
        <w:rPr>
          <w:lang w:val="en-US"/>
        </w:rPr>
        <w:t>Panels show species richness (</w:t>
      </w:r>
      <w:r w:rsidRPr="002E0D63">
        <w:rPr>
          <w:b/>
          <w:bCs/>
          <w:lang w:val="en-US"/>
        </w:rPr>
        <w:t>a</w:t>
      </w:r>
      <w:r w:rsidRPr="002E0D63">
        <w:rPr>
          <w:lang w:val="en-US"/>
        </w:rPr>
        <w:t>), functional variability (</w:t>
      </w:r>
      <w:r w:rsidRPr="002E0D63">
        <w:rPr>
          <w:b/>
          <w:bCs/>
          <w:lang w:val="en-US"/>
        </w:rPr>
        <w:t>b</w:t>
      </w:r>
      <w:r w:rsidRPr="002E0D63">
        <w:rPr>
          <w:lang w:val="en-US"/>
        </w:rPr>
        <w:t>-</w:t>
      </w:r>
      <w:r w:rsidRPr="002E0D63">
        <w:rPr>
          <w:b/>
          <w:bCs/>
          <w:lang w:val="en-US"/>
        </w:rPr>
        <w:t>d</w:t>
      </w:r>
      <w:r w:rsidRPr="002E0D63">
        <w:rPr>
          <w:lang w:val="en-US"/>
        </w:rPr>
        <w:t xml:space="preserve">, </w:t>
      </w:r>
      <w:r w:rsidRPr="002E0D63">
        <w:rPr>
          <w:b/>
          <w:bCs/>
          <w:lang w:val="en-US"/>
        </w:rPr>
        <w:t>g</w:t>
      </w:r>
      <w:r w:rsidRPr="002E0D63">
        <w:rPr>
          <w:lang w:val="en-US"/>
        </w:rPr>
        <w:t>-</w:t>
      </w:r>
      <w:proofErr w:type="spellStart"/>
      <w:r w:rsidRPr="002E0D63">
        <w:rPr>
          <w:b/>
          <w:bCs/>
          <w:lang w:val="en-US"/>
        </w:rPr>
        <w:t>i</w:t>
      </w:r>
      <w:proofErr w:type="spellEnd"/>
      <w:r w:rsidRPr="002E0D63">
        <w:rPr>
          <w:lang w:val="en-US"/>
        </w:rPr>
        <w:t>), and functional composition (</w:t>
      </w:r>
      <w:r w:rsidRPr="002E0D63">
        <w:rPr>
          <w:b/>
          <w:bCs/>
          <w:lang w:val="en-US"/>
        </w:rPr>
        <w:t>e</w:t>
      </w:r>
      <w:r w:rsidRPr="002E0D63">
        <w:rPr>
          <w:lang w:val="en-US"/>
        </w:rPr>
        <w:t>-</w:t>
      </w:r>
      <w:r w:rsidRPr="002E0D63">
        <w:rPr>
          <w:b/>
          <w:bCs/>
          <w:lang w:val="en-US"/>
        </w:rPr>
        <w:t>f</w:t>
      </w:r>
      <w:r w:rsidRPr="002E0D63">
        <w:rPr>
          <w:lang w:val="en-US"/>
        </w:rPr>
        <w:t xml:space="preserve">, </w:t>
      </w:r>
      <w:r w:rsidRPr="002E0D63">
        <w:rPr>
          <w:b/>
          <w:bCs/>
          <w:lang w:val="en-US"/>
        </w:rPr>
        <w:t>j</w:t>
      </w:r>
      <w:r w:rsidRPr="002E0D63">
        <w:rPr>
          <w:lang w:val="en-US"/>
        </w:rPr>
        <w:t>-</w:t>
      </w:r>
      <w:r w:rsidRPr="002E0D63">
        <w:rPr>
          <w:b/>
          <w:bCs/>
          <w:lang w:val="en-US"/>
        </w:rPr>
        <w:t>k</w:t>
      </w:r>
      <w:r w:rsidRPr="002E0D63">
        <w:rPr>
          <w:lang w:val="en-US"/>
        </w:rPr>
        <w:t>) in above- (</w:t>
      </w:r>
      <w:r w:rsidRPr="002E0D63">
        <w:rPr>
          <w:b/>
          <w:bCs/>
          <w:lang w:val="en-US"/>
        </w:rPr>
        <w:t>b</w:t>
      </w:r>
      <w:r w:rsidRPr="002E0D63">
        <w:rPr>
          <w:lang w:val="en-US"/>
        </w:rPr>
        <w:t>-</w:t>
      </w:r>
      <w:r w:rsidRPr="002E0D63">
        <w:rPr>
          <w:b/>
          <w:bCs/>
          <w:lang w:val="en-US"/>
        </w:rPr>
        <w:t>f</w:t>
      </w:r>
      <w:r w:rsidRPr="002E0D63">
        <w:rPr>
          <w:lang w:val="en-US"/>
        </w:rPr>
        <w:t>) and belowground (</w:t>
      </w:r>
      <w:r w:rsidRPr="002E0D63">
        <w:rPr>
          <w:b/>
          <w:bCs/>
          <w:lang w:val="en-US"/>
        </w:rPr>
        <w:t>g</w:t>
      </w:r>
      <w:r w:rsidRPr="002E0D63">
        <w:rPr>
          <w:lang w:val="en-US"/>
        </w:rPr>
        <w:t>-</w:t>
      </w:r>
      <w:r w:rsidRPr="002E0D63">
        <w:rPr>
          <w:b/>
          <w:bCs/>
          <w:lang w:val="en-US"/>
        </w:rPr>
        <w:t>k</w:t>
      </w:r>
      <w:r w:rsidRPr="002E0D63">
        <w:rPr>
          <w:lang w:val="en-US"/>
        </w:rPr>
        <w:t xml:space="preserve">) plant compartments. Hotspots (&gt;75%) are shown in red, intermediate values (25-75%) in grey, and </w:t>
      </w:r>
      <w:proofErr w:type="spellStart"/>
      <w:r w:rsidRPr="002E0D63">
        <w:rPr>
          <w:lang w:val="en-US"/>
        </w:rPr>
        <w:t>coldspots</w:t>
      </w:r>
      <w:proofErr w:type="spellEnd"/>
      <w:r w:rsidRPr="002E0D63">
        <w:rPr>
          <w:lang w:val="en-US"/>
        </w:rPr>
        <w:t xml:space="preserve"> (&lt;25%) in blue, based on median values per hexagon. Species richness was </w:t>
      </w:r>
      <w:proofErr w:type="gramStart"/>
      <w:r w:rsidRPr="002E0D63">
        <w:rPr>
          <w:lang w:val="en-US"/>
        </w:rPr>
        <w:t>log</w:t>
      </w:r>
      <w:proofErr w:type="gramEnd"/>
      <w:r w:rsidRPr="002E0D63">
        <w:rPr>
          <w:lang w:val="en-US"/>
        </w:rPr>
        <w:t xml:space="preserve">-transformed, and all variables were centered and scaled prior to classification. </w:t>
      </w:r>
      <w:proofErr w:type="spellStart"/>
      <w:r w:rsidRPr="002E0D63">
        <w:rPr>
          <w:lang w:val="en-US"/>
        </w:rPr>
        <w:t>SES</w:t>
      </w:r>
      <w:r w:rsidRPr="002E0D63">
        <w:rPr>
          <w:vertAlign w:val="subscript"/>
          <w:lang w:val="en-US"/>
        </w:rPr>
        <w:t>fr</w:t>
      </w:r>
      <w:proofErr w:type="spellEnd"/>
      <w:r w:rsidRPr="002E0D63">
        <w:rPr>
          <w:lang w:val="en-US"/>
        </w:rPr>
        <w:t>: standardized effect size of functional richness, CWMs: community-weighted means. Sample sizes were n = 29,223 (species richness), n = 29,105 (aboveground), and n = 8,875 (belowground).</w:t>
      </w:r>
    </w:p>
    <w:p w14:paraId="18FC5D1E" w14:textId="3EF6E2DC" w:rsidR="002E0D63" w:rsidRPr="002E0D63" w:rsidRDefault="002E0D63" w:rsidP="002E0D63">
      <w:pPr>
        <w:rPr>
          <w:lang w:val="en-US"/>
        </w:rPr>
      </w:pPr>
      <w:r w:rsidRPr="002E0D63">
        <w:rPr>
          <w:lang w:val="en-US"/>
        </w:rPr>
        <w:lastRenderedPageBreak/>
        <w:drawing>
          <wp:inline distT="0" distB="0" distL="0" distR="0" wp14:anchorId="529B3D3D" wp14:editId="0AFA3D4D">
            <wp:extent cx="5038725" cy="2162175"/>
            <wp:effectExtent l="0" t="0" r="9525" b="9525"/>
            <wp:docPr id="206545562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D0B7C" w14:textId="77777777" w:rsidR="002E0D63" w:rsidRPr="002E0D63" w:rsidRDefault="002E0D63" w:rsidP="002E0D63">
      <w:pPr>
        <w:rPr>
          <w:lang w:val="en-US"/>
        </w:rPr>
      </w:pPr>
      <w:r w:rsidRPr="002E0D63">
        <w:rPr>
          <w:b/>
          <w:bCs/>
          <w:lang w:val="en-US"/>
        </w:rPr>
        <w:t>Extended Data Fig. 2 | Spatial patterns of species richness (a) and above- (b) and belowground (c) raw functional richness across Europe</w:t>
      </w:r>
      <w:r w:rsidRPr="002E0D63">
        <w:rPr>
          <w:lang w:val="en-US"/>
        </w:rPr>
        <w:t xml:space="preserve">. Colors show the hexagonal medians of standardized values (z-scores) and are centered on the median to show relative spatial differences within variables. Species richness was </w:t>
      </w:r>
      <w:proofErr w:type="gramStart"/>
      <w:r w:rsidRPr="002E0D63">
        <w:rPr>
          <w:lang w:val="en-US"/>
        </w:rPr>
        <w:t>log</w:t>
      </w:r>
      <w:proofErr w:type="gramEnd"/>
      <w:r w:rsidRPr="002E0D63">
        <w:rPr>
          <w:lang w:val="en-US"/>
        </w:rPr>
        <w:t>-transformed, and all variables were centered and scaled prior to mapping. Sample sizes were n = 29,223 (species richness), n = 29,105 (aboveground), and n = 8,875 (belowground).</w:t>
      </w:r>
    </w:p>
    <w:p w14:paraId="51FE67BE" w14:textId="1184C4F4" w:rsidR="002E0D63" w:rsidRPr="002E0D63" w:rsidRDefault="002E0D63" w:rsidP="002E0D63">
      <w:pPr>
        <w:rPr>
          <w:lang w:val="en-US"/>
        </w:rPr>
      </w:pPr>
      <w:r w:rsidRPr="002E0D63">
        <w:rPr>
          <w:lang w:val="en-US"/>
        </w:rPr>
        <w:drawing>
          <wp:inline distT="0" distB="0" distL="0" distR="0" wp14:anchorId="288929D9" wp14:editId="07816B33">
            <wp:extent cx="5731510" cy="2861310"/>
            <wp:effectExtent l="0" t="0" r="2540" b="0"/>
            <wp:docPr id="17290208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6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EB9BE" w14:textId="77777777" w:rsidR="002E0D63" w:rsidRPr="002E0D63" w:rsidRDefault="002E0D63" w:rsidP="002E0D63">
      <w:pPr>
        <w:rPr>
          <w:lang w:val="en-US"/>
        </w:rPr>
      </w:pPr>
      <w:r w:rsidRPr="002E0D63">
        <w:rPr>
          <w:b/>
          <w:bCs/>
          <w:lang w:val="en-US"/>
        </w:rPr>
        <w:t>Extended Data Fig. 3 | Relative contributions of environmental drivers to species richness (a-b) and raw functional richness (c-d) across Europe.</w:t>
      </w:r>
      <w:r w:rsidRPr="002E0D63">
        <w:rPr>
          <w:lang w:val="en-US"/>
        </w:rPr>
        <w:t xml:space="preserve"> Black lines indicate contributions of major driver categories (</w:t>
      </w:r>
      <w:r w:rsidRPr="002E0D63">
        <w:rPr>
          <w:b/>
          <w:bCs/>
          <w:lang w:val="en-US"/>
        </w:rPr>
        <w:t>a</w:t>
      </w:r>
      <w:r w:rsidRPr="002E0D63">
        <w:rPr>
          <w:lang w:val="en-US"/>
        </w:rPr>
        <w:t xml:space="preserve">, </w:t>
      </w:r>
      <w:r w:rsidRPr="002E0D63">
        <w:rPr>
          <w:b/>
          <w:bCs/>
          <w:lang w:val="en-US"/>
        </w:rPr>
        <w:t>d</w:t>
      </w:r>
      <w:r w:rsidRPr="002E0D63">
        <w:rPr>
          <w:lang w:val="en-US"/>
        </w:rPr>
        <w:t>), whereas colored lines represent contributions of individual predictors (</w:t>
      </w:r>
      <w:r w:rsidRPr="002E0D63">
        <w:rPr>
          <w:b/>
          <w:bCs/>
          <w:lang w:val="en-US"/>
        </w:rPr>
        <w:t>b</w:t>
      </w:r>
      <w:r w:rsidRPr="002E0D63">
        <w:rPr>
          <w:lang w:val="en-US"/>
        </w:rPr>
        <w:t xml:space="preserve">, </w:t>
      </w:r>
      <w:r w:rsidRPr="002E0D63">
        <w:rPr>
          <w:b/>
          <w:bCs/>
          <w:lang w:val="en-US"/>
        </w:rPr>
        <w:t>c</w:t>
      </w:r>
      <w:r w:rsidRPr="002E0D63">
        <w:rPr>
          <w:lang w:val="en-US"/>
        </w:rPr>
        <w:t>), expressed as a percentage of explained variance (R</w:t>
      </w:r>
      <w:r w:rsidRPr="002E0D63">
        <w:rPr>
          <w:vertAlign w:val="superscript"/>
          <w:lang w:val="en-US"/>
        </w:rPr>
        <w:t>2</w:t>
      </w:r>
      <w:r w:rsidRPr="002E0D63">
        <w:rPr>
          <w:lang w:val="en-US"/>
        </w:rPr>
        <w:t xml:space="preserve">). Predictors are ordered by decreasing contribution to the species richness </w:t>
      </w:r>
      <w:r w:rsidRPr="002E0D63">
        <w:rPr>
          <w:lang w:val="et-EE"/>
        </w:rPr>
        <w:t>(</w:t>
      </w:r>
      <w:r w:rsidRPr="002E0D63">
        <w:rPr>
          <w:b/>
          <w:bCs/>
          <w:lang w:val="et-EE"/>
        </w:rPr>
        <w:t>a</w:t>
      </w:r>
      <w:r w:rsidRPr="002E0D63">
        <w:rPr>
          <w:lang w:val="et-EE"/>
        </w:rPr>
        <w:t>-</w:t>
      </w:r>
      <w:r w:rsidRPr="002E0D63">
        <w:rPr>
          <w:b/>
          <w:bCs/>
          <w:lang w:val="et-EE"/>
        </w:rPr>
        <w:t>b</w:t>
      </w:r>
      <w:r w:rsidRPr="002E0D63">
        <w:rPr>
          <w:lang w:val="et-EE"/>
        </w:rPr>
        <w:t xml:space="preserve">) </w:t>
      </w:r>
      <w:r w:rsidRPr="002E0D63">
        <w:rPr>
          <w:lang w:val="en-US"/>
        </w:rPr>
        <w:t>and the aboveground plant compartment (</w:t>
      </w:r>
      <w:r w:rsidRPr="002E0D63">
        <w:rPr>
          <w:b/>
          <w:bCs/>
          <w:lang w:val="en-US"/>
        </w:rPr>
        <w:t>c</w:t>
      </w:r>
      <w:r w:rsidRPr="002E0D63">
        <w:rPr>
          <w:lang w:val="en-US"/>
        </w:rPr>
        <w:t>-</w:t>
      </w:r>
      <w:r w:rsidRPr="002E0D63">
        <w:rPr>
          <w:b/>
          <w:bCs/>
          <w:lang w:val="en-US"/>
        </w:rPr>
        <w:t>d</w:t>
      </w:r>
      <w:r w:rsidRPr="002E0D63">
        <w:rPr>
          <w:lang w:val="en-US"/>
        </w:rPr>
        <w:t>).</w:t>
      </w:r>
    </w:p>
    <w:p w14:paraId="26888012" w14:textId="0A3A3174" w:rsidR="002E0D63" w:rsidRPr="002E0D63" w:rsidRDefault="002E0D63" w:rsidP="002E0D63">
      <w:pPr>
        <w:rPr>
          <w:lang w:val="en-US"/>
        </w:rPr>
      </w:pPr>
      <w:r w:rsidRPr="002E0D63">
        <w:rPr>
          <w:lang w:val="en-US"/>
        </w:rPr>
        <w:lastRenderedPageBreak/>
        <w:drawing>
          <wp:inline distT="0" distB="0" distL="0" distR="0" wp14:anchorId="311737C2" wp14:editId="6B506D63">
            <wp:extent cx="5731510" cy="2150745"/>
            <wp:effectExtent l="0" t="0" r="2540" b="1905"/>
            <wp:docPr id="90804824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15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60868" w14:textId="77777777" w:rsidR="002E0D63" w:rsidRPr="002E0D63" w:rsidRDefault="002E0D63" w:rsidP="002E0D63">
      <w:pPr>
        <w:rPr>
          <w:lang w:val="en-US"/>
        </w:rPr>
      </w:pPr>
      <w:r w:rsidRPr="002E0D63">
        <w:rPr>
          <w:b/>
          <w:bCs/>
          <w:lang w:val="en-US"/>
        </w:rPr>
        <w:t>Extended Data Fig. 4</w:t>
      </w:r>
      <w:r w:rsidRPr="002E0D63">
        <w:rPr>
          <w:lang w:val="en-US"/>
        </w:rPr>
        <w:t xml:space="preserve"> </w:t>
      </w:r>
      <w:r w:rsidRPr="002E0D63">
        <w:rPr>
          <w:b/>
          <w:bCs/>
          <w:lang w:val="en-US"/>
        </w:rPr>
        <w:t>|</w:t>
      </w:r>
      <w:r w:rsidRPr="002E0D63">
        <w:rPr>
          <w:lang w:val="en-US"/>
        </w:rPr>
        <w:t xml:space="preserve"> </w:t>
      </w:r>
      <w:r w:rsidRPr="002E0D63">
        <w:rPr>
          <w:b/>
          <w:bCs/>
          <w:lang w:val="en-US"/>
        </w:rPr>
        <w:t>Environmental effects on species richness and above- and belowground raw functional richness across Europe</w:t>
      </w:r>
      <w:r w:rsidRPr="002E0D63">
        <w:rPr>
          <w:lang w:val="en-US"/>
        </w:rPr>
        <w:t xml:space="preserve">. Panels show partial dependence plots from generalized additive models (GAMs) for species richness and raw functional richness in above- and </w:t>
      </w:r>
      <w:proofErr w:type="gramStart"/>
      <w:r w:rsidRPr="002E0D63">
        <w:rPr>
          <w:lang w:val="en-US"/>
        </w:rPr>
        <w:t>belowground</w:t>
      </w:r>
      <w:proofErr w:type="gramEnd"/>
      <w:r w:rsidRPr="002E0D63">
        <w:rPr>
          <w:lang w:val="en-US"/>
        </w:rPr>
        <w:t xml:space="preserve"> compartments. Solid lines represent fitted smooths, shaded areas indicate 95% confidence intervals, and dashed lines denote non-significant effects. Colors indicate vegetation type (forest, green; non-forest, orange). R</w:t>
      </w:r>
      <w:r w:rsidRPr="002E0D63">
        <w:rPr>
          <w:vertAlign w:val="superscript"/>
          <w:lang w:val="en-US"/>
        </w:rPr>
        <w:t>2</w:t>
      </w:r>
      <w:r w:rsidRPr="002E0D63">
        <w:rPr>
          <w:lang w:val="en-US"/>
        </w:rPr>
        <w:t xml:space="preserve"> values show the total explained variance of each model. Effective degrees of freedom (</w:t>
      </w:r>
      <w:proofErr w:type="spellStart"/>
      <w:r w:rsidRPr="002E0D63">
        <w:rPr>
          <w:lang w:val="en-US"/>
        </w:rPr>
        <w:t>edf</w:t>
      </w:r>
      <w:proofErr w:type="spellEnd"/>
      <w:r w:rsidRPr="002E0D63">
        <w:rPr>
          <w:lang w:val="en-US"/>
        </w:rPr>
        <w:t>) and significance levels are reported within panels (***p &lt; 0.001, **p &lt; 0.01, *p &lt; 0.05; ns, not significant).</w:t>
      </w:r>
    </w:p>
    <w:p w14:paraId="2FFFF79B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D63"/>
    <w:rsid w:val="002E0D63"/>
    <w:rsid w:val="00767E38"/>
    <w:rsid w:val="00866F7D"/>
    <w:rsid w:val="00BB088B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30BE3"/>
  <w15:chartTrackingRefBased/>
  <w15:docId w15:val="{6E2918E0-EFBF-4270-939B-7AF20E8AD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0D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0D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0D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0D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0D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0D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0D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0D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0D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D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0D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0D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0D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0D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0D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0D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0D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0D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0D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0D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0D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0D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0D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0D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0D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0D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D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D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0D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359</Words>
  <Characters>2049</Characters>
  <Application>Microsoft Office Word</Application>
  <DocSecurity>0</DocSecurity>
  <Lines>17</Lines>
  <Paragraphs>4</Paragraphs>
  <ScaleCrop>false</ScaleCrop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2026-09-22T08:43:00Z</dcterms:created>
  <dcterms:modified xsi:type="dcterms:W3CDTF">2026-09-22T08:44:00Z</dcterms:modified>
</cp:coreProperties>
</file>