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DB8B" w14:textId="77777777" w:rsidR="002F1D87" w:rsidRDefault="002F1D87" w:rsidP="002F1D87">
      <w:pPr>
        <w:keepLines/>
        <w:spacing w:before="120"/>
        <w:jc w:val="center"/>
      </w:pPr>
      <w:r>
        <w:rPr>
          <w:noProof/>
        </w:rPr>
        <w:drawing>
          <wp:inline distT="0" distB="0" distL="114300" distR="114300" wp14:anchorId="6952F6BE" wp14:editId="2ED0C864">
            <wp:extent cx="5669280" cy="3591560"/>
            <wp:effectExtent l="0" t="0" r="20320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9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12EF3" w14:textId="77777777" w:rsidR="002F1D87" w:rsidRDefault="002F1D87" w:rsidP="002F1D87">
      <w:pPr>
        <w:pStyle w:val="Caption"/>
        <w:keepLines/>
        <w:spacing w:before="60" w:after="180"/>
      </w:pPr>
      <w:r>
        <w:t>Supplementary Figure S1. Primary multivariable regression estimates. Points show adjusted odds ratios and horizontal lines show 95% confidence intervals from the primary logistic regression model.</w:t>
      </w:r>
    </w:p>
    <w:p w14:paraId="1D96E7C9" w14:textId="77777777" w:rsidR="002F1D87" w:rsidRDefault="002F1D87" w:rsidP="002F1D87">
      <w:pPr>
        <w:keepLines/>
        <w:spacing w:before="120"/>
        <w:jc w:val="center"/>
      </w:pPr>
    </w:p>
    <w:p w14:paraId="66962BDB" w14:textId="0D8760BD" w:rsidR="002F1D87" w:rsidRDefault="002F1D87" w:rsidP="002F1D87">
      <w:pPr>
        <w:keepLines/>
        <w:spacing w:before="120"/>
        <w:jc w:val="center"/>
      </w:pPr>
      <w:r>
        <w:rPr>
          <w:noProof/>
        </w:rPr>
        <w:lastRenderedPageBreak/>
        <w:drawing>
          <wp:inline distT="0" distB="0" distL="114300" distR="114300" wp14:anchorId="422ECC0B" wp14:editId="1856A0DC">
            <wp:extent cx="5257800" cy="48425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4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5411" w14:textId="77777777" w:rsidR="002F1D87" w:rsidRDefault="002F1D87" w:rsidP="002F1D87">
      <w:pPr>
        <w:pStyle w:val="Caption"/>
        <w:keepLines/>
        <w:spacing w:before="60" w:after="180"/>
      </w:pPr>
      <w:r>
        <w:t>Supplementary Figure S2. CTI association according to diabetes status. Estimates are adjusted odds ratios per 1-SD increase in CTI from a single full-cohort model containing the CTI-by-diabetes interaction and adjusted for age, sex, STEMI, hypertension, current smoking, eGFR, and LVEF. The primary interaction P value used a 1-degree-of-freedom likelihood-ratio test. The cohort included 285 patients without diabetes (47 events) and 144 with diabetes (55 events). Effect modification is assessed by the interaction test.</w:t>
      </w:r>
    </w:p>
    <w:p w14:paraId="01FC33CF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87"/>
    <w:rsid w:val="00066677"/>
    <w:rsid w:val="00153A17"/>
    <w:rsid w:val="001A37F3"/>
    <w:rsid w:val="00281456"/>
    <w:rsid w:val="002F1D87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7061"/>
  <w15:chartTrackingRefBased/>
  <w15:docId w15:val="{6F6333AE-4BC3-4FF1-90BE-11A1F10E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D87"/>
    <w:pPr>
      <w:spacing w:after="0" w:line="480" w:lineRule="auto"/>
    </w:pPr>
    <w:rPr>
      <w:rFonts w:ascii="Times New Roman" w:eastAsia="Times New Roman" w:hAnsi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1D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D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D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D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D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D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D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D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D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D8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1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D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1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D8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1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D87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1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D8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1D87"/>
    <w:pPr>
      <w:keepNext/>
      <w:spacing w:before="120" w:after="60"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2026-10-05T15:00:00Z</dcterms:created>
  <dcterms:modified xsi:type="dcterms:W3CDTF">2026-10-05T15:01:00Z</dcterms:modified>
</cp:coreProperties>
</file>