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4699" w14:textId="77777777" w:rsidR="00954208" w:rsidRPr="00D52C7D" w:rsidRDefault="00954208" w:rsidP="00954208">
      <w:pPr>
        <w:rPr>
          <w:rFonts w:ascii="Times New Roman" w:hAnsi="Times New Roman" w:cs="Times New Roman"/>
          <w:b/>
          <w:sz w:val="24"/>
          <w:szCs w:val="24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Supporting information </w:t>
      </w:r>
    </w:p>
    <w:p w14:paraId="716C4886" w14:textId="77777777" w:rsidR="00954208" w:rsidRPr="00D52C7D" w:rsidRDefault="00954208" w:rsidP="00954208">
      <w:pPr>
        <w:rPr>
          <w:rFonts w:ascii="Times New Roman" w:hAnsi="Times New Roman" w:cs="Times New Roman"/>
          <w:b/>
          <w:sz w:val="24"/>
          <w:szCs w:val="24"/>
        </w:rPr>
      </w:pPr>
    </w:p>
    <w:p w14:paraId="622740ED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E9D40A9" wp14:editId="61C65687">
            <wp:extent cx="6112510" cy="2606150"/>
            <wp:effectExtent l="0" t="0" r="2540" b="3810"/>
            <wp:docPr id="18" name="Picture 18" descr="C:\Users\NADEEM BHANBHRO\Desktop\Life journal XIJ 3rd\By me\Manuscript\DEP\Final\Figure for 4th\Figur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DEEM BHANBHRO\Desktop\Life journal XIJ 3rd\By me\Manuscript\DEP\Final\Figure for 4th\Figure 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60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2B4DE" w14:textId="77777777" w:rsidR="00954208" w:rsidRPr="00954208" w:rsidRDefault="00954208" w:rsidP="00954208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Supplementary Figure 1. </w:t>
      </w:r>
      <w:r w:rsidRPr="00D52C7D">
        <w:rPr>
          <w:rFonts w:ascii="Times New Roman" w:hAnsi="Times New Roman" w:cs="Times New Roman"/>
          <w:sz w:val="24"/>
          <w:szCs w:val="24"/>
        </w:rPr>
        <w:t xml:space="preserve">Topological properties of rhizosphere bacterial (A) and fungal (B) sub-networks across habitats and foxtail millet cultivars. nodes_num, number of nodes; edges_num, number of edges; betweenness_centralization, betweenness centralization; modularity, network modularity. Uppercase letters indicate overall differences between Group A (saline-alkali) and Group B (control) (ANOVA or Kruskal-Wallis test, 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0.05</w:t>
      </w:r>
      <w:r w:rsidRPr="00D52C7D">
        <w:rPr>
          <w:rFonts w:ascii="Times New Roman" w:hAnsi="Times New Roman" w:cs="Times New Roman"/>
          <w:sz w:val="24"/>
          <w:szCs w:val="24"/>
        </w:rPr>
        <w:t xml:space="preserve">). Lowercase letters indicate significant differences among individual treatment groups (Tukey's HSD or Dunn's post hoc test, p </w:t>
      </w:r>
      <w:r w:rsidRPr="00D52C7D">
        <w:rPr>
          <w:rFonts w:ascii="Times New Roman" w:hAnsi="Times New Roman" w:cs="Times New Roman"/>
          <w:i/>
          <w:sz w:val="24"/>
          <w:szCs w:val="24"/>
        </w:rPr>
        <w:t>&lt; 0.05</w:t>
      </w:r>
      <w:r w:rsidRPr="00D52C7D">
        <w:rPr>
          <w:rFonts w:ascii="Times New Roman" w:hAnsi="Times New Roman" w:cs="Times New Roman"/>
          <w:sz w:val="24"/>
          <w:szCs w:val="24"/>
        </w:rPr>
        <w:t xml:space="preserve">); different letters denote significant differences. Blue shades represent the saline-alkali habitat (A1-A4) and red shades represent the control habitat (B1-B4). </w:t>
      </w:r>
      <w:r w:rsidRPr="00954208">
        <w:rPr>
          <w:rFonts w:ascii="Times New Roman" w:hAnsi="Times New Roman" w:cs="Times New Roman"/>
          <w:sz w:val="24"/>
          <w:szCs w:val="24"/>
          <w:lang w:val="pt-PT"/>
        </w:rPr>
        <w:t>A1/B1: Xingu 1; A2/B2: Cangu 15; A3/B3: Xingu 2; A4/B4: Xingu 3.</w:t>
      </w:r>
    </w:p>
    <w:p w14:paraId="78116A48" w14:textId="77777777" w:rsidR="00954208" w:rsidRPr="00954208" w:rsidRDefault="00954208" w:rsidP="00954208">
      <w:pPr>
        <w:rPr>
          <w:rFonts w:ascii="Times New Roman" w:hAnsi="Times New Roman" w:cs="Times New Roman"/>
          <w:sz w:val="24"/>
          <w:szCs w:val="24"/>
          <w:lang w:val="pt-PT"/>
        </w:rPr>
      </w:pPr>
    </w:p>
    <w:p w14:paraId="4F2750DB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0F26FA8" wp14:editId="3FB2481D">
            <wp:extent cx="6112510" cy="5283650"/>
            <wp:effectExtent l="0" t="0" r="2540" b="0"/>
            <wp:docPr id="19" name="Picture 19" descr="C:\Users\NADEEM BHANBHRO\Desktop\Life journal XIJ 3rd\By me\Manuscript\DEP\Final\Figure for 4th\Figur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DEEM BHANBHRO\Desktop\Life journal XIJ 3rd\By me\Manuscript\DEP\Final\Figure for 4th\Figure 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528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AF69" w14:textId="77777777" w:rsidR="00954208" w:rsidRPr="00D52C7D" w:rsidRDefault="00954208" w:rsidP="009542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371E6C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Supplementary Figure 2. </w:t>
      </w:r>
      <w:r w:rsidRPr="00D52C7D">
        <w:rPr>
          <w:rFonts w:ascii="Times New Roman" w:hAnsi="Times New Roman" w:cs="Times New Roman"/>
          <w:sz w:val="24"/>
          <w:szCs w:val="24"/>
        </w:rPr>
        <w:t>LEfSe analysis reveals differential microbial taxa between treatment groups. (A, B) Bacterial and fungal genus-level taxa showing significant differences between the saline-alkali field (Group A) and control field (Group B) (LDA score (log10) &gt; 4). Red bars indicate taxa enriched in the saline-alkali Group A; blue bars indicate taxa enriched in the control Group B. (C, D) Bacterial and fungal genus-level taxa showing significant differences among foxtail millet cultivars (A1-A4) within the saline-alkali field (LDA score (log10) &gt; 3 for bacteria, &gt; 2 for fungi). Different shades of blue indicate taxa enriched in different cultivars.</w:t>
      </w:r>
    </w:p>
    <w:p w14:paraId="0996CF75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79A17426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41F1BBEF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71C3897A" w14:textId="77777777" w:rsidR="00954208" w:rsidRPr="00D52C7D" w:rsidRDefault="00954208" w:rsidP="00954208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35855056" wp14:editId="5667B7E0">
            <wp:extent cx="6112510" cy="4493767"/>
            <wp:effectExtent l="0" t="0" r="2540" b="2540"/>
            <wp:docPr id="20" name="Picture 20" descr="C:\Users\NADEEM BHANBHRO\Desktop\Life journal XIJ 3rd\By me\Manuscript\DEP\Final\Figure for 4th\Figur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DEEM BHANBHRO\Desktop\Life journal XIJ 3rd\By me\Manuscript\DEP\Final\Figure for 4th\Figure 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449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DFC5C" w14:textId="77777777" w:rsidR="00954208" w:rsidRPr="00D52C7D" w:rsidRDefault="00954208" w:rsidP="00954208"/>
    <w:p w14:paraId="7D475D1D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Supplementary Figure 3. </w:t>
      </w:r>
      <w:r w:rsidRPr="00D52C7D">
        <w:rPr>
          <w:rFonts w:ascii="Times New Roman" w:hAnsi="Times New Roman" w:cs="Times New Roman"/>
          <w:sz w:val="24"/>
          <w:szCs w:val="24"/>
        </w:rPr>
        <w:t xml:space="preserve">Genus-level differential abundance analysis of rhizosphere microbial communities. Volcano plots show bacterial community differences between the control field (B) and saline-alkali field (A) (A), and between cultivar B4 and cultivar B1 within the control field (C), with corresponding fungal community differences shown in (B) and (D). The x-axis shows log2 (fold change) and the y-axis shows -log10 (p-value). Red points indicate significantly enriched genera (log2FC &gt; 1, 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0.05</w:t>
      </w:r>
      <w:r w:rsidRPr="00D52C7D">
        <w:rPr>
          <w:rFonts w:ascii="Times New Roman" w:hAnsi="Times New Roman" w:cs="Times New Roman"/>
          <w:sz w:val="24"/>
          <w:szCs w:val="24"/>
        </w:rPr>
        <w:t>, or log2FC &gt; 0.5, p &lt; 0.1), blue points indicate significantly depleted genera, and grey points indicate non-significant genera.</w:t>
      </w:r>
    </w:p>
    <w:p w14:paraId="35CC1FF1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72F22482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4E6F85C3" w14:textId="77777777" w:rsidR="00954208" w:rsidRPr="00D52C7D" w:rsidRDefault="00954208" w:rsidP="00954208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6405F4E6" wp14:editId="5391044E">
            <wp:extent cx="6112510" cy="5526428"/>
            <wp:effectExtent l="0" t="0" r="2540" b="0"/>
            <wp:docPr id="22" name="Picture 22" descr="C:\Users\NADEEM BHANBHRO\Desktop\Life journal XIJ 3rd\By me\Manuscript\DEP\Final\Figure for 4th\Figure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DEEM BHANBHRO\Desktop\Life journal XIJ 3rd\By me\Manuscript\DEP\Final\Figure for 4th\Figure 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552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B7178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5FECC416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Supplementary Figure 4. </w:t>
      </w:r>
      <w:r w:rsidRPr="00D52C7D">
        <w:rPr>
          <w:rFonts w:ascii="Times New Roman" w:hAnsi="Times New Roman" w:cs="Times New Roman"/>
          <w:sz w:val="24"/>
          <w:szCs w:val="24"/>
        </w:rPr>
        <w:t>Correlation heatmap of key bacterial and fungal genera with soil and plant environmental factors. Correlations between high-LDA-score bacterial genera (A) and key network/LEfSe-derived fungal genera (B) with environmental factors (PTN: plant total nitrogen; PTP: plant total phosphorus; PTK: plant total potassium; pH; WSS: soil water-soluble salts; AN: soil available/ammonium nitrogen; AP: soil available phosphorus; AK: soil available potassium; SOM: soil organic matter; TN: soil total nitrogen; HCO3: soil bicarbonate; Cl: soil chloride; SO4: soil sulfate). Red indicates positive correlation, blue indicates negative correlation, and color intensity indicates correlation strength (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0.05,</w:t>
      </w:r>
      <w:r w:rsidRPr="00D52C7D">
        <w:rPr>
          <w:rFonts w:ascii="Times New Roman" w:hAnsi="Times New Roman" w:cs="Times New Roman"/>
          <w:sz w:val="24"/>
          <w:szCs w:val="24"/>
        </w:rPr>
        <w:t xml:space="preserve"> 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0.01</w:t>
      </w:r>
      <w:r w:rsidRPr="00D52C7D">
        <w:rPr>
          <w:rFonts w:ascii="Times New Roman" w:hAnsi="Times New Roman" w:cs="Times New Roman"/>
          <w:sz w:val="24"/>
          <w:szCs w:val="24"/>
        </w:rPr>
        <w:t xml:space="preserve">, 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0.001</w:t>
      </w:r>
      <w:r w:rsidRPr="00D52C7D">
        <w:rPr>
          <w:rFonts w:ascii="Times New Roman" w:hAnsi="Times New Roman" w:cs="Times New Roman"/>
          <w:sz w:val="24"/>
          <w:szCs w:val="24"/>
        </w:rPr>
        <w:t>). In (B), fungal genera are annotated by functional category (Legacy Hubs/Normal Enriched, Stress Adapters/Salt Hub, Variety Specific/A3 Hub, Other Salt-Tolerant), shown by colored side bars.</w:t>
      </w:r>
    </w:p>
    <w:p w14:paraId="192B6260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3069C34F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</w:p>
    <w:p w14:paraId="64767DA5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noProof/>
          <w:lang w:eastAsia="en-US"/>
        </w:rPr>
        <w:lastRenderedPageBreak/>
        <w:drawing>
          <wp:inline distT="0" distB="0" distL="0" distR="0" wp14:anchorId="7D5EFBA0" wp14:editId="3FE81A6B">
            <wp:extent cx="5943600" cy="2760312"/>
            <wp:effectExtent l="0" t="0" r="0" b="2540"/>
            <wp:docPr id="13" name="Picture 13" descr="C:\Users\NADEEM BHANBHRO\Desktop\Life journal XIJ 3rd\By me\Manuscript\New fig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DEEM BHANBHRO\Desktop\Life journal XIJ 3rd\By me\Manuscript\New figur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F1BE0" w14:textId="77777777" w:rsidR="00954208" w:rsidRPr="00D52C7D" w:rsidRDefault="00954208" w:rsidP="00954208">
      <w:pPr>
        <w:rPr>
          <w:rFonts w:ascii="Times New Roman" w:hAnsi="Times New Roman" w:cs="Times New Roman"/>
          <w:sz w:val="24"/>
          <w:szCs w:val="24"/>
        </w:rPr>
      </w:pPr>
      <w:r w:rsidRPr="00D52C7D">
        <w:rPr>
          <w:rFonts w:ascii="Times New Roman" w:hAnsi="Times New Roman" w:cs="Times New Roman"/>
          <w:b/>
          <w:sz w:val="24"/>
          <w:szCs w:val="24"/>
        </w:rPr>
        <w:t xml:space="preserve">Supplementary Figure 5. </w:t>
      </w:r>
      <w:r w:rsidRPr="00D52C7D">
        <w:rPr>
          <w:rFonts w:ascii="Times New Roman" w:hAnsi="Times New Roman" w:cs="Times New Roman"/>
          <w:sz w:val="24"/>
          <w:szCs w:val="24"/>
        </w:rPr>
        <w:t>Number of significant associations between key fungal genera and foxtail millet agronomic traits under saline-alkali stress. Red bars indicate FDR-robust associations (</w:t>
      </w:r>
      <w:r w:rsidRPr="00D52C7D">
        <w:rPr>
          <w:rFonts w:ascii="Times New Roman" w:hAnsi="Times New Roman" w:cs="Times New Roman"/>
          <w:i/>
          <w:sz w:val="24"/>
          <w:szCs w:val="24"/>
        </w:rPr>
        <w:t>q &lt; 0.05</w:t>
      </w:r>
      <w:r w:rsidRPr="00D52C7D">
        <w:rPr>
          <w:rFonts w:ascii="Times New Roman" w:hAnsi="Times New Roman" w:cs="Times New Roman"/>
          <w:sz w:val="24"/>
          <w:szCs w:val="24"/>
        </w:rPr>
        <w:t xml:space="preserve"> after Benjamini-Hochberg correction); grey bars indicate nominally significant associations (raw </w:t>
      </w:r>
      <w:r w:rsidRPr="00D52C7D">
        <w:rPr>
          <w:rFonts w:ascii="Times New Roman" w:hAnsi="Times New Roman" w:cs="Times New Roman"/>
          <w:i/>
          <w:sz w:val="24"/>
          <w:szCs w:val="24"/>
        </w:rPr>
        <w:t>p &lt; 0.05</w:t>
      </w:r>
      <w:r w:rsidRPr="00D52C7D">
        <w:rPr>
          <w:rFonts w:ascii="Times New Roman" w:hAnsi="Times New Roman" w:cs="Times New Roman"/>
          <w:sz w:val="24"/>
          <w:szCs w:val="24"/>
        </w:rPr>
        <w:t xml:space="preserve">, </w:t>
      </w:r>
      <w:r w:rsidRPr="00D52C7D">
        <w:rPr>
          <w:rFonts w:ascii="Times New Roman" w:hAnsi="Times New Roman" w:cs="Times New Roman"/>
          <w:i/>
          <w:sz w:val="24"/>
          <w:szCs w:val="24"/>
        </w:rPr>
        <w:t>q &gt; 0.05</w:t>
      </w:r>
      <w:r w:rsidRPr="00D52C7D">
        <w:rPr>
          <w:rFonts w:ascii="Times New Roman" w:hAnsi="Times New Roman" w:cs="Times New Roman"/>
          <w:sz w:val="24"/>
          <w:szCs w:val="24"/>
        </w:rPr>
        <w:t xml:space="preserve">). </w:t>
      </w:r>
      <w:r w:rsidRPr="00D52C7D">
        <w:rPr>
          <w:rFonts w:ascii="Times New Roman" w:hAnsi="Times New Roman" w:cs="Times New Roman"/>
          <w:i/>
          <w:sz w:val="24"/>
          <w:szCs w:val="24"/>
        </w:rPr>
        <w:t>Spiromastix</w:t>
      </w:r>
      <w:r w:rsidRPr="00D52C7D">
        <w:rPr>
          <w:rFonts w:ascii="Times New Roman" w:hAnsi="Times New Roman" w:cs="Times New Roman"/>
          <w:sz w:val="24"/>
          <w:szCs w:val="24"/>
        </w:rPr>
        <w:t xml:space="preserve"> showed 10 FDR-robust positive associations, </w:t>
      </w:r>
      <w:r w:rsidRPr="00D52C7D">
        <w:rPr>
          <w:rFonts w:ascii="Times New Roman" w:hAnsi="Times New Roman" w:cs="Times New Roman"/>
          <w:i/>
          <w:sz w:val="24"/>
          <w:szCs w:val="24"/>
        </w:rPr>
        <w:t>Scytalidium</w:t>
      </w:r>
      <w:r w:rsidRPr="00D52C7D">
        <w:rPr>
          <w:rFonts w:ascii="Times New Roman" w:hAnsi="Times New Roman" w:cs="Times New Roman"/>
          <w:sz w:val="24"/>
          <w:szCs w:val="24"/>
        </w:rPr>
        <w:t xml:space="preserve"> showed 2 FDR-robust negative associations, </w:t>
      </w:r>
      <w:r w:rsidRPr="00D52C7D">
        <w:rPr>
          <w:rFonts w:ascii="Times New Roman" w:hAnsi="Times New Roman" w:cs="Times New Roman"/>
          <w:i/>
          <w:sz w:val="24"/>
          <w:szCs w:val="24"/>
        </w:rPr>
        <w:t>Setophoma</w:t>
      </w:r>
      <w:r w:rsidRPr="00D52C7D">
        <w:rPr>
          <w:rFonts w:ascii="Times New Roman" w:hAnsi="Times New Roman" w:cs="Times New Roman"/>
          <w:sz w:val="24"/>
          <w:szCs w:val="24"/>
        </w:rPr>
        <w:t xml:space="preserve"> showed 9 nominally significant negative associations, and GS16_gen_Incertae_sedis showed 1 nominally significant positive association. All other 19 genera showed no significant associations (</w:t>
      </w:r>
      <w:r w:rsidRPr="00D52C7D">
        <w:rPr>
          <w:rFonts w:ascii="Times New Roman" w:hAnsi="Times New Roman" w:cs="Times New Roman"/>
          <w:i/>
          <w:sz w:val="24"/>
          <w:szCs w:val="24"/>
        </w:rPr>
        <w:t>p &gt; 0.05</w:t>
      </w:r>
      <w:r w:rsidRPr="00D52C7D">
        <w:rPr>
          <w:rFonts w:ascii="Times New Roman" w:hAnsi="Times New Roman" w:cs="Times New Roman"/>
          <w:sz w:val="24"/>
          <w:szCs w:val="24"/>
        </w:rPr>
        <w:t>). Data based on 23 genera × 13 traits = 299 pairwise tests; n = 12 saline-alkali samples.</w:t>
      </w:r>
    </w:p>
    <w:p w14:paraId="73949A06" w14:textId="77777777" w:rsidR="00DE6AE2" w:rsidRDefault="00DE6AE2"/>
    <w:sectPr w:rsidR="00DE6AE2" w:rsidSect="00954208">
      <w:footerReference w:type="default" r:id="rId9"/>
      <w:pgSz w:w="11906" w:h="16838"/>
      <w:pgMar w:top="1140" w:right="1140" w:bottom="1140" w:left="1140" w:header="851" w:footer="992" w:gutter="0"/>
      <w:lnNumType w:countBy="1" w:restart="continuous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46EC" w14:textId="77777777" w:rsidR="00954208" w:rsidRDefault="00954208">
    <w:pPr>
      <w:pStyle w:val="Footer"/>
      <w:tabs>
        <w:tab w:val="center" w:pos="4819"/>
        <w:tab w:val="left" w:pos="6165"/>
      </w:tabs>
    </w:pPr>
    <w:r>
      <w:tab/>
    </w:r>
    <w:r>
      <w:tab/>
    </w:r>
    <w:sdt>
      <w:sdtPr>
        <w:id w:val="-1702318817"/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99396C">
          <w:rPr>
            <w:noProof/>
            <w:lang w:val="zh-CN"/>
          </w:rPr>
          <w:t>21</w:t>
        </w:r>
        <w:r>
          <w:rPr>
            <w:lang w:val="zh-CN"/>
          </w:rPr>
          <w:fldChar w:fldCharType="end"/>
        </w:r>
      </w:sdtContent>
    </w:sdt>
    <w:r>
      <w:tab/>
    </w:r>
  </w:p>
  <w:p w14:paraId="2A8FB396" w14:textId="77777777" w:rsidR="00954208" w:rsidRDefault="0095420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08"/>
    <w:rsid w:val="00195413"/>
    <w:rsid w:val="003A03A7"/>
    <w:rsid w:val="003D0186"/>
    <w:rsid w:val="00503BA9"/>
    <w:rsid w:val="007278E4"/>
    <w:rsid w:val="00954208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C66C"/>
  <w15:chartTrackingRefBased/>
  <w15:docId w15:val="{C297FC8B-0F85-4D1E-86BB-CC09C344C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208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20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20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20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20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20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20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20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20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20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20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4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20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4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20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4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208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4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20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20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9542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54208"/>
    <w:rPr>
      <w:rFonts w:eastAsiaTheme="minorEastAsia"/>
      <w:sz w:val="18"/>
      <w:szCs w:val="18"/>
      <w:lang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54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568</Words>
  <Characters>3239</Characters>
  <Application>Microsoft Office Word</Application>
  <DocSecurity>0</DocSecurity>
  <Lines>26</Lines>
  <Paragraphs>7</Paragraphs>
  <ScaleCrop>false</ScaleCrop>
  <Company>Springer Nature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2026-10-12T15:55:00Z</dcterms:created>
  <dcterms:modified xsi:type="dcterms:W3CDTF">2026-10-12T15:55:00Z</dcterms:modified>
</cp:coreProperties>
</file>