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2B5D4" w14:textId="77777777" w:rsidR="00AB3BC0" w:rsidRDefault="00000000">
      <w:pPr>
        <w:pStyle w:val="TableTitle"/>
      </w:pPr>
      <w:r>
        <w:t>STROBE Statement—checklist of items that should be included in reports of observational studies</w:t>
      </w:r>
    </w:p>
    <w:p w14:paraId="0CF64D6D" w14:textId="77777777" w:rsidR="00AB3BC0" w:rsidRDefault="00AB3BC0">
      <w:pPr>
        <w:pStyle w:val="TableTitle"/>
      </w:pPr>
    </w:p>
    <w:tbl>
      <w:tblPr>
        <w:tblW w:w="1499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310"/>
        <w:gridCol w:w="211"/>
        <w:gridCol w:w="426"/>
        <w:gridCol w:w="323"/>
        <w:gridCol w:w="4250"/>
        <w:gridCol w:w="77"/>
        <w:gridCol w:w="550"/>
        <w:gridCol w:w="7845"/>
      </w:tblGrid>
      <w:tr w:rsidR="00AB3BC0" w14:paraId="289AAEA3" w14:textId="77777777">
        <w:tc>
          <w:tcPr>
            <w:tcW w:w="1310" w:type="dxa"/>
          </w:tcPr>
          <w:p w14:paraId="6005060B" w14:textId="77777777" w:rsidR="00AB3BC0" w:rsidRDefault="00AB3BC0">
            <w:pPr>
              <w:tabs>
                <w:tab w:val="left" w:pos="5400"/>
              </w:tabs>
              <w:rPr>
                <w:sz w:val="20"/>
              </w:rPr>
            </w:pPr>
            <w:bookmarkStart w:id="0" w:name="italic2" w:colFirst="1" w:colLast="1"/>
            <w:bookmarkStart w:id="1" w:name="bold3" w:colFirst="3" w:colLast="3"/>
            <w:bookmarkStart w:id="2" w:name="italic5" w:colFirst="4" w:colLast="4"/>
            <w:bookmarkStart w:id="3" w:name="italic1" w:colFirst="0" w:colLast="0"/>
            <w:bookmarkStart w:id="4" w:name="bold1" w:colFirst="1" w:colLast="1"/>
            <w:bookmarkStart w:id="5" w:name="bold4" w:colFirst="4" w:colLast="4"/>
            <w:bookmarkStart w:id="6" w:name="italic4" w:colFirst="3" w:colLast="3"/>
            <w:bookmarkStart w:id="7" w:name="bold2" w:colFirst="2" w:colLast="2"/>
            <w:bookmarkStart w:id="8" w:name="italic3" w:colFirst="2" w:colLast="2"/>
          </w:p>
        </w:tc>
        <w:tc>
          <w:tcPr>
            <w:tcW w:w="637" w:type="dxa"/>
            <w:gridSpan w:val="2"/>
          </w:tcPr>
          <w:p w14:paraId="3BC5BDB8" w14:textId="77777777" w:rsidR="00AB3BC0" w:rsidRDefault="00000000">
            <w:pPr>
              <w:pStyle w:val="TableHeader"/>
              <w:tabs>
                <w:tab w:val="left" w:pos="5400"/>
              </w:tabs>
              <w:jc w:val="center"/>
              <w:rPr>
                <w:bCs/>
                <w:sz w:val="20"/>
              </w:rPr>
            </w:pPr>
            <w:r>
              <w:rPr>
                <w:bCs/>
                <w:sz w:val="20"/>
              </w:rPr>
              <w:t>Item No.</w:t>
            </w:r>
          </w:p>
        </w:tc>
        <w:tc>
          <w:tcPr>
            <w:tcW w:w="4650" w:type="dxa"/>
            <w:gridSpan w:val="3"/>
            <w:vAlign w:val="bottom"/>
          </w:tcPr>
          <w:p w14:paraId="2C0C2100" w14:textId="77777777" w:rsidR="00AB3BC0" w:rsidRDefault="00000000">
            <w:pPr>
              <w:pStyle w:val="TableHeader"/>
              <w:tabs>
                <w:tab w:val="left" w:pos="5400"/>
              </w:tabs>
              <w:jc w:val="center"/>
              <w:rPr>
                <w:bCs/>
                <w:sz w:val="20"/>
              </w:rPr>
            </w:pPr>
            <w:r>
              <w:rPr>
                <w:bCs/>
                <w:sz w:val="20"/>
              </w:rPr>
              <w:t>Recommendation</w:t>
            </w:r>
          </w:p>
        </w:tc>
        <w:tc>
          <w:tcPr>
            <w:tcW w:w="550" w:type="dxa"/>
          </w:tcPr>
          <w:p w14:paraId="685AB8B7" w14:textId="77777777" w:rsidR="00AB3BC0" w:rsidRDefault="00000000">
            <w:pPr>
              <w:pStyle w:val="TableHeader"/>
              <w:tabs>
                <w:tab w:val="left" w:pos="5400"/>
              </w:tabs>
              <w:jc w:val="center"/>
              <w:rPr>
                <w:bCs/>
                <w:sz w:val="20"/>
              </w:rPr>
            </w:pPr>
            <w:r>
              <w:rPr>
                <w:bCs/>
                <w:sz w:val="20"/>
              </w:rPr>
              <w:t xml:space="preserve">Page </w:t>
            </w:r>
            <w:r>
              <w:rPr>
                <w:bCs/>
                <w:sz w:val="20"/>
              </w:rPr>
              <w:br/>
              <w:t>No.</w:t>
            </w:r>
          </w:p>
        </w:tc>
        <w:tc>
          <w:tcPr>
            <w:tcW w:w="7845" w:type="dxa"/>
          </w:tcPr>
          <w:p w14:paraId="7B6D3BC3" w14:textId="77777777" w:rsidR="00AB3BC0" w:rsidRDefault="00000000">
            <w:pPr>
              <w:pStyle w:val="TableHeader"/>
              <w:tabs>
                <w:tab w:val="left" w:pos="5400"/>
              </w:tabs>
              <w:jc w:val="center"/>
              <w:rPr>
                <w:bCs/>
                <w:sz w:val="20"/>
              </w:rPr>
            </w:pPr>
            <w:r>
              <w:rPr>
                <w:bCs/>
                <w:sz w:val="20"/>
              </w:rPr>
              <w:t>Relevant text from manuscript</w:t>
            </w:r>
          </w:p>
        </w:tc>
      </w:tr>
      <w:tr w:rsidR="00AB3BC0" w14:paraId="74B5B1D1" w14:textId="77777777">
        <w:tc>
          <w:tcPr>
            <w:tcW w:w="1310" w:type="dxa"/>
            <w:vMerge w:val="restart"/>
          </w:tcPr>
          <w:p w14:paraId="512A745D" w14:textId="77777777" w:rsidR="00AB3BC0" w:rsidRDefault="00000000">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Pr>
                <w:b/>
                <w:sz w:val="20"/>
              </w:rPr>
              <w:t>Title and abstract</w:t>
            </w:r>
            <w:bookmarkEnd w:id="9"/>
            <w:bookmarkEnd w:id="10"/>
          </w:p>
        </w:tc>
        <w:tc>
          <w:tcPr>
            <w:tcW w:w="637" w:type="dxa"/>
            <w:gridSpan w:val="2"/>
            <w:vMerge w:val="restart"/>
          </w:tcPr>
          <w:p w14:paraId="64BEE2C2" w14:textId="77777777" w:rsidR="00AB3BC0" w:rsidRDefault="00000000">
            <w:pPr>
              <w:tabs>
                <w:tab w:val="left" w:pos="5400"/>
              </w:tabs>
              <w:jc w:val="center"/>
              <w:rPr>
                <w:sz w:val="20"/>
              </w:rPr>
            </w:pPr>
            <w:r>
              <w:rPr>
                <w:sz w:val="20"/>
              </w:rPr>
              <w:t>1</w:t>
            </w:r>
          </w:p>
        </w:tc>
        <w:tc>
          <w:tcPr>
            <w:tcW w:w="4650" w:type="dxa"/>
            <w:gridSpan w:val="3"/>
          </w:tcPr>
          <w:p w14:paraId="0A0E178D" w14:textId="77777777" w:rsidR="00AB3BC0" w:rsidRDefault="00000000">
            <w:pPr>
              <w:tabs>
                <w:tab w:val="left" w:pos="5400"/>
              </w:tabs>
              <w:rPr>
                <w:sz w:val="20"/>
              </w:rPr>
            </w:pPr>
            <w:r>
              <w:rPr>
                <w:sz w:val="20"/>
              </w:rPr>
              <w:t>(</w:t>
            </w:r>
            <w:r>
              <w:rPr>
                <w:i/>
                <w:sz w:val="20"/>
              </w:rPr>
              <w:t>a</w:t>
            </w:r>
            <w:r>
              <w:rPr>
                <w:sz w:val="20"/>
              </w:rPr>
              <w:t>) Indicate the study’s design with a commonly used term in the title or the abstract</w:t>
            </w:r>
          </w:p>
        </w:tc>
        <w:tc>
          <w:tcPr>
            <w:tcW w:w="550" w:type="dxa"/>
          </w:tcPr>
          <w:p w14:paraId="59AA455A" w14:textId="77777777" w:rsidR="00AB3BC0" w:rsidRDefault="00000000">
            <w:pPr>
              <w:tabs>
                <w:tab w:val="left" w:pos="5400"/>
              </w:tabs>
              <w:rPr>
                <w:rFonts w:eastAsia="宋体"/>
                <w:sz w:val="20"/>
                <w:lang w:val="en-US" w:eastAsia="zh-CN"/>
              </w:rPr>
            </w:pPr>
            <w:r>
              <w:rPr>
                <w:rFonts w:eastAsia="宋体" w:hint="eastAsia"/>
                <w:sz w:val="20"/>
                <w:lang w:val="en-US" w:eastAsia="zh-CN"/>
              </w:rPr>
              <w:t>4</w:t>
            </w:r>
          </w:p>
        </w:tc>
        <w:tc>
          <w:tcPr>
            <w:tcW w:w="7845" w:type="dxa"/>
          </w:tcPr>
          <w:p w14:paraId="74337252" w14:textId="77777777" w:rsidR="00AB3BC0" w:rsidRDefault="00000000">
            <w:pPr>
              <w:tabs>
                <w:tab w:val="left" w:pos="5400"/>
              </w:tabs>
              <w:rPr>
                <w:sz w:val="20"/>
              </w:rPr>
            </w:pPr>
            <w:r>
              <w:rPr>
                <w:sz w:val="20"/>
                <w:lang w:val="en-US" w:eastAsia="zh-CN"/>
              </w:rPr>
              <w:t xml:space="preserve">We </w:t>
            </w:r>
            <w:r>
              <w:rPr>
                <w:rFonts w:hint="eastAsia"/>
                <w:sz w:val="20"/>
                <w:lang w:val="en-US" w:eastAsia="zh-CN"/>
              </w:rPr>
              <w:t>evaluated the associations of comorbidity burden, combinations, and patterns with</w:t>
            </w:r>
            <w:r>
              <w:rPr>
                <w:sz w:val="20"/>
                <w:lang w:val="en-US" w:eastAsia="zh-CN"/>
              </w:rPr>
              <w:t xml:space="preserve"> liver-related events (LREs)</w:t>
            </w:r>
            <w:r>
              <w:rPr>
                <w:rFonts w:hint="eastAsia"/>
                <w:sz w:val="20"/>
                <w:lang w:val="en-US" w:eastAsia="zh-CN"/>
              </w:rPr>
              <w:t xml:space="preserve"> in a prospective UK Biobank cohort</w:t>
            </w:r>
          </w:p>
        </w:tc>
      </w:tr>
      <w:tr w:rsidR="00AB3BC0" w14:paraId="37595F25" w14:textId="77777777">
        <w:tc>
          <w:tcPr>
            <w:tcW w:w="1310" w:type="dxa"/>
            <w:vMerge/>
          </w:tcPr>
          <w:p w14:paraId="79738CB1" w14:textId="77777777" w:rsidR="00AB3BC0" w:rsidRDefault="00AB3BC0">
            <w:pPr>
              <w:tabs>
                <w:tab w:val="left" w:pos="5400"/>
              </w:tabs>
              <w:rPr>
                <w:bCs/>
                <w:sz w:val="20"/>
              </w:rPr>
            </w:pPr>
            <w:bookmarkStart w:id="11" w:name="bold6" w:colFirst="0" w:colLast="0"/>
            <w:bookmarkStart w:id="12" w:name="italic7" w:colFirst="0" w:colLast="0"/>
          </w:p>
        </w:tc>
        <w:tc>
          <w:tcPr>
            <w:tcW w:w="637" w:type="dxa"/>
            <w:gridSpan w:val="2"/>
            <w:vMerge/>
          </w:tcPr>
          <w:p w14:paraId="60E9668C" w14:textId="77777777" w:rsidR="00AB3BC0" w:rsidRDefault="00AB3BC0">
            <w:pPr>
              <w:tabs>
                <w:tab w:val="left" w:pos="5400"/>
              </w:tabs>
              <w:jc w:val="center"/>
              <w:rPr>
                <w:sz w:val="20"/>
              </w:rPr>
            </w:pPr>
          </w:p>
        </w:tc>
        <w:tc>
          <w:tcPr>
            <w:tcW w:w="4650" w:type="dxa"/>
            <w:gridSpan w:val="3"/>
          </w:tcPr>
          <w:p w14:paraId="750FF9A0" w14:textId="77777777" w:rsidR="00AB3BC0" w:rsidRDefault="00000000">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550" w:type="dxa"/>
          </w:tcPr>
          <w:p w14:paraId="00E85721" w14:textId="77777777" w:rsidR="00AB3BC0" w:rsidRDefault="00000000">
            <w:pPr>
              <w:tabs>
                <w:tab w:val="left" w:pos="5400"/>
              </w:tabs>
              <w:rPr>
                <w:rFonts w:eastAsia="宋体"/>
                <w:sz w:val="20"/>
                <w:lang w:val="en-US" w:eastAsia="zh-CN"/>
              </w:rPr>
            </w:pPr>
            <w:r>
              <w:rPr>
                <w:rFonts w:eastAsia="宋体" w:hint="eastAsia"/>
                <w:sz w:val="20"/>
                <w:lang w:val="en-US" w:eastAsia="zh-CN"/>
              </w:rPr>
              <w:t>4</w:t>
            </w:r>
          </w:p>
        </w:tc>
        <w:tc>
          <w:tcPr>
            <w:tcW w:w="7845" w:type="dxa"/>
          </w:tcPr>
          <w:p w14:paraId="6C6344F5" w14:textId="77777777" w:rsidR="00AB3BC0" w:rsidRDefault="00000000">
            <w:pPr>
              <w:tabs>
                <w:tab w:val="left" w:pos="5400"/>
              </w:tabs>
              <w:rPr>
                <w:sz w:val="20"/>
              </w:rPr>
            </w:pPr>
            <w:r>
              <w:rPr>
                <w:rFonts w:hint="eastAsia"/>
                <w:sz w:val="20"/>
                <w:lang w:val="en-US" w:eastAsia="zh-CN"/>
              </w:rPr>
              <w:t xml:space="preserve">Compared with the reference group, participants in the highest </w:t>
            </w:r>
            <w:r>
              <w:rPr>
                <w:sz w:val="20"/>
                <w:lang w:val="en-US" w:eastAsia="zh-CN"/>
              </w:rPr>
              <w:t>Charlson</w:t>
            </w:r>
            <w:r>
              <w:rPr>
                <w:rFonts w:hint="eastAsia"/>
                <w:sz w:val="20"/>
                <w:lang w:val="en-US" w:eastAsia="zh-CN"/>
              </w:rPr>
              <w:t xml:space="preserve"> comorbidity index tertile or those with </w:t>
            </w:r>
            <w:r>
              <w:rPr>
                <w:rFonts w:hint="eastAsia"/>
                <w:sz w:val="20"/>
                <w:lang w:eastAsia="zh-CN"/>
              </w:rPr>
              <w:t xml:space="preserve">≥ </w:t>
            </w:r>
            <w:r>
              <w:rPr>
                <w:rFonts w:hint="eastAsia"/>
                <w:sz w:val="20"/>
                <w:lang w:val="en-US" w:eastAsia="zh-CN"/>
              </w:rPr>
              <w:t>3 comorbidities had 41% (</w:t>
            </w:r>
            <w:r>
              <w:rPr>
                <w:sz w:val="20"/>
                <w:lang w:val="en-US" w:eastAsia="zh-CN"/>
              </w:rPr>
              <w:t>95% CI 1.</w:t>
            </w:r>
            <w:r>
              <w:rPr>
                <w:rFonts w:hint="eastAsia"/>
                <w:sz w:val="20"/>
                <w:lang w:val="en-US" w:eastAsia="zh-CN"/>
              </w:rPr>
              <w:t>31</w:t>
            </w:r>
            <w:r>
              <w:rPr>
                <w:sz w:val="20"/>
                <w:lang w:val="en-US" w:eastAsia="zh-CN"/>
              </w:rPr>
              <w:t>-1.</w:t>
            </w:r>
            <w:r>
              <w:rPr>
                <w:rFonts w:hint="eastAsia"/>
                <w:sz w:val="20"/>
                <w:lang w:val="en-US" w:eastAsia="zh-CN"/>
              </w:rPr>
              <w:t>51) and 54% (</w:t>
            </w:r>
            <w:r>
              <w:rPr>
                <w:sz w:val="20"/>
                <w:lang w:val="en-US" w:eastAsia="zh-CN"/>
              </w:rPr>
              <w:t>95% CI 1.</w:t>
            </w:r>
            <w:r>
              <w:rPr>
                <w:rFonts w:hint="eastAsia"/>
                <w:sz w:val="20"/>
                <w:lang w:val="en-US" w:eastAsia="zh-CN"/>
              </w:rPr>
              <w:t>43</w:t>
            </w:r>
            <w:r>
              <w:rPr>
                <w:sz w:val="20"/>
                <w:lang w:val="en-US" w:eastAsia="zh-CN"/>
              </w:rPr>
              <w:t>-1.</w:t>
            </w:r>
            <w:r>
              <w:rPr>
                <w:rFonts w:hint="eastAsia"/>
                <w:sz w:val="20"/>
                <w:lang w:val="en-US" w:eastAsia="zh-CN"/>
              </w:rPr>
              <w:t xml:space="preserve">65) higher risk of LREs, respectively. Among </w:t>
            </w:r>
            <w:r>
              <w:rPr>
                <w:sz w:val="20"/>
                <w:lang w:val="en-US" w:eastAsia="zh-CN"/>
              </w:rPr>
              <w:t>individual</w:t>
            </w:r>
            <w:r>
              <w:rPr>
                <w:rFonts w:hint="eastAsia"/>
                <w:sz w:val="20"/>
                <w:lang w:val="en-US" w:eastAsia="zh-CN"/>
              </w:rPr>
              <w:t xml:space="preserve"> comorbidities, solid organ cancers, diabetes, chronic obstructive </w:t>
            </w:r>
            <w:r>
              <w:rPr>
                <w:sz w:val="20"/>
                <w:lang w:val="en-US" w:eastAsia="zh-CN"/>
              </w:rPr>
              <w:t>pulmonary</w:t>
            </w:r>
            <w:r>
              <w:rPr>
                <w:rFonts w:hint="eastAsia"/>
                <w:sz w:val="20"/>
                <w:lang w:val="en-US" w:eastAsia="zh-CN"/>
              </w:rPr>
              <w:t xml:space="preserve"> disease exhibited the strongest association with LREs. Comorbidity pairs conferred greater risks, particularly combinations involving diabetes or hypertension, with hypertension plus substance use disorder (HR 1.51, 95% CI 1.37-1.65), hypertension plus solid organ cancers (HR 1.44, 95% CI 1.31-1.57), diabetes plus hyperlipidemia (HR 1.43, 95% CI 1.27-1.60), diabetes plus depression (HR 1.40, 95% CI 1.24-1.59), and diabetes plus hypertension (HR 1.39, 95% CI 1.30-1.49). Latent class analysis identified three comorbidity </w:t>
            </w:r>
            <w:r>
              <w:rPr>
                <w:sz w:val="20"/>
                <w:lang w:val="en-US" w:eastAsia="zh-CN"/>
              </w:rPr>
              <w:t>phenotypes</w:t>
            </w:r>
            <w:r>
              <w:rPr>
                <w:rFonts w:hint="eastAsia"/>
                <w:sz w:val="20"/>
                <w:lang w:val="en-US" w:eastAsia="zh-CN"/>
              </w:rPr>
              <w:t xml:space="preserve">, including psychiatric-respiratory, hypertension-centred metabolic, and </w:t>
            </w:r>
            <w:r>
              <w:rPr>
                <w:sz w:val="20"/>
                <w:lang w:val="en-US" w:eastAsia="zh-CN"/>
              </w:rPr>
              <w:t>cardiovascular</w:t>
            </w:r>
            <w:r>
              <w:rPr>
                <w:rFonts w:hint="eastAsia"/>
                <w:sz w:val="20"/>
                <w:lang w:val="en-US" w:eastAsia="zh-CN"/>
              </w:rPr>
              <w:t>-</w:t>
            </w:r>
            <w:r>
              <w:rPr>
                <w:sz w:val="20"/>
                <w:lang w:val="en-US" w:eastAsia="zh-CN"/>
              </w:rPr>
              <w:t>kidney</w:t>
            </w:r>
            <w:r>
              <w:rPr>
                <w:rFonts w:hint="eastAsia"/>
                <w:sz w:val="20"/>
                <w:lang w:val="en-US" w:eastAsia="zh-CN"/>
              </w:rPr>
              <w:t>-</w:t>
            </w:r>
            <w:r>
              <w:rPr>
                <w:sz w:val="20"/>
                <w:lang w:val="en-US" w:eastAsia="zh-CN"/>
              </w:rPr>
              <w:t>metabolic</w:t>
            </w:r>
            <w:r>
              <w:rPr>
                <w:rFonts w:hint="eastAsia"/>
                <w:sz w:val="20"/>
                <w:lang w:val="en-US" w:eastAsia="zh-CN"/>
              </w:rPr>
              <w:t xml:space="preserve"> phenotypes, which were associated with increased LREs risk (HRs 1.39, 1.40, and 2.08, respectively).</w:t>
            </w:r>
          </w:p>
        </w:tc>
      </w:tr>
      <w:tr w:rsidR="00AB3BC0" w14:paraId="62B9FE26" w14:textId="77777777">
        <w:tc>
          <w:tcPr>
            <w:tcW w:w="7147" w:type="dxa"/>
            <w:gridSpan w:val="7"/>
          </w:tcPr>
          <w:p w14:paraId="7AA3E248" w14:textId="77777777" w:rsidR="00AB3BC0" w:rsidRDefault="00000000">
            <w:pPr>
              <w:pStyle w:val="TableSubHead"/>
              <w:tabs>
                <w:tab w:val="left" w:pos="5400"/>
              </w:tabs>
              <w:rPr>
                <w:sz w:val="20"/>
              </w:rPr>
            </w:pPr>
            <w:bookmarkStart w:id="13" w:name="italic8"/>
            <w:bookmarkStart w:id="14" w:name="bold7"/>
            <w:bookmarkEnd w:id="11"/>
            <w:bookmarkEnd w:id="12"/>
            <w:r>
              <w:rPr>
                <w:sz w:val="20"/>
              </w:rPr>
              <w:t>Introduction</w:t>
            </w:r>
          </w:p>
        </w:tc>
        <w:bookmarkEnd w:id="13"/>
        <w:bookmarkEnd w:id="14"/>
        <w:tc>
          <w:tcPr>
            <w:tcW w:w="7845" w:type="dxa"/>
          </w:tcPr>
          <w:p w14:paraId="7C2CEE2C" w14:textId="77777777" w:rsidR="00AB3BC0" w:rsidRDefault="00AB3BC0">
            <w:pPr>
              <w:pStyle w:val="TableSubHead"/>
              <w:tabs>
                <w:tab w:val="left" w:pos="5400"/>
              </w:tabs>
              <w:rPr>
                <w:sz w:val="20"/>
              </w:rPr>
            </w:pPr>
          </w:p>
        </w:tc>
      </w:tr>
      <w:tr w:rsidR="00AB3BC0" w14:paraId="619139D3" w14:textId="77777777">
        <w:tc>
          <w:tcPr>
            <w:tcW w:w="1310" w:type="dxa"/>
          </w:tcPr>
          <w:p w14:paraId="1457F4DD" w14:textId="77777777" w:rsidR="00AB3BC0" w:rsidRDefault="00000000">
            <w:pPr>
              <w:tabs>
                <w:tab w:val="left" w:pos="5400"/>
              </w:tabs>
              <w:rPr>
                <w:bCs/>
                <w:sz w:val="20"/>
              </w:rPr>
            </w:pPr>
            <w:bookmarkStart w:id="15" w:name="bold8"/>
            <w:bookmarkStart w:id="16" w:name="italic9"/>
            <w:r>
              <w:rPr>
                <w:bCs/>
                <w:sz w:val="20"/>
              </w:rPr>
              <w:t>Background/</w:t>
            </w:r>
            <w:bookmarkStart w:id="17" w:name="bold9"/>
            <w:bookmarkStart w:id="18" w:name="italic10"/>
            <w:bookmarkEnd w:id="15"/>
            <w:bookmarkEnd w:id="16"/>
            <w:r>
              <w:rPr>
                <w:bCs/>
                <w:sz w:val="20"/>
              </w:rPr>
              <w:t>rationale</w:t>
            </w:r>
            <w:bookmarkEnd w:id="17"/>
            <w:bookmarkEnd w:id="18"/>
          </w:p>
        </w:tc>
        <w:tc>
          <w:tcPr>
            <w:tcW w:w="637" w:type="dxa"/>
            <w:gridSpan w:val="2"/>
          </w:tcPr>
          <w:p w14:paraId="0D597BD5" w14:textId="77777777" w:rsidR="00AB3BC0" w:rsidRDefault="00000000">
            <w:pPr>
              <w:tabs>
                <w:tab w:val="left" w:pos="5400"/>
              </w:tabs>
              <w:jc w:val="center"/>
              <w:rPr>
                <w:sz w:val="20"/>
              </w:rPr>
            </w:pPr>
            <w:r>
              <w:rPr>
                <w:sz w:val="20"/>
              </w:rPr>
              <w:t>2</w:t>
            </w:r>
          </w:p>
        </w:tc>
        <w:tc>
          <w:tcPr>
            <w:tcW w:w="4650" w:type="dxa"/>
            <w:gridSpan w:val="3"/>
          </w:tcPr>
          <w:p w14:paraId="3CF06109" w14:textId="77777777" w:rsidR="00AB3BC0" w:rsidRDefault="00000000">
            <w:pPr>
              <w:tabs>
                <w:tab w:val="left" w:pos="5400"/>
              </w:tabs>
              <w:rPr>
                <w:sz w:val="20"/>
              </w:rPr>
            </w:pPr>
            <w:r>
              <w:rPr>
                <w:sz w:val="20"/>
              </w:rPr>
              <w:t>Explain the scientific background and rationale for the investigation being reported</w:t>
            </w:r>
          </w:p>
        </w:tc>
        <w:tc>
          <w:tcPr>
            <w:tcW w:w="550" w:type="dxa"/>
          </w:tcPr>
          <w:p w14:paraId="6CC77B1F" w14:textId="0ADD20EC" w:rsidR="00AB3BC0" w:rsidRDefault="00C51B6A">
            <w:pPr>
              <w:tabs>
                <w:tab w:val="left" w:pos="5400"/>
              </w:tabs>
              <w:rPr>
                <w:rFonts w:eastAsia="宋体"/>
                <w:sz w:val="20"/>
                <w:lang w:val="en-US" w:eastAsia="zh-CN"/>
              </w:rPr>
            </w:pPr>
            <w:r>
              <w:rPr>
                <w:rFonts w:eastAsia="宋体" w:hint="eastAsia"/>
                <w:sz w:val="20"/>
                <w:lang w:val="en-US" w:eastAsia="zh-CN"/>
              </w:rPr>
              <w:t xml:space="preserve">5, </w:t>
            </w:r>
            <w:r w:rsidR="00000000">
              <w:rPr>
                <w:rFonts w:eastAsia="宋体" w:hint="eastAsia"/>
                <w:sz w:val="20"/>
                <w:lang w:val="en-US" w:eastAsia="zh-CN"/>
              </w:rPr>
              <w:t>6</w:t>
            </w:r>
          </w:p>
        </w:tc>
        <w:tc>
          <w:tcPr>
            <w:tcW w:w="7845" w:type="dxa"/>
          </w:tcPr>
          <w:p w14:paraId="3BCB40D5" w14:textId="77777777" w:rsidR="00AB3BC0" w:rsidRDefault="00000000" w:rsidP="0079385E">
            <w:pPr>
              <w:spacing w:line="360" w:lineRule="auto"/>
              <w:rPr>
                <w:sz w:val="20"/>
              </w:rPr>
            </w:pPr>
            <w:r>
              <w:rPr>
                <w:sz w:val="20"/>
              </w:rPr>
              <w:t>MASLD is increasingly recognized as a multisystem disorder rather than an isolated liver disease. Beyond hepatic manifestations, extrahepatic comorbidities may contribute to liver disease progression and adverse liver outcomes. Previous studies have shown that comorbidities, including hypertension,</w:t>
            </w:r>
            <w:r>
              <w:rPr>
                <w:sz w:val="20"/>
              </w:rPr>
              <w:fldChar w:fldCharType="begin"/>
            </w:r>
            <w:r>
              <w:rPr>
                <w:sz w:val="20"/>
              </w:rPr>
              <w:instrText xml:space="preserve"> ADDIN ZOTERO_ITEM CSL_CITATION {"citationID":"av91jg7toa","properties":{"unsorted":false,"formattedCitation":"\\super 4\\nosupersub{}","plainCitation":"4","noteIndex":0},"citationItems":[{"id":5419,"uris":["http://zotero.org/users/9834796/items/QQY6CXLL"],"itemData":{"id":5419,"type":"article-journal","abstract":"Background &amp; Aims: Hypertension is common in metabolic dysfunction-associated steatotic liver disease (MASLD), but its impact on long-term clinical outcomes and disease progression remains unclear. This study investigated the association of hypertension with the risk of adverse clinical outcomes and progression of liver stiffness/fibrosis in MASLD.\nMethods: Three multicenter large cohorts were analyzed: the UK Biobank (UKBB) cohort to assess the risk of adverse clinical outcomes, the VCTE-Prognosis cohort to assess liver stiffness/fibrosis progression, and the Paired Liver Biopsy cohort to assess histologic liver fibrosis progression. Adverse clinical outcomes were defined as all-cause mortality, cardiovascular events, and/or liver-related events. Liver stiffness progression was defined as an increase in liver stiffness measurement from &lt;10 kPa to &gt;−10 kPa or an increase of &gt;−20% for baseline liver stiffness measurement &gt;−10 kPa. Liver fibrosis progression was defined as a 1stage fibrosis stage increase. Cox regression and Kaplan-Meier analyses were used to evaluate the impact of baseline hypertension on outcomes.\nResults: A total of 107,316 adults from the UKBB cohort, 8,169 from the VCTE-Prognosis cohort, and 1,670 from the Paired Liver Biopsy cohort were included. The prevalence of hypertension was 37.1%, 33.4%, and 48.9%, respectively. In the UKBB cohort, hypertension was associated with long-term adverse clinical outcomes (adjusted hazard ratio [HR] 1.30, 95% CI 1.26-1.33, p &lt;0.001). In the VCTE-Prognosis cohort, hypertension was associated with a higher risk of liver stiffness progression (adjusted HR 1.57, 95% CI 1.30-1.90, p &lt;0.001), while in the Paired Liver Biopsy cohort, hypertension was associated with a greater risk of histologic liver fibrosis progression (adjusted HR 1.41, 95% CI 1.12-1.78, p = 0.004). Subgroup and sensitivity analyses supported these findings.\nConclusions: Hypertension is a modifiable risk factor that increases the risk of adverse clinical outcomes and progression of liver stiffness and fibrosis in MASLD.","citation-key":"zhouEffectHypertensionLongterm2025","container-title":"Journal of Hepatology","DOI":"10.1016/j.jhep.2025.08.017","ISSN":"01688278","journalAbbreviation":"Journal of Hepatology","language":"en","note":"TLDR: Hypertension is a modifiable risk factor and increases risk of adverse clinical outcomes and progression of liver stiffness/fibrosis in MASLD.","page":"S0168827825024535","source":"DOI.org (Crossref)","title":"Effect of hypertension on long-term adverse clinical outcomes and liver fibrosis progression in MASLD","author":[{"family":"Zhou","given":"Xiao-Dong"},{"family":"Lian","given":"Li-You"},{"family":"Chen","given":"Qin-Fen"},{"family":"Kim","given":"Seung Up"},{"family":"Cheuk-Fung Yip","given":"Terry"},{"family":"Petta","given":"Salvatore"},{"family":"Nakajima","given":"Atsushi"},{"family":"Tsochatzis","given":"Emmanuel"},{"family":"Shi","given":"Junping"},{"family":"Chan","given":"Wah-Kheong"},{"family":"Boursier","given":"Jérôme"},{"family":"Bugianesi","given":"Elisabetta"},{"family":"Yilmaz","given":"Yusuf"},{"family":"Hagström","given":"Hannes"},{"family":"Romero-Gomez","given":"Manuel"},{"family":"Alswat","given":"Khalid"},{"family":"Calleja","given":"José Luis"},{"family":"Takahashi","given":"Hirokazu"},{"family":"De Lédinghen","given":"Victor"},{"literal":"Shalimar"},{"family":"Castéra","given":"Laurent"},{"family":"Sanyal","given":"Arun J."},{"family":"Goh","given":"George Boon-Bee"},{"family":"Newsome","given":"Philip N."},{"family":"Fan","given":"Jian-Gao"},{"family":"Lai","given":"Michelle"},{"family":"Aggarwal","given":"Sandeep"},{"family":"Kechagias","given":"Stergios"},{"family":"Hiasa","given":"Yoichi"},{"family":"Dayal","given":"Bheesham"},{"family":"Zhang","given":"Zhongtao"},{"family":"George","given":"Jacob"},{"family":"El-Kassas","given":"Mohamed"},{"family":"Chen","given":"Jinjun"},{"family":"You","given":"Hong"},{"family":"Abu Dayyeh","given":"Barham K."},{"family":"Sheng","given":"Huiping"},{"family":"Adams","given":"Leon A."},{"family":"Wang","given":"Jing"},{"family":"He","given":"Fangping"},{"family":"Liang","given":"Huiqing"},{"family":"Yang","given":"Yong-Feng"},{"family":"Chi","given":"Xiaoling"},{"family":"Zhong","given":"Bihui"},{"family":"Bi","given":"Yan"},{"family":"Mi","given":"Yuqiang"},{"family":"Zhu","given":"Yongfen"},{"family":"Bai","given":"Rixing"},{"family":"Zhang","given":"Jing"},{"family":"Wang","given":"Bingyuan"},{"family":"Song","given":"Jinghai"},{"family":"Deng","given":"Hong"},{"family":"Xie","given":"Qing"},{"family":"Bai","given":"Lang"},{"family":"Xin","given":"Yongning"},{"family":"Xie","given":"Wen"},{"family":"Li","given":"Jie"},{"family":"Fournier-Poizat","given":"Céline"},{"family":"Zoncapè","given":"Mirko"},{"family":"Xia","given":"Tianyi"},{"family":"Ju","given":"Shenghong"},{"family":"Wu","given":"Chutian"},{"family":"Lee","given":"Hye Won"},{"family":"Wong","given":"Grace Lai-Hung"},{"family":"Armandi","given":"Angelo"},{"family":"Shang","given":"Ying"},{"family":"Pennisi","given":"Grazia"},{"family":"Llop","given":"Elba"},{"family":"Yoneda","given":"Masato"},{"family":"De Saint-Loup","given":"Marc"},{"family":"Canivet","given":"Clemence M."},{"family":"Lara-Romero","given":"Carmen"},{"family":"Gallego-Durán","given":"Rocio"},{"family":"Carrillo-Fernández","given":"Paloma"},{"family":"Asgharpour","given":"Amon"},{"family":"Teh","given":"Kevin Kim-Jun"},{"family":"Mahgoub","given":"Sara"},{"family":"Chan","given":"Mandy Sau-Wai"},{"family":"Lin","given":"Huapeng"},{"family":"Liu","given":"Wen-Yue"},{"family":"Song","given":"Sherlot Juan"},{"family":"Al-Hamoudi","given":"Waleed K."},{"family":"Isoda","given":"Hiroshi"},{"family":"Miyake","given":"Teruki"},{"family":"Satapathy","given":"Sanjaya K."},{"family":"Li","given":"Mengyi"},{"family":"Sharma","given":"Keshni"},{"family":"Emadeldeen","given":"Mohammed"},{"family":"Zhou","given":"Ling"},{"family":"Tong","given":"Xiaofei"},{"family":"Bazerbachi","given":"Fateh"},{"family":"Fan","given":"Xiaotang"},{"family":"Xiao","given":"Huanming"},{"family":"Ye","given":"Junzhao"},{"family":"Xu","given":"Liang"},{"family":"Wang","given":"Xiaolin"},{"family":"Targher","given":"Giovanni"},{"family":"Byrne","given":"Christopher D."},{"family":"Shapiro","given":"Michael D."},{"family":"Tacke","given":"Frank"},{"family":"Wai-Sun Wong","given":"Vincent"},{"family":"Zheng","given":"Ming-Hua"},{"family":"Sanyal","given":"Arun J."},{"family":"Nakajima","given":"Atsushi"},{"family":"Bugianesi","given":"Elisabetta"},{"family":"Tsochatzis","given":"Emmanuel"},{"family":"Goh","given":"George Boon-Bee"},{"family":"Hagström","given":"Hannes"},{"family":"Boursier","given":"Jérôme"},{"family":"Calleja","given":"José Luis"},{"family":"Romero-Gomez","given":"Manuel"},{"family":"Zheng","given":"Ming-Hua"},{"family":"Newsome","given":"Philip N."},{"family":"Petta","given":"Salvatore"},{"family":"Kim","given":"Seung Up"},{"family":"De Lédinghen","given":"Victor"},{"family":"Wong","given":"Vincent Wai-Sun"},{"family":"Chan","given":"Wah-Kheong"},{"family":"Abu Dayyeh","given":"Barham K."},{"family":"Dayal","given":"Bheesham"},{"family":"Zhong","given":"Bihui"},{"family":"Wang","given":"Bingyuan"},{"family":"Wu","given":"Chutian"},{"family":"He","given":"Fangping"},{"family":"Takahashi","given":"Hirokazu"},{"family":"Deng","given":"Hong"},{"family":"You","given":"Hong"},{"family":"Sheng","given":"Huiping"},{"family":"Liang","given":"Huiqing"},{"family":"George","given":"Jacob"},{"family":"Boursier","given":"Jérôme"},{"family":"Li","given":"Jie"},{"family":"Wang","given":"Jing"},{"family":"Zhang","given":"Jing"},{"family":"Song","given":"Jinghai"},{"family":"Chen","given":"Jinjun"},{"family":"Shi","given":"Junping"},{"family":"Alswat","given":"Khalid"},{"family":"Bai","given":"Lang"},{"family":"Adams","given":"Leon A."},{"family":"Zheng","given":"Ming-Hua"},{"family":"El-Kassas","given":"Mohamed"},{"family":"Xie","given":"Qing"},{"family":"Bai","given":"Rixing"},{"family":"Petta","given":"Salvatore"},{"family":"Aggarwal","given":"Sandeep"},{"literal":"Shalimar"},{"family":"Kechagias","given":"Stergios"},{"family":"Wong","given":"Vincent"},{"family":"Chan","given":"Wah Kheong"},{"family":"Xie","given":"Wen"},{"family":"Chi","given":"Xiaoling"},{"family":"Bi","given":"Yan"},{"family":"Hiasa","given":"Yoichi"},{"family":"Zhu","given":"Yongfen"},{"family":"Yang","given":"Yong-Feng"},{"family":"Xin","given":"Yongning"},{"family":"Mi","given":"Yuqiang"},{"family":"Yilmaz","given":"Yusuf"},{"family":"Zhang","given":"Zhongtao"}],"issued":{"date-parts":[["2025",8]]}}}],"schema":"https://github.com/citation-style-language/schema/raw/master/csl-citation.json"} </w:instrText>
            </w:r>
            <w:r>
              <w:rPr>
                <w:sz w:val="20"/>
              </w:rPr>
              <w:fldChar w:fldCharType="separate"/>
            </w:r>
            <w:r>
              <w:rPr>
                <w:sz w:val="20"/>
                <w:vertAlign w:val="superscript"/>
              </w:rPr>
              <w:t>4</w:t>
            </w:r>
            <w:r>
              <w:rPr>
                <w:sz w:val="20"/>
              </w:rPr>
              <w:fldChar w:fldCharType="end"/>
            </w:r>
            <w:r>
              <w:rPr>
                <w:sz w:val="20"/>
              </w:rPr>
              <w:t xml:space="preserve"> chronic kidney disease,</w:t>
            </w:r>
            <w:r>
              <w:rPr>
                <w:sz w:val="20"/>
              </w:rPr>
              <w:fldChar w:fldCharType="begin"/>
            </w:r>
            <w:r>
              <w:rPr>
                <w:sz w:val="20"/>
              </w:rPr>
              <w:instrText xml:space="preserve"> ADDIN ZOTERO_ITEM CSL_CITATION {"citationID":"QrUpRQHs","properties":{"unsorted":false,"formattedCitation":"\\super 5,6\\nosupersub{}","plainCitation":"5,6","noteIndex":0},"citationItems":[{"id":6044,"uris":["http://zotero.org/users/9834796/items/CXKHIMWK"],"itemData":{"id":6044,"type":"article-journal","citation-key":"rinellaAASLDPracticeGuidance2023","container-title":"Hepatology","DOI":"10.1097/HEP.0000000000000323","ISSN":"1527-3350","issue":"5","journalAbbreviation":"Hepatology","language":"eng","page":"1797-1835","PMID":"36727674","PMCID":"PMC10735173","publisher-place":"Baltimore, Md.","source":"PubMed","title":"AASLD Practice Guidance on the clinical assessment and management of nonalcoholic fatty liver disease","volume":"77","author":[{"family":"Rinella","given":"Mary E."},{"family":"Neuschwander-Tetri","given":"Brent A."},{"family":"Siddiqui","given":"Mohammad Shadab"},{"family":"Abdelmalek","given":"Manal F."},{"family":"Caldwell","given":"Stephen"},{"family":"Barb","given":"Diana"},{"family":"Kleiner","given":"David E."},{"family":"Loomba","given":"Rohit"}],"issued":{"date-parts":[["2023",5,1]]}}},{"id":6054,"uris":["http://zotero.org/users/9834796/items/6ULBV6I5"],"itemData":{"id":6054,"type":"article-journal","abstract":"Non-alcoholic fatty liver disease (NAFLD) is a chronic liver disease characterized by excess fat accumulation in the liver. It is closely associated with metabolic syndrome, and patients with NAFLD often have comorbidities such as obesity, type 2 diabetes mellitus, and dyslipidemia. In addition to liver-related complications, NAFLD has been associated with a range of non-liver comorbidities, including cardiovascular disease, chronic kidney disease, and sleep apnea. Cardiovascular disease is the most common cause of mortality in patients with NAFLD, and patients with NAFLD have a higher risk of developing cardiovascular disease than the general population. Chronic kidney disease is also more common in patients with NAFLD, and the severity of NAFLD is associated with a higher risk of developing chronic kidney disease. Sleep apnea, a disorder characterized by breathing interruptions during sleep, is also more common in patients with NAFLD and is associated with the severity of NAFLD. The presence of non-liver comorbidities in patients with NAFLD has important implications for the management of this disease. Treatment of comorbidities such as obesity, type 2 diabetes mellitus, and dyslipidemia may improve liver-related outcomes in patients with NAFLD. Moreover, treatment of non-liver comorbidities may also improve overall health outcomes in patients with NAFLD. Therefore, clinicians should be aware of the potential for non-liver comorbidities in patients with NAFLD and should consider the management of these comorbidities as part of the overall management of this disease.","citation-key":"manikatNonalcoholicFattyLiver2023","container-title":"Clinical and Molecular Hepatology","DOI":"10.3350/cmh.2022.0442","ISSN":"2287-2728","issue":"Suppl","journalAbbreviation":"Clin Mol Hepatol","page":"s86-s102","PMID":"36603574","PMCID":"PMC10029963","source":"PubMed Central","title":"Nonalcoholic fatty liver disease and non-liver comorbidities","volume":"29","author":[{"family":"Manikat","given":"Richie"},{"family":"Nguyen","given":"Mindie H."}],"issued":{"date-parts":[["2023",2]]}}}],"schema":"https://github.com/citation-style-language/schema/raw/master/csl-citation.json"} </w:instrText>
            </w:r>
            <w:r>
              <w:rPr>
                <w:sz w:val="20"/>
              </w:rPr>
              <w:fldChar w:fldCharType="separate"/>
            </w:r>
            <w:r>
              <w:rPr>
                <w:sz w:val="20"/>
                <w:vertAlign w:val="superscript"/>
              </w:rPr>
              <w:t>5,6</w:t>
            </w:r>
            <w:r>
              <w:rPr>
                <w:sz w:val="20"/>
              </w:rPr>
              <w:fldChar w:fldCharType="end"/>
            </w:r>
            <w:r>
              <w:rPr>
                <w:sz w:val="20"/>
              </w:rPr>
              <w:t xml:space="preserve"> and type 2 diabetes,</w:t>
            </w:r>
            <w:r>
              <w:rPr>
                <w:sz w:val="20"/>
              </w:rPr>
              <w:fldChar w:fldCharType="begin"/>
            </w:r>
            <w:r>
              <w:rPr>
                <w:sz w:val="20"/>
              </w:rPr>
              <w:instrText xml:space="preserve"> ADDIN ZOTERO_ITEM CSL_CITATION {"citationID":"PdFaVR8I","properties":{"unsorted":false,"formattedCitation":"\\super 5,7\\nosupersub{}","plainCitation":"5,7","noteIndex":0},"citationItems":[{"id":6041,"uris":["http://zotero.org/users/9834796/items/ETQFXJLE"],"itemData":{"id":6041,"type":"article-journal","abstract":"Background &amp; Aims\nEvaluating five cardiometabolic risk factors (CMRFs) is crucial for diagnosing metabolic dysfunction-associated steatotic liver disease (MASLD). This study investigated the impact of CMRFs on hepatic fibrosis and long-term clinical outcomes in patients with MASLD.\nMethods\nTwo cross-sectional cohorts (Korean magnetic resonance elastography [n = 6,684] and US vibration-controlled transient elastography [n = 6,230]) were included to assess the impact of five CMRFs and their combinations on hepatic fibrosis. Two longitudinal cohorts (UK Biobank [n = 408,544; mean follow-up, 14.3 years] and Korea National Health Insurance data [n = 355,640; mean follow-up, 11.7 years]) were included to evaluate long-term outcomes, including liver-related events, hepatocellular carcinoma events, and overall, cardiovascular, and liver-related death. The risk of MASLD associated with CMRFs was assessed using logistic or Cox regression analysis, referencing participants without steatotic liver disease.\nResults\nAcross all four cohorts, patients with type 2 diabetes mellitus had the highest risk of hepatic fibrosis and long-term clinical outcomes. Among the five CMRFs, impaired fasting glucose (CMRF2) was the most significant risk factor for both hepatic fibrosis and long-term clinical outcomes. High blood pressure (CMRF3) was the second most significant risk factor for hepatic fibrosis, following CMRF2. Low high-density lipoprotein cholesterol level (CMRF5) exhibited comparable significance for long-term clinical outcomes. These clinical outcomes worsened with increasing severity of glucose abnormalities (normal and impaired fasting glucose levels and type 2 diabetes mellitus). Patients with MASLD and CMRF2 exhibited a two-to-four times higher risk of hepatic fibrosis and liver-related events compared with those without impaired fasting glucose levels, similar to MASLD accompanied by any four CMRFs.\nConclusions\nThe impact of the five CMRFs on hepatic fibrosis and long-term clinical outcomes varied across different clinical outcomes and population characteristics. However, impaired fasting glucose (CMRF2) consistently demonstrated the highest risk.\nImpact and implications\nUnderstanding the impact of the five cardiometabolic risk factors (CMRFs) used in the diagnosis of metabolic dysfunction-associated steatotic liver disease (MASLD) on hepatic fibrosis and long-term clinical outcomes can improve the quality of care in the general population by facilitating the identification of at-risk individuals with MASLD. In our results, although the impact of each of the five CMRFs on hepatic fibrosis and long-term clinical outcomes varied depending on the type of clinical outcomes and the characteristics of the population, impaired fasting glucose (CMRF2) consistently showed the highest risk. Patients with MASLD and CMRF2 exhibited a two-to-four times higher risk of hepatic fibrosis and liver-related events compared with those without impaired fasting glucose levels, similar to MASLD accompanied by any four CMRFs. The utilization of impaired fasting glucose (CMRF2) can raise awareness among primary care providers regarding high-risk groups at the time of MASLD diagnosis.","citation-key":"parkImpactCardiometabolicRisk2025","container-title":"JHEP Reports","DOI":"10.1016/j.jhepr.2025.101388","ISSN":"2589-5559","issue":"6","journalAbbreviation":"JHEP Reports","page":"101388","source":"ScienceDirect","title":"Impact of cardiometabolic risk factors on hepatic fibrosis and clinical outcomes in MASLD: A population-based multi-cohort study","title-short":"Impact of cardiometabolic risk factors on hepatic fibrosis and clinical outcomes in MASLD","volume":"7","author":[{"family":"Park","given":"Huiyul"},{"family":"Cheuk-Fung Yip","given":"Terry"},{"family":"Yoon","given":"Eileen L."},{"family":"Lai-Hung Wong","given":"Grace"},{"family":"Lee","given":"Hye Sun"},{"family":"Wai-Sun Wong","given":"Vincent"},{"family":"Che-To Lai","given":"Jimmy"},{"family":"Jun","given":"Dae Won"}],"issued":{"date-parts":[["2025",6,1]]}}},{"id":6044,"uris":["http://zotero.org/users/9834796/items/CXKHIMWK"],"itemData":{"id":6044,"type":"article-journal","citation-key":"rinellaAASLDPracticeGuidance2023","container-title":"Hepatology","DOI":"10.1097/HEP.0000000000000323","ISSN":"1527-3350","issue":"5","journalAbbreviation":"Hepatology","language":"eng","page":"1797-1835","PMID":"36727674","PMCID":"PMC10735173","publisher-place":"Baltimore, Md.","source":"PubMed","title":"AASLD Practice Guidance on the clinical assessment and management of nonalcoholic fatty liver disease","volume":"77","author":[{"family":"Rinella","given":"Mary E."},{"family":"Neuschwander-Tetri","given":"Brent A."},{"family":"Siddiqui","given":"Mohammad Shadab"},{"family":"Abdelmalek","given":"Manal F."},{"family":"Caldwell","given":"Stephen"},{"family":"Barb","given":"Diana"},{"family":"Kleiner","given":"David E."},{"family":"Loomba","given":"Rohit"}],"issued":{"date-parts":[["2023",5,1]]}}}],"schema":"https://github.com/citation-style-language/schema/raw/master/csl-citation.json"} </w:instrText>
            </w:r>
            <w:r>
              <w:rPr>
                <w:sz w:val="20"/>
              </w:rPr>
              <w:fldChar w:fldCharType="separate"/>
            </w:r>
            <w:r>
              <w:rPr>
                <w:sz w:val="20"/>
                <w:vertAlign w:val="superscript"/>
              </w:rPr>
              <w:t>5,7</w:t>
            </w:r>
            <w:r>
              <w:rPr>
                <w:sz w:val="20"/>
              </w:rPr>
              <w:fldChar w:fldCharType="end"/>
            </w:r>
            <w:r>
              <w:rPr>
                <w:sz w:val="20"/>
              </w:rPr>
              <w:t xml:space="preserve"> are associated with an increased risk of liver disease progression and liver-related events. Current clinical practice guidelines acknowledge the relevance of comorbidities, but provide limited guidance and evidence on how to quantify prognosis according to comorbidity combinations or co-occurrence patterns.</w:t>
            </w:r>
            <w:r>
              <w:rPr>
                <w:sz w:val="20"/>
              </w:rPr>
              <w:fldChar w:fldCharType="begin"/>
            </w:r>
            <w:r>
              <w:rPr>
                <w:sz w:val="20"/>
              </w:rPr>
              <w:instrText xml:space="preserve"> ADDIN ZOTERO_ITEM CSL_CITATION {"citationID":"a2bobebbt4t","properties":{"unsorted":false,"formattedCitation":"\\super 8\\nosupersub{}","plainCitation":"8","noteIndex":0},"citationItems":[{"id":6100,"uris":["http://zotero.org/users/9834796/items/T3ZIWIUN"],"itemData":{"id":6100,"type":"article-journal","citation-key":"tackeEASLEASDEASO2024","container-title":"Journal of Hepatology","DOI":"10.1016/j.jhep.2024.04.031","ISSN":"0168-8278, 1600-0641","issue":"3","journalAbbreviation":"Journal of Hepatology","language":"English","page":"492-542","PMID":"38851997","publisher":"Elsevier","source":"www.journal-of-hepatology.eu","title":"EASL–EASD–EASO Clinical Practice Guidelines on the management of metabolic dysfunction-associated steatotic liver disease (MASLD)","volume":"81","author":[{"family":"Tacke","given":"Frank"},{"family":"Horn","given":"Paul"},{"family":"Wong","given":"Vincent Wai-Sun"},{"family":"Ratziu","given":"Vlad"},{"family":"Bugianesi","given":"Elisabetta"},{"family":"Francque","given":"Sven"},{"family":"Zelber-Sagi","given":"Shira"},{"family":"Valenti","given":"Luca"},{"family":"Roden","given":"Michael"},{"family":"Schick","given":"Fritz"},{"family":"Yki-Järvinen","given":"Hannele"},{"family":"Gastaldelli","given":"Amalia"},{"family":"Vettor","given":"Roberto"},{"family":"Frühbeck","given":"Gema"},{"family":"Dicker","given":"Dror"}],"issued":{"date-parts":[["2024",9,1]]}}}],"schema":"https://github.com/citation-style-language/schema/raw/master/csl-citation.json"} </w:instrText>
            </w:r>
            <w:r>
              <w:rPr>
                <w:sz w:val="20"/>
              </w:rPr>
              <w:fldChar w:fldCharType="separate"/>
            </w:r>
            <w:r>
              <w:rPr>
                <w:sz w:val="20"/>
                <w:vertAlign w:val="superscript"/>
              </w:rPr>
              <w:t>8</w:t>
            </w:r>
            <w:r>
              <w:rPr>
                <w:sz w:val="20"/>
              </w:rPr>
              <w:fldChar w:fldCharType="end"/>
            </w:r>
          </w:p>
          <w:p w14:paraId="7F830CDB" w14:textId="77777777" w:rsidR="00AB3BC0" w:rsidRDefault="00000000">
            <w:pPr>
              <w:tabs>
                <w:tab w:val="left" w:pos="5400"/>
              </w:tabs>
              <w:rPr>
                <w:sz w:val="20"/>
              </w:rPr>
            </w:pPr>
            <w:r>
              <w:rPr>
                <w:sz w:val="20"/>
              </w:rPr>
              <w:t>Most studies have focused on a restricted range of comorbidities, examining selected individual conditions rather than the broader structure of comorbidity.</w:t>
            </w:r>
            <w:r>
              <w:rPr>
                <w:sz w:val="20"/>
              </w:rPr>
              <w:fldChar w:fldCharType="begin"/>
            </w:r>
            <w:r>
              <w:rPr>
                <w:sz w:val="20"/>
              </w:rPr>
              <w:instrText xml:space="preserve"> ADDIN ZOTERO_ITEM CSL_CITATION {"citationID":"qPVElEJJ","properties":{"unsorted":false,"formattedCitation":"\\super 9\\nosupersub{}","plainCitation":"9","noteIndex":0},"citationItems":[{"id":3705,"uris":["http://zotero.org/users/9834796/items/QHVMIGH2"],"itemData":{"id":3705,"type":"article-journal","abstract":"Background &amp; aims Hepatitis C (HCV) is associated with several extrahepatic manifestations, and estimates of the hospitalization burden related to these comorbidities are still limited. The aim of this study is to quantify the hospitalization risk associated with comorbidities in an Italian cohort of HCV-infected patients and to assess which of these comorbidities are associated with high hospitalization resource utilization.","call-number":"3","citation-key":"cammarotaInpatientHospitalBurden2019","container-title":"PLOS ONE","DOI":"10.1371/journal.pone.0219396","ISSN":"1932-6203","issue":"7","journalAbbreviation":"PLoS ONE","language":"en","note":"TLDR: Beyond advanced liver disease, HCV-related comorbidities (especially cardiovascular disease) are the strongest predictors of high hospitalization rates and costs.","page":"e0219396","source":"2.9","title":"The inpatient hospital burden of comorbidities in HCV-infected patients: A population-based study in two Italian regions with high HCV endemicity (The BaCH study)","title-short":"The inpatient hospital burden of comorbidities in HCV-infected patients","volume":"14","author":[{"family":"Cammarota","given":"Simona"},{"family":"Citarella","given":"Anna"},{"family":"Guida","given":"Antonella"},{"family":"Conti","given":"Valeria"},{"family":"Iannaccone","given":"Teresa"},{"family":"Flacco","given":"Maria Elena"},{"family":"Bravi","given":"Francesca"},{"family":"Naccarato","given":"Cristina"},{"family":"Piscitelli","given":"Antonella"},{"family":"Piscitelli","given":"Raffaele"},{"family":"Valente","given":"Alfredo"},{"family":"Calella","given":"Giulio"},{"family":"Coppola","given":"Nicola"},{"family":"Parruti","given":"Giustino"}],"editor":[{"family":"Khudyakov","given":"Yury E"}],"issued":{"date-parts":[["2019",7,10]]}}}],"schema":"https://github.com/citation-style-language/schema/raw/master/csl-citation.json"} </w:instrText>
            </w:r>
            <w:r>
              <w:rPr>
                <w:sz w:val="20"/>
              </w:rPr>
              <w:fldChar w:fldCharType="separate"/>
            </w:r>
            <w:r>
              <w:rPr>
                <w:sz w:val="20"/>
                <w:vertAlign w:val="superscript"/>
              </w:rPr>
              <w:t>9</w:t>
            </w:r>
            <w:r>
              <w:rPr>
                <w:sz w:val="20"/>
              </w:rPr>
              <w:fldChar w:fldCharType="end"/>
            </w:r>
            <w:r>
              <w:rPr>
                <w:sz w:val="20"/>
                <w:vertAlign w:val="superscript"/>
              </w:rPr>
              <w:t>,</w:t>
            </w:r>
            <w:r>
              <w:rPr>
                <w:sz w:val="20"/>
              </w:rPr>
              <w:fldChar w:fldCharType="begin"/>
            </w:r>
            <w:r>
              <w:rPr>
                <w:sz w:val="20"/>
              </w:rPr>
              <w:instrText xml:space="preserve"> ADDIN ZOTERO_ITEM CSL_CITATION {"citationID":"nXlK9dPB","properties":{"unsorted":false,"formattedCitation":"\\super 10\\nosupersub{}","plainCitation":"10","noteIndex":0},"citationItems":[{"id":6023,"uris":["http://zotero.org/users/9834796/items/UH2JQ4GF"],"itemData":{"id":6023,"type":"article-journal","abstract":"(1) Background: Non-alcoholic fatty liver disease (NAFLD) is a common liver disease. Aims: We aimed to investigate the frequency of comorbidities and malignancies among NAFLD patients compared to the general population. (2) Methods: A retrospective study included adult patients with a NAFLD diagnosis. A control group was matched for age and gender. Demographics, comorbidities, malignancies, and mortality were collected and compared. (3) Results: 211,955 NAFLD patients were analyzed in comparison to 452,012 matched general population controls. Significantly higher rates of diabetes mellitus (23.2% vs. 13.3%), obesity (58.8% vs. 27.8%), hypertension (57.2% vs. 39.9%), chronic ischemic heart disease (24.7% vs. 17.3%), and CVA (3.2% vs. 2.8%) were found among NAFLD patients. Patients with NAFLD had significantly higher rates of the following malignancies: prostate cancer (1.6% vs. 1.2%), breast cancer (2.6% vs. 1.9%), colorectal cancer (1.8% vs. 1.4%), uterine cancer (0.4 vs. 0.2%), kidney cancer (0.8% vs. 0.5%), but a lower rate of lung cancer (0.9% vs. 1.2%) and stomach cancer (0.3% vs. 0.4%). The all-cause mortality rate among NAFLD patients was significantly lower in comparison to the general population (10.8% vs. 14.7%, p &lt; 0.001). (4) Conclusions: Higher rates of comorbidities and malignancies among NAFLD patients were observed, but a lower rate of all-cause mortality was found.","citation-key":"abu-frehaComorbiditiesMalignancyNAFLD2023","container-title":"Biomedicines","DOI":"10.3390/biomedicines11041110","ISSN":"2227-9059","issue":"4","journalAbbreviation":"Biomedicines","language":"eng","page":"1110","PMID":"37189727","PMCID":"PMC10136025","source":"PubMed","title":"Comorbidities and Malignancy among NAFLD Patients Compared to the General Population, A Nation-Based Study","volume":"11","author":[{"family":"Abu-Freha","given":"Naim"},{"family":"Cohen","given":"Bracha"},{"family":"Gordon","given":"Michal"},{"family":"Weissmann","given":"Sarah"},{"family":"Fich","given":"Alexander"},{"family":"Munteanu","given":"Daniela"},{"family":"Yardeni","given":"David"},{"family":"Etzion","given":"Ohad"}],"issued":{"date-parts":[["2023",4,6]]}}}],"schema":"https://github.com/citation-style-language/schema/raw/master/csl-citation.json"} </w:instrText>
            </w:r>
            <w:r>
              <w:rPr>
                <w:sz w:val="20"/>
              </w:rPr>
              <w:fldChar w:fldCharType="separate"/>
            </w:r>
            <w:r>
              <w:rPr>
                <w:sz w:val="20"/>
                <w:vertAlign w:val="superscript"/>
              </w:rPr>
              <w:t>10</w:t>
            </w:r>
            <w:r>
              <w:rPr>
                <w:sz w:val="20"/>
              </w:rPr>
              <w:fldChar w:fldCharType="end"/>
            </w:r>
            <w:r>
              <w:rPr>
                <w:sz w:val="20"/>
              </w:rPr>
              <w:t xml:space="preserve"> Other studies have </w:t>
            </w:r>
            <w:r>
              <w:rPr>
                <w:sz w:val="20"/>
              </w:rPr>
              <w:lastRenderedPageBreak/>
              <w:t>relied on simple comorbidity counts or the Charlson Comorbidity Index (CCI),</w:t>
            </w:r>
            <w:r>
              <w:rPr>
                <w:sz w:val="20"/>
              </w:rPr>
              <w:fldChar w:fldCharType="begin"/>
            </w:r>
            <w:r>
              <w:rPr>
                <w:sz w:val="20"/>
              </w:rPr>
              <w:instrText xml:space="preserve"> ADDIN ZOTERO_ITEM CSL_CITATION {"citationID":"ZivrTbiz","properties":{"unsorted":false,"formattedCitation":"\\super 11,12\\nosupersub{}","plainCitation":"11,12","noteIndex":0},"citationItems":[{"id":6026,"uris":["http://zotero.org/users/9834796/items/UE7X56IF"],"itemData":{"id":6026,"type":"article-journal","abstract":"Objective: \n          The study aim was to develop and validate models to predict clinically significant posthepatectomy liver failure (PHLF) and serious complications [a Comprehensive Complication Index (CCI)&gt;40] using preoperative and intraoperative variables.\n          Background: \n          PHLF is a serious complication after major hepatectomy but does not comprehensively capture a patient’s postoperative course. Adding the CCI as an additional metric can account for complications unrelated to liver function.\n          Methods: \n          The cohort included adult patients who underwent major hepatectomies at 12 international centers (2010–2020). After splitting the data into training and validation sets (70:30), models for PHLF and a CCI&gt;40 were fit using logistic regression with a lasso penalty on the training cohort. The models were then evaluated on the validation data set.\n          Results: \n          Among 2192 patients, 185 (8.4%) had clinically significant PHLF and 160 (7.3%) had a CCI&gt;40. The PHLF model had an area under the curve (AUC) of 0.80, calibration slope of 0.95, and calibration-in-the-large of −0.09, while the CCI model had an AUC of 0.76, calibration slope of 0.88, and calibration-in-the-large of 0.02. When the models were provided only preoperative variables to predict PHLF and a CCI&gt;40, this resulted in similar AUCs of 0.78 and 0.71, respectively. Both models were used to build 2 risk calculators with the option to include or exclude intraoperative variables (PHLF Risk Calculator; CCI&gt;40 Risk Calculator).\n          Conclusions: \n          Using an international cohort of major hepatectomy patients, we used preoperative and intraoperative variables to develop and internally validate multivariable models to predict clinically significant PHLF and a CCI&gt;40 with good discrimination and calibration.","citation-key":"wangDevelopmentValidationPrediction2023","container-title":"Annals of Surgery","DOI":"10.1097/SLA.0000000000005916","ISSN":"0003-4932","issue":"6","language":"en-US","page":"976","source":"journals.lww.com","title":"Development and Validation of Prediction Models and Risk Calculators for Posthepatectomy Liver Failure and Postoperative Complications Using a Diverse International Cohort of Major Hepatectomies","volume":"278","author":[{"family":"Wang","given":"Jaeyun J."},{"family":"Feng","given":"Jean"},{"family":"Gomes","given":"Camilla"},{"family":"Calthorpe","given":"Lucia"},{"family":"Ashraf Ganjouei","given":"Amir"},{"family":"Romero-Hernandez","given":"Fernanda"},{"family":"Benedetti Cacciaguerra","given":"Andrea"},{"family":"Hibi","given":"Taizo"},{"family":"Adam","given":"Mohamed Abdelgadir"},{"family":"Alseidi","given":"Adnan"},{"family":"Abu Hilal","given":"Mohammad"},{"family":"Rashidian","given":"Nikdokht"},{"family":"Group","given":"International Post-Hepatectomy Liver Failure Study"}],"issued":{"date-parts":[["2023",12]]}}},{"id":6029,"uris":["http://zotero.org/users/9834796/items/YXQCKSUW"],"itemData":{"id":6029,"type":"article-journal","abstract":"Objectives There are no data regarding the prevalence of comorbidity (ie, additional conditions in reference to an index disease) and multimorbidity (ie, co-occurrence of multiple diseases in which no one holds priority) in patients with liver cirrhosis. We sought to determine the rate and differences between comorbidity and multimorbidity depending on the aetiology of cirrhosis.\n\nDesign This is a subanalysis of the San MAtteo Complexity (SMAC) study. We have analysed demographic, clinical characteristics and rate of comorbidity/multimorbidity of patients with liver cirrhosis depending on the aetiology—alcoholic, infectious and non-alcoholic fatty liver disease (NAFLD). A multivariable analysis for factors associated with multimorbidity was fitted.\n\nSetting Single-centre, cross-sectional study conducted in a tertiary referral, academic, internal medicine ward in northern Italy (November 2017–November 2019).\n\nParticipants Data from 1433 patients previously enrolled in the SMAC study were assessed; only those with liver cirrhosis were eventually included.\n\nResults Of the 1433 patients, 172 (median age 79 years, IQR 67–84; 83 females) had liver cirrhosis. Patients with cirrhosis displayed higher median Cumulative Illness Rating Scale (CIRS) comorbidity (4, IQR 3–5; p=0.01) and severity (1.85, IQR 16.–2.0; p&lt;0.001) indexes and lower educational level (103, 59.9%; p=0.003). Patients with alcohol cirrhosis were significantly younger (median 65 years, IQR 56–79) than patients with cirrhosis of other aetiologies (p&lt;0.001) and more commonly males (25, 75.8%). Comorbidity was more prevalent in patients with alcohol cirrhosis (13, 39.4%) and multimorbidity was more prevalent in viral (64, 81.0%) and NAFLD (52, 86.7%) cirrhosis (p=0.015). In a multivariable model for factors associated with multimorbidity, a CIRS comorbidity index &gt;3 (OR 2.81, 95% CI 1.14 to 6.93, p=0.024) and admission related to cirrhosis (OR 0.19, 95% CI 0.07 to 0.54, p=0.002) were the only significant associations.\n\nConclusions Comorbidity is more common in alcohol cirrhosis compared with other aetiologies in a hospital, internal medicine setting.\n\nData are available on reasonable request. The full dataset of the study cannot be shared publicly at this stage since the SMAC study is still ongoing. Additional data can be shared on request to the authors (please contact GRC at the email address provided).","citation-key":"lentiComorbidityMultimorbidityPatients2024","DOI":"10.1136/bmjopen-2023-077576","language":"en","license":"© Author(s) (or their employer(s)) 2024.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http://creativecommons.org/licenses/by-nc/4.0/.","publisher":"British Medical Journal Publishing Group","section":"Gastroenterology and hepatology","source":"bmjopen.bmj.com","title":"Comorbidity and multimorbidity in patients with cirrhosis, hospitalised in an internal medicine ward: a monocentric, cross-sectional study","title-short":"Comorbidity and multimorbidity in patients with cirrhosis, hospitalised in an internal medicine ward","URL":"https://bmjopen.bmj.com/content/14/5/e077576","author":[{"family":"Lenti","given":"Marco Vincenzo"},{"family":"Ballesio","given":"Alessia"},{"family":"Croce","given":"Gabriele"},{"family":"Brera","given":"Alice Silvia"},{"family":"Padovini","given":"Lucia"},{"family":"Bertolino","given":"Giampiera"},{"family":"Sabatino","given":"Antonio Di"},{"family":"Klersy","given":"Catherine"},{"family":"Corazza","given":"Gino Roberto"}],"accessed":{"date-parts":[["2026",4,10]]},"issued":{"date-parts":[["2024",5,1]]}}}],"schema":"https://github.com/citation-style-language/schema/raw/master/csl-citation.json"} </w:instrText>
            </w:r>
            <w:r>
              <w:rPr>
                <w:sz w:val="20"/>
              </w:rPr>
              <w:fldChar w:fldCharType="separate"/>
            </w:r>
            <w:r>
              <w:rPr>
                <w:sz w:val="20"/>
                <w:vertAlign w:val="superscript"/>
              </w:rPr>
              <w:t>11,12</w:t>
            </w:r>
            <w:r>
              <w:rPr>
                <w:sz w:val="20"/>
              </w:rPr>
              <w:fldChar w:fldCharType="end"/>
            </w:r>
            <w:r>
              <w:rPr>
                <w:sz w:val="20"/>
              </w:rPr>
              <w:t xml:space="preserve"> treating conditions as interchangeable and independent contributors to risk. However, the prognostic impact of coexisting conditions may not be captured by analyses of individual comorbidities alone.</w:t>
            </w:r>
          </w:p>
        </w:tc>
      </w:tr>
      <w:tr w:rsidR="00AB3BC0" w14:paraId="28D1330C" w14:textId="77777777">
        <w:tc>
          <w:tcPr>
            <w:tcW w:w="1310" w:type="dxa"/>
          </w:tcPr>
          <w:p w14:paraId="1B642EB1" w14:textId="77777777" w:rsidR="00AB3BC0" w:rsidRDefault="00000000">
            <w:pPr>
              <w:tabs>
                <w:tab w:val="left" w:pos="5400"/>
              </w:tabs>
              <w:rPr>
                <w:bCs/>
                <w:sz w:val="20"/>
              </w:rPr>
            </w:pPr>
            <w:bookmarkStart w:id="19" w:name="bold10" w:colFirst="0" w:colLast="0"/>
            <w:bookmarkStart w:id="20" w:name="italic11" w:colFirst="0" w:colLast="0"/>
            <w:r>
              <w:rPr>
                <w:bCs/>
                <w:sz w:val="20"/>
              </w:rPr>
              <w:lastRenderedPageBreak/>
              <w:t>Objectives</w:t>
            </w:r>
          </w:p>
        </w:tc>
        <w:tc>
          <w:tcPr>
            <w:tcW w:w="637" w:type="dxa"/>
            <w:gridSpan w:val="2"/>
          </w:tcPr>
          <w:p w14:paraId="6D600A60" w14:textId="77777777" w:rsidR="00AB3BC0" w:rsidRDefault="00000000">
            <w:pPr>
              <w:tabs>
                <w:tab w:val="left" w:pos="5400"/>
              </w:tabs>
              <w:jc w:val="center"/>
              <w:rPr>
                <w:sz w:val="20"/>
              </w:rPr>
            </w:pPr>
            <w:r>
              <w:rPr>
                <w:sz w:val="20"/>
              </w:rPr>
              <w:t>3</w:t>
            </w:r>
          </w:p>
        </w:tc>
        <w:tc>
          <w:tcPr>
            <w:tcW w:w="4650" w:type="dxa"/>
            <w:gridSpan w:val="3"/>
          </w:tcPr>
          <w:p w14:paraId="187AE90F" w14:textId="77777777" w:rsidR="00AB3BC0" w:rsidRDefault="00000000">
            <w:pPr>
              <w:tabs>
                <w:tab w:val="left" w:pos="5400"/>
              </w:tabs>
              <w:rPr>
                <w:sz w:val="20"/>
              </w:rPr>
            </w:pPr>
            <w:r>
              <w:rPr>
                <w:sz w:val="20"/>
              </w:rPr>
              <w:t>State specific objectives, including any prespecified hypotheses</w:t>
            </w:r>
          </w:p>
        </w:tc>
        <w:tc>
          <w:tcPr>
            <w:tcW w:w="550" w:type="dxa"/>
          </w:tcPr>
          <w:p w14:paraId="3E4B9261" w14:textId="490C96BC" w:rsidR="00AB3BC0" w:rsidRDefault="00C51B6A">
            <w:pPr>
              <w:tabs>
                <w:tab w:val="left" w:pos="5400"/>
              </w:tabs>
              <w:rPr>
                <w:rFonts w:eastAsia="宋体"/>
                <w:sz w:val="20"/>
                <w:lang w:val="en-US" w:eastAsia="zh-CN"/>
              </w:rPr>
            </w:pPr>
            <w:r>
              <w:rPr>
                <w:rFonts w:eastAsia="宋体" w:hint="eastAsia"/>
                <w:sz w:val="20"/>
                <w:lang w:val="en-US" w:eastAsia="zh-CN"/>
              </w:rPr>
              <w:t>6</w:t>
            </w:r>
          </w:p>
        </w:tc>
        <w:tc>
          <w:tcPr>
            <w:tcW w:w="7845" w:type="dxa"/>
          </w:tcPr>
          <w:p w14:paraId="743B7A56" w14:textId="77777777" w:rsidR="00AB3BC0" w:rsidRDefault="00000000">
            <w:pPr>
              <w:tabs>
                <w:tab w:val="left" w:pos="5400"/>
              </w:tabs>
              <w:rPr>
                <w:sz w:val="20"/>
              </w:rPr>
            </w:pPr>
            <w:r>
              <w:rPr>
                <w:sz w:val="20"/>
                <w:lang w:val="en-US" w:eastAsia="zh-CN"/>
              </w:rPr>
              <w:t>To address this gap, we used data from a large population-based cohort to characterize the comorbidity landscape among patients with MASLD. We hypothesized that participants would show heterogeneity in comorbidity structure, and that specific combinations or patterns would provide prognostic information beyond individual conditions and aggregate burden measures. Specifically, we evaluated the association between baseline comorbidity count, CCI, individual conditions, and pairwise combinations and the risk of LREs.</w:t>
            </w:r>
          </w:p>
        </w:tc>
      </w:tr>
      <w:tr w:rsidR="00AB3BC0" w14:paraId="7DB6BA3A" w14:textId="77777777">
        <w:tc>
          <w:tcPr>
            <w:tcW w:w="7147" w:type="dxa"/>
            <w:gridSpan w:val="7"/>
          </w:tcPr>
          <w:p w14:paraId="7CA02C4C" w14:textId="77777777" w:rsidR="00AB3BC0" w:rsidRDefault="00000000">
            <w:pPr>
              <w:pStyle w:val="TableSubHead"/>
              <w:tabs>
                <w:tab w:val="left" w:pos="5400"/>
              </w:tabs>
              <w:rPr>
                <w:sz w:val="20"/>
              </w:rPr>
            </w:pPr>
            <w:bookmarkStart w:id="21" w:name="bold11"/>
            <w:bookmarkStart w:id="22" w:name="italic12"/>
            <w:bookmarkEnd w:id="19"/>
            <w:bookmarkEnd w:id="20"/>
            <w:r>
              <w:rPr>
                <w:sz w:val="20"/>
              </w:rPr>
              <w:t>Methods</w:t>
            </w:r>
          </w:p>
        </w:tc>
        <w:bookmarkEnd w:id="21"/>
        <w:bookmarkEnd w:id="22"/>
        <w:tc>
          <w:tcPr>
            <w:tcW w:w="7845" w:type="dxa"/>
          </w:tcPr>
          <w:p w14:paraId="27D050C1" w14:textId="77777777" w:rsidR="00AB3BC0" w:rsidRDefault="00AB3BC0">
            <w:pPr>
              <w:pStyle w:val="TableSubHead"/>
              <w:tabs>
                <w:tab w:val="left" w:pos="5400"/>
              </w:tabs>
              <w:rPr>
                <w:sz w:val="20"/>
              </w:rPr>
            </w:pPr>
          </w:p>
        </w:tc>
      </w:tr>
      <w:tr w:rsidR="00AB3BC0" w14:paraId="344A73ED" w14:textId="77777777">
        <w:tc>
          <w:tcPr>
            <w:tcW w:w="1310" w:type="dxa"/>
          </w:tcPr>
          <w:p w14:paraId="66133329" w14:textId="77777777" w:rsidR="00AB3BC0" w:rsidRDefault="00000000">
            <w:pPr>
              <w:tabs>
                <w:tab w:val="left" w:pos="5400"/>
              </w:tabs>
              <w:rPr>
                <w:bCs/>
                <w:sz w:val="20"/>
              </w:rPr>
            </w:pPr>
            <w:bookmarkStart w:id="23" w:name="bold12" w:colFirst="0" w:colLast="0"/>
            <w:bookmarkStart w:id="24" w:name="italic13" w:colFirst="0" w:colLast="0"/>
            <w:r>
              <w:rPr>
                <w:bCs/>
                <w:sz w:val="20"/>
              </w:rPr>
              <w:t>Study design</w:t>
            </w:r>
          </w:p>
        </w:tc>
        <w:tc>
          <w:tcPr>
            <w:tcW w:w="637" w:type="dxa"/>
            <w:gridSpan w:val="2"/>
          </w:tcPr>
          <w:p w14:paraId="099EA1E9" w14:textId="77777777" w:rsidR="00AB3BC0" w:rsidRDefault="00000000">
            <w:pPr>
              <w:tabs>
                <w:tab w:val="left" w:pos="5400"/>
              </w:tabs>
              <w:jc w:val="center"/>
              <w:rPr>
                <w:sz w:val="20"/>
              </w:rPr>
            </w:pPr>
            <w:r>
              <w:rPr>
                <w:sz w:val="20"/>
              </w:rPr>
              <w:t>4</w:t>
            </w:r>
          </w:p>
        </w:tc>
        <w:tc>
          <w:tcPr>
            <w:tcW w:w="4650" w:type="dxa"/>
            <w:gridSpan w:val="3"/>
          </w:tcPr>
          <w:p w14:paraId="25B61E58" w14:textId="77777777" w:rsidR="00AB3BC0" w:rsidRDefault="00000000">
            <w:pPr>
              <w:tabs>
                <w:tab w:val="left" w:pos="5400"/>
              </w:tabs>
              <w:rPr>
                <w:sz w:val="20"/>
              </w:rPr>
            </w:pPr>
            <w:r>
              <w:rPr>
                <w:sz w:val="20"/>
              </w:rPr>
              <w:t>Present key elements of study design early in the paper</w:t>
            </w:r>
          </w:p>
        </w:tc>
        <w:tc>
          <w:tcPr>
            <w:tcW w:w="550" w:type="dxa"/>
          </w:tcPr>
          <w:p w14:paraId="56B6E05F" w14:textId="7EC2FBD1" w:rsidR="00AB3BC0" w:rsidRDefault="00C51B6A">
            <w:pPr>
              <w:tabs>
                <w:tab w:val="left" w:pos="5400"/>
              </w:tabs>
              <w:rPr>
                <w:rFonts w:eastAsia="宋体"/>
                <w:sz w:val="20"/>
                <w:lang w:val="en-US" w:eastAsia="zh-CN"/>
              </w:rPr>
            </w:pPr>
            <w:r>
              <w:rPr>
                <w:rFonts w:eastAsia="宋体" w:hint="eastAsia"/>
                <w:sz w:val="20"/>
                <w:lang w:val="en-US" w:eastAsia="zh-CN"/>
              </w:rPr>
              <w:t>6</w:t>
            </w:r>
          </w:p>
        </w:tc>
        <w:tc>
          <w:tcPr>
            <w:tcW w:w="7845" w:type="dxa"/>
          </w:tcPr>
          <w:p w14:paraId="40CA8483" w14:textId="77777777" w:rsidR="00AB3BC0" w:rsidRDefault="00000000">
            <w:pPr>
              <w:tabs>
                <w:tab w:val="left" w:pos="5400"/>
              </w:tabs>
              <w:rPr>
                <w:sz w:val="20"/>
              </w:rPr>
            </w:pPr>
            <w:r>
              <w:rPr>
                <w:sz w:val="20"/>
                <w:lang w:val="en-US" w:eastAsia="zh-CN"/>
              </w:rPr>
              <w:t>This study used data from the UK Biobank, a large prospective cohort study that recruited more than 500,000 participants across the United Kingdom between 2006 and 2010.</w:t>
            </w:r>
          </w:p>
        </w:tc>
      </w:tr>
      <w:tr w:rsidR="00AB3BC0" w14:paraId="2A5DF9EA" w14:textId="77777777">
        <w:tc>
          <w:tcPr>
            <w:tcW w:w="1310" w:type="dxa"/>
          </w:tcPr>
          <w:p w14:paraId="274E18E0" w14:textId="77777777" w:rsidR="00AB3BC0" w:rsidRDefault="00000000">
            <w:pPr>
              <w:tabs>
                <w:tab w:val="left" w:pos="5400"/>
              </w:tabs>
              <w:rPr>
                <w:bCs/>
                <w:sz w:val="20"/>
              </w:rPr>
            </w:pPr>
            <w:bookmarkStart w:id="25" w:name="bold13" w:colFirst="0" w:colLast="0"/>
            <w:bookmarkStart w:id="26" w:name="italic14" w:colFirst="0" w:colLast="0"/>
            <w:bookmarkEnd w:id="23"/>
            <w:bookmarkEnd w:id="24"/>
            <w:r>
              <w:rPr>
                <w:bCs/>
                <w:sz w:val="20"/>
              </w:rPr>
              <w:t>Setting</w:t>
            </w:r>
          </w:p>
        </w:tc>
        <w:tc>
          <w:tcPr>
            <w:tcW w:w="637" w:type="dxa"/>
            <w:gridSpan w:val="2"/>
          </w:tcPr>
          <w:p w14:paraId="7A1D11AD" w14:textId="77777777" w:rsidR="00AB3BC0" w:rsidRDefault="00000000">
            <w:pPr>
              <w:tabs>
                <w:tab w:val="left" w:pos="5400"/>
              </w:tabs>
              <w:jc w:val="center"/>
              <w:rPr>
                <w:sz w:val="20"/>
              </w:rPr>
            </w:pPr>
            <w:r>
              <w:rPr>
                <w:sz w:val="20"/>
              </w:rPr>
              <w:t>5</w:t>
            </w:r>
          </w:p>
        </w:tc>
        <w:tc>
          <w:tcPr>
            <w:tcW w:w="4650" w:type="dxa"/>
            <w:gridSpan w:val="3"/>
          </w:tcPr>
          <w:p w14:paraId="483C24EA" w14:textId="77777777" w:rsidR="00AB3BC0" w:rsidRDefault="00000000">
            <w:pPr>
              <w:tabs>
                <w:tab w:val="left" w:pos="5400"/>
              </w:tabs>
              <w:rPr>
                <w:sz w:val="20"/>
              </w:rPr>
            </w:pPr>
            <w:r>
              <w:rPr>
                <w:sz w:val="20"/>
              </w:rPr>
              <w:t>Describe the setting, locations, and relevant dates, including periods of recruitment, exposure, follow-up, and data collection</w:t>
            </w:r>
          </w:p>
        </w:tc>
        <w:tc>
          <w:tcPr>
            <w:tcW w:w="550" w:type="dxa"/>
          </w:tcPr>
          <w:p w14:paraId="466103A4" w14:textId="2FDF6632" w:rsidR="00AB3BC0" w:rsidRDefault="00C51B6A">
            <w:pPr>
              <w:tabs>
                <w:tab w:val="left" w:pos="5400"/>
              </w:tabs>
              <w:rPr>
                <w:rFonts w:eastAsia="宋体"/>
                <w:sz w:val="20"/>
                <w:lang w:val="en-US" w:eastAsia="zh-CN"/>
              </w:rPr>
            </w:pPr>
            <w:r>
              <w:rPr>
                <w:rFonts w:eastAsia="宋体" w:hint="eastAsia"/>
                <w:sz w:val="20"/>
                <w:lang w:val="en-US" w:eastAsia="zh-CN"/>
              </w:rPr>
              <w:t>6</w:t>
            </w:r>
            <w:r w:rsidR="00000000">
              <w:rPr>
                <w:rFonts w:eastAsia="宋体" w:hint="eastAsia"/>
                <w:sz w:val="20"/>
                <w:lang w:val="en-US" w:eastAsia="zh-CN"/>
              </w:rPr>
              <w:t>,</w:t>
            </w:r>
            <w:r>
              <w:rPr>
                <w:rFonts w:eastAsia="宋体" w:hint="eastAsia"/>
                <w:sz w:val="20"/>
                <w:lang w:val="en-US" w:eastAsia="zh-CN"/>
              </w:rPr>
              <w:t>7</w:t>
            </w:r>
          </w:p>
        </w:tc>
        <w:tc>
          <w:tcPr>
            <w:tcW w:w="7845" w:type="dxa"/>
          </w:tcPr>
          <w:p w14:paraId="12D5943B" w14:textId="77777777" w:rsidR="00AB3BC0" w:rsidRDefault="00000000">
            <w:pPr>
              <w:pStyle w:val="Heading3"/>
              <w:numPr>
                <w:ilvl w:val="2"/>
                <w:numId w:val="0"/>
              </w:numPr>
              <w:spacing w:before="0" w:after="0" w:line="360" w:lineRule="auto"/>
              <w:rPr>
                <w:rFonts w:ascii="Times New Roman" w:hAnsi="Times New Roman"/>
                <w:sz w:val="20"/>
                <w:lang w:val="en-US"/>
              </w:rPr>
            </w:pPr>
            <w:r>
              <w:rPr>
                <w:rFonts w:ascii="Times New Roman" w:hAnsi="Times New Roman"/>
                <w:sz w:val="20"/>
                <w:lang w:val="en-US" w:eastAsia="zh-CN"/>
              </w:rPr>
              <w:t>This study used data from the UK Biobank, a large prospective cohort study that recruited more than 500,000 participants across the United Kingdom between 2006 and 2010.</w:t>
            </w:r>
            <w:r>
              <w:rPr>
                <w:rFonts w:ascii="Times New Roman" w:hAnsi="Times New Roman"/>
                <w:sz w:val="20"/>
                <w:lang w:val="en-US" w:eastAsia="zh-CN"/>
              </w:rPr>
              <w:fldChar w:fldCharType="begin"/>
            </w:r>
            <w:r>
              <w:rPr>
                <w:rFonts w:ascii="Times New Roman" w:hAnsi="Times New Roman"/>
                <w:sz w:val="20"/>
                <w:lang w:val="en-US" w:eastAsia="zh-CN"/>
              </w:rPr>
              <w:instrText xml:space="preserve"> ADDIN ZOTERO_ITEM CSL_CITATION {"citationID":"uSoSi63k","properties":{"unsorted":false,"formattedCitation":"\\super 18\\nosupersub{}","plainCitation":"18","noteIndex":0},"citationItems":[{"id":5861,"uris":["http://zotero.org/users/9834796/items/2ZT5E5S9"],"itemData":{"id":5861,"type":"article-journal","abstract":"UK Biobank is a population-based cohort of half a million participants aged 40–69 years recruited between 2006 and 2010. In 2014, UK Biobank started the world’s largest multi-modal imaging study, with the aim of re-inviting 100,000 participants to undergo brain, cardiac and abdominal magnetic resonance imaging, dual-energy X-ray absorptiometry and carotid ultrasound. The combination of large-scale multi-modal imaging with extensive phenotypic and genetic data offers an unprecedented resource for scientists to conduct health-related research. This article provides an in-depth overview of the imaging enhancement, including the data collected, how it is managed and processed, and future directions.","citation-key":"littlejohnsUKBiobankImaging2020","container-title":"Nature Communications","DOI":"10.1038/s41467-020-15948-9","ISSN":"2041-1723","issue":"1","journalAbbreviation":"Nat Commun","language":"en","license":"2020 The Author(s)","page":"2624","publisher":"Nature Publishing Group","source":"www.nature.com","title":"The UK Biobank imaging enhancement of 100,000 participants: rationale, data collection, management and future directions","title-short":"The UK Biobank imaging enhancement of 100,000 participants","volume":"11","author":[{"family":"Littlejohns","given":"Thomas J."},{"family":"Holliday","given":"Jo"},{"family":"Gibson","given":"Lorna M."},{"family":"Garratt","given":"Steve"},{"family":"Oesingmann","given":"Niels"},{"family":"Alfaro-Almagro","given":"Fidel"},{"family":"Bell","given":"Jimmy D."},{"family":"Boultwood","given":"Chris"},{"family":"Collins","given":"Rory"},{"family":"Conroy","given":"Megan C."},{"family":"Crabtree","given":"Nicola"},{"family":"Doherty","given":"Nicola"},{"family":"Frangi","given":"Alejandro F."},{"family":"Harvey","given":"Nicholas C."},{"family":"Leeson","given":"Paul"},{"family":"Miller","given":"Karla L."},{"family":"Neubauer","given":"Stefan"},{"family":"Petersen","given":"Steffen E."},{"family":"Sellors","given":"Jonathan"},{"family":"Sheard","given":"Simon"},{"family":"Smith","given":"Stephen M."},{"family":"Sudlow","given":"Cathie L. M."},{"family":"Matthews","given":"Paul M."},{"family":"Allen","given":"Naomi E."}],"issued":{"date-parts":[["2020",5,26]]}}}],"schema":"https://github.com/citation-style-language/schema/raw/master/csl-citation.json"} </w:instrText>
            </w:r>
            <w:r>
              <w:rPr>
                <w:rFonts w:ascii="Times New Roman" w:hAnsi="Times New Roman"/>
                <w:sz w:val="20"/>
                <w:lang w:val="en-US" w:eastAsia="zh-CN"/>
              </w:rPr>
              <w:fldChar w:fldCharType="separate"/>
            </w:r>
            <w:r>
              <w:rPr>
                <w:rFonts w:ascii="Times New Roman" w:hAnsi="Times New Roman"/>
                <w:sz w:val="20"/>
                <w:lang w:val="en-US" w:eastAsia="zh-CN"/>
              </w:rPr>
              <w:t>18</w:t>
            </w:r>
            <w:r>
              <w:rPr>
                <w:rFonts w:ascii="Times New Roman" w:hAnsi="Times New Roman"/>
                <w:sz w:val="20"/>
                <w:lang w:val="en-US" w:eastAsia="zh-CN"/>
              </w:rPr>
              <w:fldChar w:fldCharType="end"/>
            </w:r>
            <w:r>
              <w:rPr>
                <w:rFonts w:ascii="Times New Roman" w:hAnsi="Times New Roman"/>
                <w:sz w:val="20"/>
                <w:lang w:val="en-US" w:eastAsia="zh-CN"/>
              </w:rPr>
              <w:t xml:space="preserve"> At baseline, detailed information on sociodemographic characteristics, lifestyle factors, medical history, anthropometry measures and laboratory tests were collected.</w:t>
            </w:r>
            <w:r>
              <w:rPr>
                <w:rFonts w:ascii="Times New Roman" w:hAnsi="Times New Roman"/>
                <w:sz w:val="20"/>
                <w:lang w:val="en-US" w:eastAsia="zh-CN"/>
              </w:rPr>
              <w:br/>
            </w:r>
            <w:r>
              <w:rPr>
                <w:rFonts w:ascii="Times New Roman" w:hAnsi="Times New Roman"/>
                <w:sz w:val="20"/>
                <w:lang w:val="en-US"/>
              </w:rPr>
              <w:t>Definition of comorbidities</w:t>
            </w:r>
          </w:p>
          <w:p w14:paraId="26A45342" w14:textId="77777777" w:rsidR="00AB3BC0" w:rsidRDefault="00000000">
            <w:pPr>
              <w:widowControl w:val="0"/>
              <w:spacing w:line="360" w:lineRule="auto"/>
              <w:jc w:val="both"/>
              <w:rPr>
                <w:sz w:val="20"/>
                <w:lang w:val="en-US"/>
              </w:rPr>
            </w:pPr>
            <w:r>
              <w:rPr>
                <w:sz w:val="20"/>
                <w:lang w:val="en-US" w:eastAsia="zh-CN"/>
              </w:rPr>
              <w:t>Comorbidities were phenotyped using hospital inpatient records. The prespecified list of comorbidities was derived from a Delphi consensus framework for multimorbidity research</w:t>
            </w:r>
            <w:r>
              <w:rPr>
                <w:sz w:val="20"/>
                <w:lang w:val="en-US" w:eastAsia="zh-CN"/>
              </w:rPr>
              <w:fldChar w:fldCharType="begin"/>
            </w:r>
            <w:r>
              <w:rPr>
                <w:sz w:val="20"/>
                <w:lang w:val="en-US" w:eastAsia="zh-CN"/>
              </w:rPr>
              <w:instrText xml:space="preserve"> ADDIN ZOTERO_ITEM CSL_CITATION {"citationID":"kKzpISry","properties":{"unsorted":false,"formattedCitation":"\\super 20\\nosupersub{}","plainCitation":"20","noteIndex":0},"citationItems":[{"id":5958,"uris":["http://zotero.org/users/9834796/items/N7MK9Y9E"],"itemData":{"id":5958,"type":"article-journal","abstract":"Objective To develop international consensus on the definition and measurement of multimorbidity in research.Design Delphi consensus study.Setting International consensus; data collected in three online rounds from participants between 30 November 2020 and 18 May 2021.Participants Professionals interested in multimorbidity and people with long term conditions were recruited to professional and public panels.Results 150 professional and 25 public participants completed the first survey round. Response rates for rounds 2/3 were 83%/92% for professionals and 88%/93% in the public panel, respectively. Across both panels, the consensus was that multimorbidity should be defined as two or more long term conditions. Complex multimorbidity was perceived to be a useful concept, but the panels were unable to agree on how to define it. Both panels agreed that conditions should be included in a multimorbidity measure if they were one or more of the following: currently active; permanent in their effects; requiring current treatment, care, or therapy; requiring surveillance; or relapsing-remitting conditions requiring ongoing care. Consensus was reached for 24 conditions to always include in multimorbidity measures, and 35 conditions to usually include unless a good reason not to existed. Simple counts were preferred for estimating prevalence and examining clustering or trajectories, and weighted measures were preferred for risk adjustment and outcome prediction.Conclusions Previous multimorbidity research is limited by inconsistent definitions and approaches to measuring multimorbidity. This Delphi study identifies professional and public panel consensus guidance to facilitate consistency of definition and measurement, and to improve study comparability and reproducibility.","citation-key":"hoMeasuringMultimorbidityResearch2022","container-title":"BMJ Medicine","DOI":"10.1136/bmjmed-2022-000247","ISSN":"2754-0413","issue":"1","journalAbbreviation":"bmjmed","language":"en","license":"This is an open access article distributed in accordance with the Creative Commons Attribution 4.0 Unported (CC BY 4.0) license","PMID":"10.1136/bmjmed-2022-000247","publisher":"BMJ Publishing Group Ltd","source":"bmjmedicine.bmj.com","title":"Measuring multimorbidity in research: Delphi consensus study","title-short":"Measuring multimorbidity in research","URL":"https://bmjmedicine.bmj.com/content/1/1/e000247","volume":"1","author":[{"family":"Ho","given":"Iris S. S."},{"family":"Azcoaga-Lorenzo","given":"Amaya"},{"family":"Akbari","given":"Ashley"},{"family":"Davies","given":"Jim"},{"family":"Khunti","given":"Kamlesh"},{"family":"Kadam","given":"Umesh T."},{"family":"Lyons","given":"Ronan A."},{"family":"McCowan","given":"Colin"},{"family":"Mercer","given":"Stewart W."},{"family":"Nirantharakumar","given":"Krishnarajah"},{"family":"Staniszewska","given":"Sophie"},{"family":"Guthrie","given":"Bruce"}],"accessed":{"date-parts":[["2026",3,24]]},"issued":{"date-parts":[["2022",7,27]]}}}],"schema":"https://github.com/citation-style-language/schema/raw/master/csl-citation.json"} </w:instrText>
            </w:r>
            <w:r>
              <w:rPr>
                <w:sz w:val="20"/>
                <w:lang w:val="en-US" w:eastAsia="zh-CN"/>
              </w:rPr>
              <w:fldChar w:fldCharType="separate"/>
            </w:r>
            <w:r>
              <w:rPr>
                <w:sz w:val="20"/>
                <w:lang w:val="en-US" w:eastAsia="zh-CN"/>
              </w:rPr>
              <w:t>20</w:t>
            </w:r>
            <w:r>
              <w:rPr>
                <w:sz w:val="20"/>
                <w:lang w:val="en-US" w:eastAsia="zh-CN"/>
              </w:rPr>
              <w:fldChar w:fldCharType="end"/>
            </w:r>
            <w:r>
              <w:rPr>
                <w:sz w:val="20"/>
                <w:lang w:val="en-US" w:eastAsia="zh-CN"/>
              </w:rPr>
              <w:t xml:space="preserve"> and a MASLD study </w:t>
            </w:r>
            <w:r>
              <w:rPr>
                <w:sz w:val="20"/>
                <w:lang w:val="en-US" w:eastAsia="zh-CN"/>
              </w:rPr>
              <w:fldChar w:fldCharType="begin"/>
            </w:r>
            <w:r>
              <w:rPr>
                <w:sz w:val="20"/>
                <w:lang w:val="en-US" w:eastAsia="zh-CN"/>
              </w:rPr>
              <w:instrText xml:space="preserve"> ADDIN ZOTERO_ITEM CSL_CITATION {"citationID":"0wuNqltR","properties":{"unsorted":false,"formattedCitation":"\\super 21\\nosupersub{}","plainCitation":"21","noteIndex":0},"citationItems":[{"id":5851,"uris":["http://zotero.org/users/9834796/items/CTN4TY8G"],"itemData":{"id":5851,"type":"article-journal","abstract":"Context\nMetabolic dysfunction–associated steatotic liver disease (MASLD) affects one third of the world's population, but its associations with extrahepatic multimorbidity and mortality remain unclear.\n\nObjective\nThis study aimed to estimate the impact of MASLD, with and without multimorbidity, on all-cause mortality.\n\nMethods\nWe analyzed data from the UK Biobank. MASLD was identified as a fatty liver index </w:instrText>
            </w:r>
            <w:r>
              <w:rPr>
                <w:rFonts w:hint="eastAsia"/>
                <w:sz w:val="20"/>
                <w:lang w:val="en-US" w:eastAsia="zh-CN"/>
              </w:rPr>
              <w:instrText>≥</w:instrText>
            </w:r>
            <w:r>
              <w:rPr>
                <w:sz w:val="20"/>
                <w:lang w:val="en-US" w:eastAsia="zh-CN"/>
              </w:rPr>
              <w:instrText xml:space="preserve">60 and presence of cardiometabolic risk factors. Multimorbidity was defined as </w:instrText>
            </w:r>
            <w:r>
              <w:rPr>
                <w:rFonts w:hint="eastAsia"/>
                <w:sz w:val="20"/>
                <w:lang w:val="en-US" w:eastAsia="zh-CN"/>
              </w:rPr>
              <w:instrText>≥</w:instrText>
            </w:r>
            <w:r>
              <w:rPr>
                <w:sz w:val="20"/>
                <w:lang w:val="en-US" w:eastAsia="zh-CN"/>
              </w:rPr>
              <w:instrText>2 of the long-term conditions (LTCs) in a prespecified list of 47 extrahepatic conditions. Hazard ratios (HRs) from adjusted Cox models quantified the association between MASLD, multimorbidity and all-cause mortality.\n\nResults\nOf the 438 840 participants, 131 020 (29.9%) had MASLD at baseline. The participants with MASLD at baseline had a higher prevalence of multimorbidity than those without (21.3% vs 14.4%). In addition to cardiometabolic risk factors, MASLD was strongly associated with several LTCs, particularly metabolic, cardiovascular, cancers, kidney, mental/behavioral, and respiratory diseases. During a median follow-up of 13 years, MASLD was associated with higher mortality (HR 1.16; 95% CI 1.13, 1.19), with stronger associations in females and in those with low LTC counts (</w:instrText>
            </w:r>
            <w:r>
              <w:rPr>
                <w:rFonts w:hint="eastAsia"/>
                <w:sz w:val="20"/>
                <w:lang w:val="en-US" w:eastAsia="zh-CN"/>
              </w:rPr>
              <w:instrText>≤</w:instrText>
            </w:r>
            <w:r>
              <w:rPr>
                <w:sz w:val="20"/>
                <w:lang w:val="en-US" w:eastAsia="zh-CN"/>
              </w:rPr>
              <w:instrText xml:space="preserve">3 LTCs). Each additional LTC at baseline was associated with 30% and 38% higher mortality in MASLD (HR 1.30; 1.29, 1.32) and non-MASLD (HR 1.38; 1.37, 1.40) populations, respectively. Among the 47 LTCs, 16 were associated with increased mortality in people with MASLD.\n\nConclusion\nThose with MASLD exhibited a higher prevalence of extrahepatic multimorbidity and a 16% higher rate of mortality than those without, underscoring the impact of liver steatosis on mortality and highlighting the need to target LTCs to improve outcomes and reduce health care burdens.","citation-key":"fengRelationshipsMASLDExtrahepatic2025","container-title":"The Journal of Clinical Endocrinology and Metabolism","DOI":"10.1210/clinem/dgaf342","ISSN":"0021-972X","issue":"1","journalAbbreviation":"J Clin Endocrinol Metab","page":"e58-e69","PMID":"40493745","PMCID":"PMC12712988","source":"PubMed Central","title":"The Relationships Between MASLD, Extrahepatic Multimorbidity, and All-Cause Mortality in the UK Biobank Cohort","volume":"111","author":[{"family":"Feng","given":"Qi"},{"family":"Izzi-Engbeaya","given":"Chioma N"},{"family":"Branch","given":"Andrea D"},{"family":"Mullish","given":"Benjamin H"},{"family":"Manousou","given":"Pinelopi"},{"family":"Woodward","given":"Mark"}],"issued":{"date-parts":[["2025",6,10]]}}}],"schema":"https://github.com/citation-style-language/schema/raw/master/csl-citation.json"} </w:instrText>
            </w:r>
            <w:r>
              <w:rPr>
                <w:sz w:val="20"/>
                <w:lang w:val="en-US" w:eastAsia="zh-CN"/>
              </w:rPr>
              <w:fldChar w:fldCharType="separate"/>
            </w:r>
            <w:r>
              <w:rPr>
                <w:sz w:val="20"/>
                <w:lang w:val="en-US" w:eastAsia="zh-CN"/>
              </w:rPr>
              <w:t>21</w:t>
            </w:r>
            <w:r>
              <w:rPr>
                <w:sz w:val="20"/>
                <w:lang w:val="en-US" w:eastAsia="zh-CN"/>
              </w:rPr>
              <w:fldChar w:fldCharType="end"/>
            </w:r>
            <w:r>
              <w:rPr>
                <w:sz w:val="20"/>
                <w:lang w:val="en-US" w:eastAsia="zh-CN"/>
              </w:rPr>
              <w:t xml:space="preserve">. Four additional MASLD-relevant metabolic conditions were included, including diabetes, hypertension, hyperlipidemia, and obesity. The final comorbidity set comprised 51 conditions, which were recorded using ICD-10 codes (Supplementary Table S1). Comorbidity count and CCI were quantified using the established coding algorithm (Supplementary Table S2) </w:t>
            </w:r>
            <w:r>
              <w:rPr>
                <w:sz w:val="20"/>
                <w:lang w:val="en-US" w:eastAsia="zh-CN"/>
              </w:rPr>
              <w:fldChar w:fldCharType="begin"/>
            </w:r>
            <w:r>
              <w:rPr>
                <w:sz w:val="20"/>
                <w:lang w:val="en-US" w:eastAsia="zh-CN"/>
              </w:rPr>
              <w:instrText xml:space="preserve"> ADDIN ZOTERO_ITEM CSL_CITATION {"citationID":"atJOPmA4","properties":{"unsorted":false,"formattedCitation":"\\super 22\\nosupersub{}","plainCitation":"22","noteIndex":0},"citationItems":[{"id":5864,"uris":["http://zotero.org/users/9834796/items/293IVQVK"],"itemData":{"id":5864,"type":"article-journal","abstract":"Objective: To determine the accuracy of International Statistical Classiﬁcation of Disease and Related Health Problems, 10th Revision (ICD-10) coding system in identifying comorbidities and infectious conditions using data from a Thai university hospital administrative database. Material and Method: A retrospective cross-sectional study was conducted among patients hospitalized in six general medicine wards at Siriraj Hospital. ICD-10 code data was identiﬁed and retrieved directly from the hospital administrative database. Patient comorbidities were captured using the ICD-10 coding algorithm for the Charlson comorbidity index. Infectious conditions were captured using the groups of ICD-10 diagnostic codes that were carefully prepared by two independent infectious disease specialists. Accuracy of ICD-10 codes combined with microbiological data for diagnosis of urinary tract infection (UTI) and bloodstream infection (BSI) was evaluated. Clinical data gathered from chart review was considered the gold standard in this study.\nResults: Between February 1 and May 31, 2013, a chart review of 546 hospitalization records was conducted. The mean age of hospitalized patients was 62.8±17.8 years and 65.9% of patients were female. Median length of stay [range] was 10.0 [1.0-353.0] days and hospital mortality was 21.8%. Conditions with ICD-10 codes that had good sensitivity (90% or higher) were diabetes mellitus and HIV infection. Conditions with ICD-10 codes that had good speciﬁcity (90% or higher) were cerebrovascular disease, chronic lung disease, diabetes mellitus, cancer, HIV infection, and all infectious conditions. By combining ICD-10 codes with microbiological results, sensitivity increased from 49.5 to 66% for UTI and from 78.3 to 92.8% for BSI.\nConclusion: The ICD-10 coding algorithm is reliable only in some selected conditions, including underlying diabetes mellitus and HIV infection. Combining microbiological results with ICD-10 codes increased sensitivity of ICD-10 codes for identifying BSI. Future research is needed to improve the accuracy of hospital administrative coding system in Thailand.","citation-key":"rattanaumpawanAccuracyICD10Coding","language":"en","source":"Zotero","title":"Accuracy of ICD-10 Coding System for Identifying Comorbidities and Infectious Conditions Using Data from a Thai University Hospital Administrative Database","author":[{"family":"Rattanaumpawan","given":"Pinyo"},{"family":"Wongkamhla","given":"Thanyarak"},{"family":"Thamlikitkul","given":"Visanu"}]}}],"schema":"https://github.com/citation-style-language/schema/raw/master/csl-citation.json"} </w:instrText>
            </w:r>
            <w:r>
              <w:rPr>
                <w:sz w:val="20"/>
                <w:lang w:val="en-US" w:eastAsia="zh-CN"/>
              </w:rPr>
              <w:fldChar w:fldCharType="separate"/>
            </w:r>
            <w:r>
              <w:rPr>
                <w:sz w:val="20"/>
                <w:lang w:val="en-US" w:eastAsia="zh-CN"/>
              </w:rPr>
              <w:t>22</w:t>
            </w:r>
            <w:r>
              <w:rPr>
                <w:sz w:val="20"/>
                <w:lang w:val="en-US" w:eastAsia="zh-CN"/>
              </w:rPr>
              <w:fldChar w:fldCharType="end"/>
            </w:r>
            <w:r>
              <w:rPr>
                <w:sz w:val="20"/>
                <w:lang w:val="en-US" w:eastAsia="zh-CN"/>
              </w:rPr>
              <w:t xml:space="preserve">. </w:t>
            </w:r>
            <w:r>
              <w:rPr>
                <w:sz w:val="20"/>
                <w:lang w:val="en-US" w:eastAsia="zh-CN"/>
              </w:rPr>
              <w:br/>
            </w:r>
            <w:r>
              <w:rPr>
                <w:sz w:val="20"/>
                <w:lang w:val="en-US" w:eastAsia="zh-CN"/>
              </w:rPr>
              <w:br/>
              <w:t>Participants were followed from enrollment until the first LRE, loss to follow-up, or administrative censoring (December 31, 2023), whichever occurred first.</w:t>
            </w:r>
          </w:p>
          <w:p w14:paraId="091ACAD2" w14:textId="77777777" w:rsidR="00AB3BC0" w:rsidRDefault="00AB3BC0">
            <w:pPr>
              <w:widowControl w:val="0"/>
              <w:spacing w:line="360" w:lineRule="auto"/>
              <w:jc w:val="both"/>
              <w:rPr>
                <w:rFonts w:ascii="Arial" w:hAnsi="Arial" w:cs="Arial"/>
                <w:szCs w:val="24"/>
                <w:lang w:val="en-US"/>
              </w:rPr>
            </w:pPr>
          </w:p>
          <w:p w14:paraId="63E38479" w14:textId="77777777" w:rsidR="00AB3BC0" w:rsidRDefault="00000000">
            <w:pPr>
              <w:tabs>
                <w:tab w:val="left" w:pos="5400"/>
              </w:tabs>
              <w:rPr>
                <w:sz w:val="20"/>
              </w:rPr>
            </w:pPr>
            <w:r>
              <w:rPr>
                <w:rFonts w:ascii="Arial" w:eastAsia="宋体" w:hAnsi="Arial" w:cs="Arial"/>
                <w:kern w:val="2"/>
                <w:szCs w:val="24"/>
                <w:lang w:val="en-US" w:eastAsia="zh-CN" w:bidi="ar"/>
              </w:rPr>
              <w:lastRenderedPageBreak/>
              <w:br/>
            </w:r>
          </w:p>
        </w:tc>
      </w:tr>
      <w:bookmarkEnd w:id="25"/>
      <w:bookmarkEnd w:id="26"/>
      <w:tr w:rsidR="00AB3BC0" w14:paraId="0E49F800" w14:textId="77777777">
        <w:tc>
          <w:tcPr>
            <w:tcW w:w="1310" w:type="dxa"/>
            <w:vMerge w:val="restart"/>
          </w:tcPr>
          <w:p w14:paraId="72494552" w14:textId="77777777" w:rsidR="00AB3BC0" w:rsidRDefault="00000000">
            <w:pPr>
              <w:tabs>
                <w:tab w:val="left" w:pos="5400"/>
              </w:tabs>
              <w:rPr>
                <w:bCs/>
                <w:sz w:val="20"/>
              </w:rPr>
            </w:pPr>
            <w:r>
              <w:rPr>
                <w:bCs/>
                <w:sz w:val="20"/>
              </w:rPr>
              <w:lastRenderedPageBreak/>
              <w:t>Participants</w:t>
            </w:r>
          </w:p>
        </w:tc>
        <w:tc>
          <w:tcPr>
            <w:tcW w:w="637" w:type="dxa"/>
            <w:gridSpan w:val="2"/>
            <w:vMerge w:val="restart"/>
          </w:tcPr>
          <w:p w14:paraId="7FF54748" w14:textId="77777777" w:rsidR="00AB3BC0" w:rsidRDefault="00000000">
            <w:pPr>
              <w:tabs>
                <w:tab w:val="left" w:pos="5400"/>
              </w:tabs>
              <w:jc w:val="center"/>
              <w:rPr>
                <w:sz w:val="20"/>
              </w:rPr>
            </w:pPr>
            <w:r>
              <w:rPr>
                <w:sz w:val="20"/>
              </w:rPr>
              <w:t>6</w:t>
            </w:r>
          </w:p>
        </w:tc>
        <w:tc>
          <w:tcPr>
            <w:tcW w:w="4650" w:type="dxa"/>
            <w:gridSpan w:val="3"/>
          </w:tcPr>
          <w:p w14:paraId="7FBC95F4" w14:textId="77777777" w:rsidR="00AB3BC0" w:rsidRDefault="00000000">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14:paraId="00D1BB23" w14:textId="77777777" w:rsidR="00AB3BC0" w:rsidRDefault="00000000">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14:paraId="0904ED2F" w14:textId="77777777" w:rsidR="00AB3BC0" w:rsidRDefault="00000000">
            <w:pPr>
              <w:tabs>
                <w:tab w:val="left" w:pos="5400"/>
              </w:tabs>
              <w:rPr>
                <w:sz w:val="20"/>
              </w:rPr>
            </w:pPr>
            <w:r>
              <w:rPr>
                <w:i/>
                <w:sz w:val="20"/>
              </w:rPr>
              <w:t>Cross-sectional study</w:t>
            </w:r>
            <w:r>
              <w:rPr>
                <w:sz w:val="20"/>
              </w:rPr>
              <w:t>—Give the eligibility criteria, and the sources and methods of selection of participants</w:t>
            </w:r>
          </w:p>
        </w:tc>
        <w:tc>
          <w:tcPr>
            <w:tcW w:w="550" w:type="dxa"/>
          </w:tcPr>
          <w:p w14:paraId="1D0BD1C9" w14:textId="6DB8B777" w:rsidR="00AB3BC0" w:rsidRDefault="00C51B6A">
            <w:pPr>
              <w:tabs>
                <w:tab w:val="left" w:pos="5400"/>
              </w:tabs>
              <w:rPr>
                <w:rFonts w:eastAsia="宋体" w:hint="eastAsia"/>
                <w:sz w:val="20"/>
                <w:lang w:val="en-US" w:eastAsia="zh-CN"/>
              </w:rPr>
            </w:pPr>
            <w:r>
              <w:rPr>
                <w:rFonts w:eastAsia="宋体" w:hint="eastAsia"/>
                <w:sz w:val="20"/>
                <w:lang w:val="en-US" w:eastAsia="zh-CN"/>
              </w:rPr>
              <w:t>6, 7</w:t>
            </w:r>
          </w:p>
        </w:tc>
        <w:tc>
          <w:tcPr>
            <w:tcW w:w="7845" w:type="dxa"/>
          </w:tcPr>
          <w:p w14:paraId="697BC35A" w14:textId="77777777" w:rsidR="00AB3BC0" w:rsidRDefault="00000000">
            <w:pPr>
              <w:tabs>
                <w:tab w:val="left" w:pos="5400"/>
              </w:tabs>
              <w:rPr>
                <w:sz w:val="20"/>
                <w:lang w:val="en-US"/>
              </w:rPr>
            </w:pPr>
            <w:r>
              <w:rPr>
                <w:sz w:val="20"/>
                <w:lang w:val="en-US" w:eastAsia="zh-CN"/>
              </w:rPr>
              <w:t>A total of 137,607 participants with prevalent MASLD at baseline were included in this study after application of the study criteria</w:t>
            </w:r>
            <w:r>
              <w:rPr>
                <w:rFonts w:hint="eastAsia"/>
                <w:sz w:val="20"/>
                <w:lang w:val="en-US" w:eastAsia="zh-CN"/>
              </w:rPr>
              <w:t>.</w:t>
            </w:r>
            <w:r>
              <w:rPr>
                <w:rFonts w:hint="eastAsia"/>
                <w:sz w:val="20"/>
                <w:lang w:val="en-US" w:eastAsia="zh-CN"/>
              </w:rPr>
              <w:br/>
            </w:r>
            <w:r>
              <w:rPr>
                <w:sz w:val="20"/>
                <w:lang w:val="en-US" w:eastAsia="zh-CN"/>
              </w:rPr>
              <w:t>Participants were followed from enrollment until the first LRE, loss to follow-up, or administrative censoring (December 31, 2023), whichever occurred first.</w:t>
            </w:r>
          </w:p>
          <w:p w14:paraId="4C024626" w14:textId="77777777" w:rsidR="00AB3BC0" w:rsidRDefault="00000000">
            <w:pPr>
              <w:tabs>
                <w:tab w:val="left" w:pos="5400"/>
              </w:tabs>
              <w:rPr>
                <w:sz w:val="20"/>
                <w:lang w:val="en-US"/>
              </w:rPr>
            </w:pPr>
            <w:r>
              <w:rPr>
                <w:rFonts w:ascii="Arial" w:eastAsia="宋体" w:hAnsi="Arial" w:cs="Arial" w:hint="eastAsia"/>
                <w:kern w:val="2"/>
                <w:szCs w:val="24"/>
                <w:lang w:val="en-US" w:eastAsia="zh-CN" w:bidi="ar"/>
              </w:rPr>
              <w:br/>
            </w:r>
          </w:p>
        </w:tc>
      </w:tr>
      <w:tr w:rsidR="00AB3BC0" w14:paraId="2632B6A2" w14:textId="77777777">
        <w:tc>
          <w:tcPr>
            <w:tcW w:w="1310" w:type="dxa"/>
            <w:vMerge/>
          </w:tcPr>
          <w:p w14:paraId="46BBC375" w14:textId="77777777" w:rsidR="00AB3BC0" w:rsidRDefault="00AB3BC0">
            <w:pPr>
              <w:tabs>
                <w:tab w:val="left" w:pos="5400"/>
              </w:tabs>
              <w:rPr>
                <w:bCs/>
                <w:sz w:val="20"/>
              </w:rPr>
            </w:pPr>
            <w:bookmarkStart w:id="27" w:name="bold14" w:colFirst="0" w:colLast="0"/>
            <w:bookmarkStart w:id="28" w:name="italic15" w:colFirst="0" w:colLast="0"/>
          </w:p>
        </w:tc>
        <w:tc>
          <w:tcPr>
            <w:tcW w:w="637" w:type="dxa"/>
            <w:gridSpan w:val="2"/>
            <w:vMerge/>
          </w:tcPr>
          <w:p w14:paraId="2C4646D5" w14:textId="77777777" w:rsidR="00AB3BC0" w:rsidRDefault="00AB3BC0">
            <w:pPr>
              <w:tabs>
                <w:tab w:val="left" w:pos="5400"/>
              </w:tabs>
              <w:jc w:val="center"/>
              <w:rPr>
                <w:sz w:val="20"/>
              </w:rPr>
            </w:pPr>
          </w:p>
        </w:tc>
        <w:tc>
          <w:tcPr>
            <w:tcW w:w="4650" w:type="dxa"/>
            <w:gridSpan w:val="3"/>
          </w:tcPr>
          <w:p w14:paraId="1F181F5D" w14:textId="77777777" w:rsidR="00AB3BC0" w:rsidRDefault="00000000">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14:paraId="7B77FF49" w14:textId="77777777" w:rsidR="00AB3BC0" w:rsidRDefault="00000000">
            <w:pPr>
              <w:tabs>
                <w:tab w:val="left" w:pos="5400"/>
              </w:tabs>
              <w:rPr>
                <w:i/>
                <w:sz w:val="20"/>
              </w:rPr>
            </w:pPr>
            <w:r>
              <w:rPr>
                <w:bCs/>
                <w:i/>
                <w:sz w:val="20"/>
              </w:rPr>
              <w:t>Case-control study</w:t>
            </w:r>
            <w:r>
              <w:rPr>
                <w:sz w:val="20"/>
              </w:rPr>
              <w:t>—For matched studies, give matching criteria and the number of controls per case</w:t>
            </w:r>
          </w:p>
        </w:tc>
        <w:tc>
          <w:tcPr>
            <w:tcW w:w="550" w:type="dxa"/>
          </w:tcPr>
          <w:p w14:paraId="45897ED1" w14:textId="77777777" w:rsidR="00AB3BC0" w:rsidRDefault="00AB3BC0">
            <w:pPr>
              <w:tabs>
                <w:tab w:val="left" w:pos="5400"/>
              </w:tabs>
              <w:rPr>
                <w:sz w:val="20"/>
              </w:rPr>
            </w:pPr>
          </w:p>
        </w:tc>
        <w:tc>
          <w:tcPr>
            <w:tcW w:w="7845" w:type="dxa"/>
          </w:tcPr>
          <w:p w14:paraId="46D2F5F6" w14:textId="77777777" w:rsidR="00AB3BC0" w:rsidRDefault="00AB3BC0">
            <w:pPr>
              <w:tabs>
                <w:tab w:val="left" w:pos="5400"/>
              </w:tabs>
              <w:rPr>
                <w:sz w:val="20"/>
              </w:rPr>
            </w:pPr>
          </w:p>
        </w:tc>
      </w:tr>
      <w:tr w:rsidR="00AB3BC0" w14:paraId="27CDB48C" w14:textId="77777777">
        <w:tc>
          <w:tcPr>
            <w:tcW w:w="1310" w:type="dxa"/>
          </w:tcPr>
          <w:p w14:paraId="02953DA5" w14:textId="77777777" w:rsidR="00AB3BC0" w:rsidRDefault="00000000">
            <w:pPr>
              <w:tabs>
                <w:tab w:val="left" w:pos="5400"/>
              </w:tabs>
              <w:rPr>
                <w:bCs/>
                <w:sz w:val="20"/>
              </w:rPr>
            </w:pPr>
            <w:bookmarkStart w:id="29" w:name="italic17" w:colFirst="0" w:colLast="0"/>
            <w:bookmarkStart w:id="30" w:name="bold16" w:colFirst="0" w:colLast="0"/>
            <w:bookmarkEnd w:id="27"/>
            <w:bookmarkEnd w:id="28"/>
            <w:r>
              <w:rPr>
                <w:bCs/>
                <w:sz w:val="20"/>
              </w:rPr>
              <w:t>Variables</w:t>
            </w:r>
          </w:p>
        </w:tc>
        <w:tc>
          <w:tcPr>
            <w:tcW w:w="637" w:type="dxa"/>
            <w:gridSpan w:val="2"/>
          </w:tcPr>
          <w:p w14:paraId="326A9FC9" w14:textId="77777777" w:rsidR="00AB3BC0" w:rsidRDefault="00000000">
            <w:pPr>
              <w:tabs>
                <w:tab w:val="left" w:pos="5400"/>
              </w:tabs>
              <w:jc w:val="center"/>
              <w:rPr>
                <w:sz w:val="20"/>
              </w:rPr>
            </w:pPr>
            <w:r>
              <w:rPr>
                <w:sz w:val="20"/>
              </w:rPr>
              <w:t>7</w:t>
            </w:r>
          </w:p>
        </w:tc>
        <w:tc>
          <w:tcPr>
            <w:tcW w:w="4650" w:type="dxa"/>
            <w:gridSpan w:val="3"/>
          </w:tcPr>
          <w:p w14:paraId="3F80A861" w14:textId="77777777" w:rsidR="00AB3BC0" w:rsidRDefault="00000000">
            <w:pPr>
              <w:tabs>
                <w:tab w:val="left" w:pos="5400"/>
              </w:tabs>
              <w:rPr>
                <w:sz w:val="20"/>
              </w:rPr>
            </w:pPr>
            <w:r>
              <w:rPr>
                <w:sz w:val="20"/>
              </w:rPr>
              <w:t>Clearly define all outcomes, exposures, predictors, potential confounders, and effect modifiers. Give diagnostic criteria, if applicable</w:t>
            </w:r>
          </w:p>
        </w:tc>
        <w:tc>
          <w:tcPr>
            <w:tcW w:w="550" w:type="dxa"/>
          </w:tcPr>
          <w:p w14:paraId="45C87139" w14:textId="16277A59" w:rsidR="00AB3BC0" w:rsidRDefault="00C51B6A">
            <w:pPr>
              <w:tabs>
                <w:tab w:val="left" w:pos="5400"/>
              </w:tabs>
              <w:rPr>
                <w:rFonts w:eastAsia="宋体" w:hint="eastAsia"/>
                <w:sz w:val="20"/>
                <w:lang w:val="en-US" w:eastAsia="zh-CN"/>
              </w:rPr>
            </w:pPr>
            <w:r>
              <w:rPr>
                <w:rFonts w:eastAsia="宋体" w:hint="eastAsia"/>
                <w:sz w:val="20"/>
                <w:lang w:val="en-US" w:eastAsia="zh-CN"/>
              </w:rPr>
              <w:t>7, 8</w:t>
            </w:r>
          </w:p>
        </w:tc>
        <w:tc>
          <w:tcPr>
            <w:tcW w:w="7845" w:type="dxa"/>
          </w:tcPr>
          <w:p w14:paraId="35AC6555" w14:textId="77777777" w:rsidR="00AB3BC0" w:rsidRDefault="00000000">
            <w:pPr>
              <w:pStyle w:val="Heading3"/>
              <w:numPr>
                <w:ilvl w:val="2"/>
                <w:numId w:val="0"/>
              </w:numPr>
              <w:spacing w:before="0" w:after="0" w:line="360" w:lineRule="auto"/>
              <w:rPr>
                <w:rFonts w:ascii="Times New Roman" w:hAnsi="Times New Roman"/>
                <w:sz w:val="20"/>
                <w:lang w:val="en-US"/>
              </w:rPr>
            </w:pPr>
            <w:r>
              <w:rPr>
                <w:rFonts w:ascii="Times New Roman" w:hAnsi="Times New Roman"/>
                <w:sz w:val="20"/>
                <w:lang w:val="en-US"/>
              </w:rPr>
              <w:t>Definition of outcomes</w:t>
            </w:r>
          </w:p>
          <w:p w14:paraId="31B84E9D" w14:textId="77777777" w:rsidR="00AB3BC0" w:rsidRDefault="00000000">
            <w:pPr>
              <w:pStyle w:val="Heading3"/>
              <w:numPr>
                <w:ilvl w:val="2"/>
                <w:numId w:val="0"/>
              </w:numPr>
              <w:spacing w:before="0" w:after="0" w:line="360" w:lineRule="auto"/>
              <w:rPr>
                <w:rFonts w:ascii="Times New Roman" w:hAnsi="Times New Roman"/>
                <w:sz w:val="20"/>
                <w:lang w:val="en-US"/>
              </w:rPr>
            </w:pPr>
            <w:r>
              <w:rPr>
                <w:rFonts w:ascii="Times New Roman" w:hAnsi="Times New Roman"/>
                <w:sz w:val="20"/>
                <w:lang w:val="en-US" w:eastAsia="zh-CN"/>
              </w:rPr>
              <w:t>The outcome was a composite of liver-related events, defined as hospital admissions for ascites (R18), hepatic encephalopathy (G93.4), portal hypertension (K75.1, K76.6, K76.7), variceal bleeding (I85, I98.2, I98.3, I86.4), hyperbilirubinemia (R17), hepatocellular carcinoma (C22), cirrhosis (K74), hepatic failure (K72), or liver-related mortality (C22, K70–K77) during the follow-up period, consistent with definitions used in a previous study.</w:t>
            </w:r>
            <w:r>
              <w:rPr>
                <w:rFonts w:ascii="Times New Roman" w:hAnsi="Times New Roman"/>
                <w:sz w:val="20"/>
                <w:lang w:val="en-US" w:eastAsia="zh-CN"/>
              </w:rPr>
              <w:fldChar w:fldCharType="begin"/>
            </w:r>
            <w:r>
              <w:rPr>
                <w:rFonts w:ascii="Times New Roman" w:hAnsi="Times New Roman"/>
                <w:sz w:val="20"/>
                <w:lang w:val="en-US" w:eastAsia="zh-CN"/>
              </w:rPr>
              <w:instrText xml:space="preserve"> ADDIN ZOTERO_ITEM CSL_CITATION {"citationID":"ebvHTRWE","properties":{"unsorted":false,"formattedCitation":"\\super 4\\nosupersub{}","plainCitation":"4","noteIndex":0},"citationItems":[{"id":5419,"uris":["http://zotero.org/users/9834796/items/QQY6CXLL"],"itemData":{"id":5419,"type":"article-journal","abstract":"Background &amp; Aims: Hypertension is common in metabolic dysfunction-associated steatotic liver disease (MASLD), but its impact on long-term clinical outcomes and disease progression remains unclear. This study investigated the association of hypertension with the risk of adverse clinical outcomes and progression of liver stiffness/fibrosis in MASLD.\nMethods: Three multicenter large cohorts were analyzed: the UK Biobank (UKBB) cohort to assess the risk of adverse clinical outcomes, the VCTE-Prognosis cohort to assess liver stiffness/fibrosis progression, and the Paired Liver Biopsy cohort to assess histologic liver fibrosis progression. Adverse clinical outcomes were defined as all-cause mortality, cardiovascular events, and/or liver-related events. Liver stiffness progression was defined as an increase in liver stiffness measurement from &lt;10 kPa to &gt;−10 kPa or an increase of &gt;−20% for baseline liver stiffness measurement &gt;−10 kPa. Liver fibrosis progression was defined as a 1stage fibrosis stage increase. Cox regression and Kaplan-Meier analyses were used to evaluate the impact of baseline hypertension on outcomes.\nResults: A total of 107,316 adults from the UKBB cohort, 8,169 from the VCTE-Prognosis cohort, and 1,670 from the Paired Liver Biopsy cohort were included. The prevalence of hypertension was 37.1%, 33.4%, and 48.9%, respectively. In the UKBB cohort, hypertension was associated with long-term adverse clinical outcomes (adjusted hazard ratio [HR] 1.30, 95% CI 1.26-1.33, p &lt;0.001). In the VCTE-Prognosis cohort, hypertension was associated with a higher risk of liver stiffness progression (adjusted HR 1.57, 95% CI 1.30-1.90, p &lt;0.001), while in the Paired Liver Biopsy cohort, hypertension was associated with a greater risk of histologic liver fibrosis progression (adjusted HR 1.41, 95% CI 1.12-1.78, p = 0.004). Subgroup and sensitivity analyses supported these findings.\nConclusions: Hypertension is a modifiable risk factor that increases the risk of adverse clinical outcomes and progression of liver stiffness and fibrosis in MASLD.","citation-key":"zhouEffectHypertensionLongterm2025","container-title":"Journal of Hepatology","DOI":"10.1016/j.jhep.2025.08.017","ISSN":"01688278","journalAbbreviation":"Journal of Hepatology","language":"en","note":"TLDR: Hypertension is a modifiable risk factor and increases risk of adverse clinical outcomes and progression of liver stiffness/fibrosis in MASLD.","page":"S0168827825024535","source":"DOI.org (Crossref)","title":"Effect of hypertension on long-term adverse clinical outcomes and liver fibrosis progression in MASLD","author":[{"family":"Zhou","given":"Xiao-Dong"},{"family":"Lian","given":"Li-You"},{"family":"Chen","given":"Qin-Fen"},{"family":"Kim","given":"Seung Up"},{"family":"Cheuk-Fung Yip","given":"Terry"},{"family":"Petta","given":"Salvatore"},{"family":"Nakajima","given":"Atsushi"},{"family":"Tsochatzis","given":"Emmanuel"},{"family":"Shi","given":"Junping"},{"family":"Chan","given":"Wah-Kheong"},{"family":"Boursier","given":"Jérôme"},{"family":"Bugianesi","given":"Elisabetta"},{"family":"Yilmaz","given":"Yusuf"},{"family":"Hagström","given":"Hannes"},{"family":"Romero-Gomez","given":"Manuel"},{"family":"Alswat","given":"Khalid"},{"family":"Calleja","given":"José Luis"},{"family":"Takahashi","given":"Hirokazu"},{"family":"De Lédinghen","given":"Victor"},{"literal":"Shalimar"},{"family":"Castéra","given":"Laurent"},{"family":"Sanyal","given":"Arun J."},{"family":"Goh","given":"George Boon-Bee"},{"family":"Newsome","given":"Philip N."},{"family":"Fan","given":"Jian-Gao"},{"family":"Lai","given":"Michelle"},{"family":"Aggarwal","given":"Sandeep"},{"family":"Kechagias","given":"Stergios"},{"family":"Hiasa","given":"Yoichi"},{"family":"Dayal","given":"Bheesham"},{"family":"Zhang","given":"Zhongtao"},{"family":"George","given":"Jacob"},{"family":"El-Kassas","given":"Mohamed"},{"family":"Chen","given":"Jinjun"},{"family":"You","given":"Hong"},{"family":"Abu Dayyeh","given":"Barham K."},{"family":"Sheng","given":"Huiping"},{"family":"Adams","given":"Leon A."},{"family":"Wang","given":"Jing"},{"family":"He","given":"Fangping"},{"family":"Liang","given":"Huiqing"},{"family":"Yang","given":"Yong-Feng"},{"family":"Chi","given":"Xiaoling"},{"family":"Zhong","given":"Bihui"},{"family":"Bi","given":"Yan"},{"family":"Mi","given":"Yuqiang"},{"family":"Zhu","given":"Yongfen"},{"family":"Bai","given":"Rixing"},{"family":"Zhang","given":"Jing"},{"family":"Wang","given":"Bingyuan"},{"family":"Song","given":"Jinghai"},{"family":"Deng","given":"Hong"},{"family":"Xie","given":"Qing"},{"family":"Bai","given":"Lang"},{"family":"Xin","given":"Yongning"},{"family":"Xie","given":"Wen"},{"family":"Li","given":"Jie"},{"family":"Fournier-Poizat","given":"Céline"},{"family":"Zoncapè","given":"Mirko"},{"family":"Xia","given":"Tianyi"},{"family":"Ju","given":"Shenghong"},{"family":"Wu","given":"Chutian"},{"family":"Lee","given":"Hye Won"},{"family":"Wong","given":"Grace Lai-Hung"},{"family":"Armandi","given":"Angelo"},{"family":"Shang","given":"Ying"},{"family":"Pennisi","given":"Grazia"},{"family":"Llop","given":"Elba"},{"family":"Yoneda","given":"Masato"},{"family":"De Saint-Loup","given":"Marc"},{"family":"Canivet","given":"Clemence M."},{"family":"Lara-Romero","given":"Carmen"},{"family":"Gallego-Durán","given":"Rocio"},{"family":"Carrillo-Fernández","given":"Paloma"},{"family":"Asgharpour","given":"Amon"},{"family":"Teh","given":"Kevin Kim-Jun"},{"family":"Mahgoub","given":"Sara"},{"family":"Chan","given":"Mandy Sau-Wai"},{"family":"Lin","given":"Huapeng"},{"family":"Liu","given":"Wen-Yue"},{"family":"Song","given":"Sherlot Juan"},{"family":"Al-Hamoudi","given":"Waleed K."},{"family":"Isoda","given":"Hiroshi"},{"family":"Miyake","given":"Teruki"},{"family":"Satapathy","given":"Sanjaya K."},{"family":"Li","given":"Mengyi"},{"family":"Sharma","given":"Keshni"},{"family":"Emadeldeen","given":"Mohammed"},{"family":"Zhou","given":"Ling"},{"family":"Tong","given":"Xiaofei"},{"family":"Bazerbachi","given":"Fateh"},{"family":"Fan","given":"Xiaotang"},{"family":"Xiao","given":"Huanming"},{"family":"Ye","given":"Junzhao"},{"family":"Xu","given":"Liang"},{"family":"Wang","given":"Xiaolin"},{"family":"Targher","given":"Giovanni"},{"family":"Byrne","given":"Christopher D."},{"family":"Shapiro","given":"Michael D."},{"family":"Tacke","given":"Frank"},{"family":"Wai-Sun Wong","given":"Vincent"},{"family":"Zheng","given":"Ming-Hua"},{"family":"Sanyal","given":"Arun J."},{"family":"Nakajima","given":"Atsushi"},{"family":"Bugianesi","given":"Elisabetta"},{"family":"Tsochatzis","given":"Emmanuel"},{"family":"Goh","given":"George Boon-Bee"},{"family":"Hagström","given":"Hannes"},{"family":"Boursier","given":"Jérôme"},{"family":"Calleja","given":"José Luis"},{"family":"Romero-Gomez","given":"Manuel"},{"family":"Zheng","given":"Ming-Hua"},{"family":"Newsome","given":"Philip N."},{"family":"Petta","given":"Salvatore"},{"family":"Kim","given":"Seung Up"},{"family":"De Lédinghen","given":"Victor"},{"family":"Wong","given":"Vincent Wai-Sun"},{"family":"Chan","given":"Wah-Kheong"},{"family":"Abu Dayyeh","given":"Barham K."},{"family":"Dayal","given":"Bheesham"},{"family":"Zhong","given":"Bihui"},{"family":"Wang","given":"Bingyuan"},{"family":"Wu","given":"Chutian"},{"family":"He","given":"Fangping"},{"family":"Takahashi","given":"Hirokazu"},{"family":"Deng","given":"Hong"},{"family":"You","given":"Hong"},{"family":"Sheng","given":"Huiping"},{"family":"Liang","given":"Huiqing"},{"family":"George","given":"Jacob"},{"family":"Boursier","given":"Jérôme"},{"family":"Li","given":"Jie"},{"family":"Wang","given":"Jing"},{"family":"Zhang","given":"Jing"},{"family":"Song","given":"Jinghai"},{"family":"Chen","given":"Jinjun"},{"family":"Shi","given":"Junping"},{"family":"Alswat","given":"Khalid"},{"family":"Bai","given":"Lang"},{"family":"Adams","given":"Leon A."},{"family":"Zheng","given":"Ming-Hua"},{"family":"El-Kassas","given":"Mohamed"},{"family":"Xie","given":"Qing"},{"family":"Bai","given":"Rixing"},{"family":"Petta","given":"Salvatore"},{"family":"Aggarwal","given":"Sandeep"},{"literal":"Shalimar"},{"family":"Kechagias","given":"Stergios"},{"family":"Wong","given":"Vincent"},{"family":"Chan","given":"Wah Kheong"},{"family":"Xie","given":"Wen"},{"family":"Chi","given":"Xiaoling"},{"family":"Bi","given":"Yan"},{"family":"Hiasa","given":"Yoichi"},{"family":"Zhu","given":"Yongfen"},{"family":"Yang","given":"Yong-Feng"},{"family":"Xin","given":"Yongning"},{"family":"Mi","given":"Yuqiang"},{"family":"Yilmaz","given":"Yusuf"},{"family":"Zhang","given":"Zhongtao"}],"issued":{"date-parts":[["2025",8]]}}}],"schema":"https://github.com/citation-style-language/schema/raw/master/csl-citation.json"} </w:instrText>
            </w:r>
            <w:r>
              <w:rPr>
                <w:rFonts w:ascii="Times New Roman" w:hAnsi="Times New Roman"/>
                <w:sz w:val="20"/>
                <w:lang w:val="en-US" w:eastAsia="zh-CN"/>
              </w:rPr>
              <w:fldChar w:fldCharType="separate"/>
            </w:r>
            <w:r>
              <w:rPr>
                <w:rFonts w:ascii="Times New Roman" w:hAnsi="Times New Roman"/>
                <w:sz w:val="20"/>
                <w:lang w:val="en-US" w:eastAsia="zh-CN"/>
              </w:rPr>
              <w:t>4</w:t>
            </w:r>
            <w:r>
              <w:rPr>
                <w:rFonts w:ascii="Times New Roman" w:hAnsi="Times New Roman"/>
                <w:sz w:val="20"/>
                <w:lang w:val="en-US" w:eastAsia="zh-CN"/>
              </w:rPr>
              <w:fldChar w:fldCharType="end"/>
            </w:r>
            <w:r>
              <w:rPr>
                <w:rFonts w:ascii="Times New Roman" w:hAnsi="Times New Roman"/>
                <w:sz w:val="20"/>
                <w:lang w:val="en-US" w:eastAsia="zh-CN"/>
              </w:rPr>
              <w:t xml:space="preserve"> Participants were followed from enrollment until the first LRE, loss to follow-up, or administrative censoring (December 31, 2023), whichever occurred first.</w:t>
            </w:r>
            <w:r>
              <w:rPr>
                <w:rFonts w:ascii="Times New Roman" w:hAnsi="Times New Roman"/>
                <w:sz w:val="20"/>
                <w:lang w:val="en-US" w:eastAsia="zh-CN"/>
              </w:rPr>
              <w:br/>
            </w:r>
            <w:r>
              <w:rPr>
                <w:rFonts w:ascii="Times New Roman" w:hAnsi="Times New Roman"/>
                <w:sz w:val="20"/>
                <w:lang w:val="en-US" w:eastAsia="zh-CN"/>
              </w:rPr>
              <w:br/>
            </w:r>
            <w:r>
              <w:rPr>
                <w:rFonts w:ascii="Times New Roman" w:hAnsi="Times New Roman"/>
                <w:sz w:val="20"/>
                <w:lang w:val="en-US"/>
              </w:rPr>
              <w:t>Definition of comorbidities</w:t>
            </w:r>
          </w:p>
          <w:p w14:paraId="06ACA39F" w14:textId="77777777" w:rsidR="00AB3BC0" w:rsidRDefault="00000000">
            <w:pPr>
              <w:widowControl w:val="0"/>
              <w:spacing w:line="360" w:lineRule="auto"/>
              <w:jc w:val="both"/>
              <w:rPr>
                <w:sz w:val="20"/>
                <w:lang w:val="en-US"/>
              </w:rPr>
            </w:pPr>
            <w:r>
              <w:rPr>
                <w:sz w:val="20"/>
                <w:lang w:val="en-US" w:eastAsia="zh-CN"/>
              </w:rPr>
              <w:t>Comorbidities were phenotyped using hospital inpatient records. The prespecified list of comorbidities was derived from a Delphi consensus framework for multimorbidity research</w:t>
            </w:r>
            <w:r>
              <w:rPr>
                <w:sz w:val="20"/>
                <w:lang w:val="en-US" w:eastAsia="zh-CN"/>
              </w:rPr>
              <w:fldChar w:fldCharType="begin"/>
            </w:r>
            <w:r>
              <w:rPr>
                <w:sz w:val="20"/>
                <w:lang w:val="en-US" w:eastAsia="zh-CN"/>
              </w:rPr>
              <w:instrText xml:space="preserve"> ADDIN ZOTERO_ITEM CSL_CITATION {"citationID":"kKzpISry","properties":{"unsorted":false,"formattedCitation":"\\super 20\\nosupersub{}","plainCitation":"20","noteIndex":0},"citationItems":[{"id":5958,"uris":["http://zotero.org/users/9834796/items/N7MK9Y9E"],"itemData":{"id":5958,"type":"article-journal","abstract":"Objective To develop international consensus on the definition and measurement of multimorbidity in research.Design Delphi consensus study.Setting International consensus; data collected in three online rounds from participants between 30 November 2020 and 18 May 2021.Participants Professionals interested in multimorbidity and people with long term conditions were recruited to professional and public panels.Results 150 professional and 25 public participants completed the first survey round. Response rates for rounds 2/3 were 83%/92% for professionals and 88%/93% in the public panel, respectively. Across both panels, the consensus was that multimorbidity should be defined as two or more long term conditions. Complex multimorbidity was perceived to be a useful concept, but the panels were unable to agree on how to define it. Both panels agreed that conditions should be included in a multimorbidity measure if they were one or more of the following: currently active; permanent in their effects; requiring current treatment, care, or therapy; requiring surveillance; or relapsing-remitting conditions requiring ongoing care. Consensus was reached for 24 conditions to always include in multimorbidity measures, and 35 conditions to usually include unless a good reason not to existed. Simple counts were preferred for estimating prevalence and examining clustering or trajectories, and weighted measures were preferred for risk adjustment and outcome prediction.Conclusions Previous multimorbidity research is limited by inconsistent definitions and approaches to measuring multimorbidity. This Delphi study identifies professional and public panel consensus guidance to facilitate consistency of definition and measurement, and to improve study comparability and reproducibility.","citation-key":"hoMeasuringMultimorbidityResearch2022","container-title":"BMJ Medicine","DOI":"10.1136/bmjmed-2022-000247","ISSN":"2754-0413","issue":"1","journalAbbreviation":"bmjmed","language":"en","license":"This is an open access article distributed in accordance with the Creative Commons Attribution 4.0 Unported (CC BY 4.0) license","PMID":"10.1136/bmjmed-2022-000247","publisher":"BMJ Publishing Group Ltd","source":"bmjmedicine.bmj.com","title":"Measuring multimorbidity in research: Delphi consensus study","title-short":"Measuring multimorbidity in research","URL":"https://bmjmedicine.bmj.com/content/1/1/e000247","volume":"1","author":[{"family":"Ho","given":"Iris S. S."},{"family":"Azcoaga-Lorenzo","given":"Amaya"},{"family":"Akbari","given":"Ashley"},{"family":"Davies","given":"Jim"},{"family":"Khunti","given":"Kamlesh"},{"family":"Kadam","given":"Umesh T."},{"family":"Lyons","given":"Ronan A."},{"family":"McCowan","given":"Colin"},{"family":"Mercer","given":"Stewart W."},{"family":"Nirantharakumar","given":"Krishnarajah"},{"family":"Staniszewska","given":"Sophie"},{"family":"Guthrie","given":"Bruce"}],"accessed":{"date-parts":[["2026",3,24]]},"issued":{"date-parts":[["2022",7,27]]}}}],"schema":"https://github.com/citation-style-language/schema/raw/master/csl-citation.json"} </w:instrText>
            </w:r>
            <w:r>
              <w:rPr>
                <w:sz w:val="20"/>
                <w:lang w:val="en-US" w:eastAsia="zh-CN"/>
              </w:rPr>
              <w:fldChar w:fldCharType="separate"/>
            </w:r>
            <w:r>
              <w:rPr>
                <w:sz w:val="20"/>
                <w:lang w:val="en-US" w:eastAsia="zh-CN"/>
              </w:rPr>
              <w:t>20</w:t>
            </w:r>
            <w:r>
              <w:rPr>
                <w:sz w:val="20"/>
                <w:lang w:val="en-US" w:eastAsia="zh-CN"/>
              </w:rPr>
              <w:fldChar w:fldCharType="end"/>
            </w:r>
            <w:r>
              <w:rPr>
                <w:sz w:val="20"/>
                <w:lang w:val="en-US" w:eastAsia="zh-CN"/>
              </w:rPr>
              <w:t xml:space="preserve"> and a MASLD study </w:t>
            </w:r>
            <w:r>
              <w:rPr>
                <w:sz w:val="20"/>
                <w:lang w:val="en-US" w:eastAsia="zh-CN"/>
              </w:rPr>
              <w:fldChar w:fldCharType="begin"/>
            </w:r>
            <w:r>
              <w:rPr>
                <w:sz w:val="20"/>
                <w:lang w:val="en-US" w:eastAsia="zh-CN"/>
              </w:rPr>
              <w:instrText xml:space="preserve"> ADDIN ZOTERO_ITEM CSL_CITATION {"citationID":"0wuNqltR","properties":{"unsorted":false,"formattedCitation":"\\super 21\\nosupersub{}","plainCitation":"21","noteIndex":0},"citationItems":[{"id":5851,"uris":["http://zotero.org/users/9834796/items/CTN4TY8G"],"itemData":{"id":5851,"type":"article-journal","abstract":"Context\nMetabolic dysfunction–associated steatotic liver disease (MASLD) affects one third of the world's population, but its associations with extrahepatic multimorbidity and mortality remain unclear.\n\nObjective\nThis study aimed to estimate the impact of MASLD, with and without multimorbidity, on all-cause mortality.\n\nMethods\nWe analyzed data from the UK Biobank. MASLD was identified as a fatty liver index </w:instrText>
            </w:r>
            <w:r>
              <w:rPr>
                <w:rFonts w:hint="eastAsia"/>
                <w:sz w:val="20"/>
                <w:lang w:val="en-US" w:eastAsia="zh-CN"/>
              </w:rPr>
              <w:instrText>≥</w:instrText>
            </w:r>
            <w:r>
              <w:rPr>
                <w:sz w:val="20"/>
                <w:lang w:val="en-US" w:eastAsia="zh-CN"/>
              </w:rPr>
              <w:instrText xml:space="preserve">60 and presence of cardiometabolic risk factors. Multimorbidity was defined as </w:instrText>
            </w:r>
            <w:r>
              <w:rPr>
                <w:rFonts w:hint="eastAsia"/>
                <w:sz w:val="20"/>
                <w:lang w:val="en-US" w:eastAsia="zh-CN"/>
              </w:rPr>
              <w:instrText>≥</w:instrText>
            </w:r>
            <w:r>
              <w:rPr>
                <w:sz w:val="20"/>
                <w:lang w:val="en-US" w:eastAsia="zh-CN"/>
              </w:rPr>
              <w:instrText>2 of the long-term conditions (LTCs) in a prespecified list of 47 extrahepatic conditions. Hazard ratios (HRs) from adjusted Cox models quantified the association between MASLD, multimorbidity and all-cause mortality.\n\nResults\nOf the 438 840 participants, 131 020 (29.9%) had MASLD at baseline. The participants with MASLD at baseline had a higher prevalence of multimorbidity than those without (21.3% vs 14.4%). In addition to cardiometabolic risk factors, MASLD was strongly associated with several LTCs, particularly metabolic, cardiovascular, cancers, kidney, mental/behavioral, and respiratory diseases. During a median follow-up of 13 years, MASLD was associated with higher mortality (HR 1.16; 95% CI 1.13, 1.19), with stronger associations in females and in those with low LTC counts (</w:instrText>
            </w:r>
            <w:r>
              <w:rPr>
                <w:rFonts w:hint="eastAsia"/>
                <w:sz w:val="20"/>
                <w:lang w:val="en-US" w:eastAsia="zh-CN"/>
              </w:rPr>
              <w:instrText>≤</w:instrText>
            </w:r>
            <w:r>
              <w:rPr>
                <w:sz w:val="20"/>
                <w:lang w:val="en-US" w:eastAsia="zh-CN"/>
              </w:rPr>
              <w:instrText xml:space="preserve">3 LTCs). Each additional LTC at baseline was associated with 30% and 38% higher mortality in MASLD (HR 1.30; 1.29, 1.32) and non-MASLD (HR 1.38; 1.37, 1.40) populations, respectively. Among the 47 LTCs, 16 were associated with increased mortality in people with MASLD.\n\nConclusion\nThose with MASLD exhibited a higher prevalence of extrahepatic multimorbidity and a 16% higher rate of mortality than those without, underscoring the impact of liver steatosis on mortality and highlighting the need to target LTCs to improve outcomes and reduce health care burdens.","citation-key":"fengRelationshipsMASLDExtrahepatic2025","container-title":"The Journal of Clinical Endocrinology and Metabolism","DOI":"10.1210/clinem/dgaf342","ISSN":"0021-972X","issue":"1","journalAbbreviation":"J Clin Endocrinol Metab","page":"e58-e69","PMID":"40493745","PMCID":"PMC12712988","source":"PubMed Central","title":"The Relationships Between MASLD, Extrahepatic Multimorbidity, and All-Cause Mortality in the UK Biobank Cohort","volume":"111","author":[{"family":"Feng","given":"Qi"},{"family":"Izzi-Engbeaya","given":"Chioma N"},{"family":"Branch","given":"Andrea D"},{"family":"Mullish","given":"Benjamin H"},{"family":"Manousou","given":"Pinelopi"},{"family":"Woodward","given":"Mark"}],"issued":{"date-parts":[["2025",6,10]]}}}],"schema":"https://github.com/citation-style-language/schema/raw/master/csl-citation.json"} </w:instrText>
            </w:r>
            <w:r>
              <w:rPr>
                <w:sz w:val="20"/>
                <w:lang w:val="en-US" w:eastAsia="zh-CN"/>
              </w:rPr>
              <w:fldChar w:fldCharType="separate"/>
            </w:r>
            <w:r>
              <w:rPr>
                <w:sz w:val="20"/>
                <w:lang w:val="en-US" w:eastAsia="zh-CN"/>
              </w:rPr>
              <w:t>21</w:t>
            </w:r>
            <w:r>
              <w:rPr>
                <w:sz w:val="20"/>
                <w:lang w:val="en-US" w:eastAsia="zh-CN"/>
              </w:rPr>
              <w:fldChar w:fldCharType="end"/>
            </w:r>
            <w:r>
              <w:rPr>
                <w:sz w:val="20"/>
                <w:lang w:val="en-US" w:eastAsia="zh-CN"/>
              </w:rPr>
              <w:t xml:space="preserve">. Four additional MASLD-relevant metabolic conditions were </w:t>
            </w:r>
            <w:r>
              <w:rPr>
                <w:sz w:val="20"/>
                <w:lang w:val="en-US" w:eastAsia="zh-CN"/>
              </w:rPr>
              <w:lastRenderedPageBreak/>
              <w:t xml:space="preserve">included, including diabetes, hypertension, hyperlipidemia, and obesity. The final comorbidity set comprised 51 conditions, which were recorded using ICD-10 codes (Supplementary Table S1). Comorbidity count and CCI were quantified using the established coding algorithm (Supplementary Table S2) </w:t>
            </w:r>
            <w:r>
              <w:rPr>
                <w:sz w:val="20"/>
                <w:lang w:val="en-US" w:eastAsia="zh-CN"/>
              </w:rPr>
              <w:fldChar w:fldCharType="begin"/>
            </w:r>
            <w:r>
              <w:rPr>
                <w:sz w:val="20"/>
                <w:lang w:val="en-US" w:eastAsia="zh-CN"/>
              </w:rPr>
              <w:instrText xml:space="preserve"> ADDIN ZOTERO_ITEM CSL_CITATION {"citationID":"atJOPmA4","properties":{"unsorted":false,"formattedCitation":"\\super 22\\nosupersub{}","plainCitation":"22","noteIndex":0},"citationItems":[{"id":5864,"uris":["http://zotero.org/users/9834796/items/293IVQVK"],"itemData":{"id":5864,"type":"article-journal","abstract":"Objective: To determine the accuracy of International Statistical Classiﬁcation of Disease and Related Health Problems, 10th Revision (ICD-10) coding system in identifying comorbidities and infectious conditions using data from a Thai university hospital administrative database. Material and Method: A retrospective cross-sectional study was conducted among patients hospitalized in six general medicine wards at Siriraj Hospital. ICD-10 code data was identiﬁed and retrieved directly from the hospital administrative database. Patient comorbidities were captured using the ICD-10 coding algorithm for the Charlson comorbidity index. Infectious conditions were captured using the groups of ICD-10 diagnostic codes that were carefully prepared by two independent infectious disease specialists. Accuracy of ICD-10 codes combined with microbiological data for diagnosis of urinary tract infection (UTI) and bloodstream infection (BSI) was evaluated. Clinical data gathered from chart review was considered the gold standard in this study.\nResults: Between February 1 and May 31, 2013, a chart review of 546 hospitalization records was conducted. The mean age of hospitalized patients was 62.8±17.8 years and 65.9% of patients were female. Median length of stay [range] was 10.0 [1.0-353.0] days and hospital mortality was 21.8%. Conditions with ICD-10 codes that had good sensitivity (90% or higher) were diabetes mellitus and HIV infection. Conditions with ICD-10 codes that had good speciﬁcity (90% or higher) were cerebrovascular disease, chronic lung disease, diabetes mellitus, cancer, HIV infection, and all infectious conditions. By combining ICD-10 codes with microbiological results, sensitivity increased from 49.5 to 66% for UTI and from 78.3 to 92.8% for BSI.\nConclusion: The ICD-10 coding algorithm is reliable only in some selected conditions, including underlying diabetes mellitus and HIV infection. Combining microbiological results with ICD-10 codes increased sensitivity of ICD-10 codes for identifying BSI. Future research is needed to improve the accuracy of hospital administrative coding system in Thailand.","citation-key":"rattanaumpawanAccuracyICD10Coding","language":"en","source":"Zotero","title":"Accuracy of ICD-10 Coding System for Identifying Comorbidities and Infectious Conditions Using Data from a Thai University Hospital Administrative Database","author":[{"family":"Rattanaumpawan","given":"Pinyo"},{"family":"Wongkamhla","given":"Thanyarak"},{"family":"Thamlikitkul","given":"Visanu"}]}}],"schema":"https://github.com/citation-style-language/schema/raw/master/csl-citation.json"} </w:instrText>
            </w:r>
            <w:r>
              <w:rPr>
                <w:sz w:val="20"/>
                <w:lang w:val="en-US" w:eastAsia="zh-CN"/>
              </w:rPr>
              <w:fldChar w:fldCharType="separate"/>
            </w:r>
            <w:r>
              <w:rPr>
                <w:sz w:val="20"/>
                <w:lang w:val="en-US" w:eastAsia="zh-CN"/>
              </w:rPr>
              <w:t>22</w:t>
            </w:r>
            <w:r>
              <w:rPr>
                <w:sz w:val="20"/>
                <w:lang w:val="en-US" w:eastAsia="zh-CN"/>
              </w:rPr>
              <w:fldChar w:fldCharType="end"/>
            </w:r>
            <w:r>
              <w:rPr>
                <w:sz w:val="20"/>
                <w:lang w:val="en-US" w:eastAsia="zh-CN"/>
              </w:rPr>
              <w:t xml:space="preserve">. </w:t>
            </w:r>
          </w:p>
          <w:p w14:paraId="280DC249" w14:textId="77777777" w:rsidR="00AB3BC0" w:rsidRDefault="00000000">
            <w:pPr>
              <w:pStyle w:val="Heading3"/>
              <w:numPr>
                <w:ilvl w:val="2"/>
                <w:numId w:val="0"/>
              </w:numPr>
              <w:spacing w:before="0" w:after="0" w:line="360" w:lineRule="auto"/>
              <w:rPr>
                <w:rFonts w:ascii="Times New Roman" w:hAnsi="Times New Roman"/>
                <w:sz w:val="20"/>
                <w:lang w:val="en-US"/>
              </w:rPr>
            </w:pPr>
            <w:r>
              <w:rPr>
                <w:rFonts w:ascii="Times New Roman" w:hAnsi="Times New Roman"/>
                <w:sz w:val="20"/>
                <w:lang w:val="en-US"/>
              </w:rPr>
              <w:br/>
              <w:t>Covariates</w:t>
            </w:r>
          </w:p>
          <w:p w14:paraId="32E334D9" w14:textId="77777777" w:rsidR="00AB3BC0" w:rsidRDefault="00000000">
            <w:pPr>
              <w:widowControl w:val="0"/>
              <w:spacing w:line="360" w:lineRule="auto"/>
              <w:jc w:val="both"/>
              <w:rPr>
                <w:sz w:val="20"/>
                <w:lang w:val="en-US"/>
              </w:rPr>
            </w:pPr>
            <w:r>
              <w:rPr>
                <w:sz w:val="20"/>
                <w:lang w:val="en-US" w:eastAsia="zh-CN"/>
              </w:rPr>
              <w:t>Baseline covariates included demographic and socioeconomic factors (age, sex, ethnicity, education, smoking, and the Townsend deprivation index [TDI]),  anthropometric measures (BMI and WC), medication use (glucose-lowering and lipid-lowering drugs), liver enzymes (aspartate aminotransferase [AST] and alanine aminotransferase [ALT]), glycaemic markers (hemoglobin A1c [HbA1c]), lipid profile (low-density lipoprotein cholesterol [LDL-C] and triglycerides), and hepatic, renal and hematologic markers (albumin, total bilirubin, creatinine, estimated glomerular filtration rate [eGFR], and platelet count), together with fibrosis-4 [FIB-4] index. Abbreviations and extent of missing data for each variable are provided in Supplementary Table S3. Missing values in covariates were imputed using multiple imputations by chained equations, generating 10 imputed datasets with 10 iterations per dataset. All subsequent analyses were performed separately within each imputed dataset, and estimates were combined using Rubin’s rules.</w:t>
            </w:r>
          </w:p>
          <w:p w14:paraId="516F49DD" w14:textId="77777777" w:rsidR="00AB3BC0" w:rsidRDefault="00000000">
            <w:pPr>
              <w:pStyle w:val="Heading3"/>
              <w:numPr>
                <w:ilvl w:val="2"/>
                <w:numId w:val="0"/>
              </w:numPr>
              <w:spacing w:before="0" w:after="0" w:line="360" w:lineRule="auto"/>
              <w:rPr>
                <w:rFonts w:ascii="Times New Roman" w:hAnsi="Times New Roman"/>
                <w:sz w:val="20"/>
                <w:lang w:val="en-US"/>
              </w:rPr>
            </w:pPr>
            <w:r>
              <w:rPr>
                <w:rFonts w:ascii="Times New Roman" w:hAnsi="Times New Roman"/>
                <w:sz w:val="20"/>
                <w:lang w:val="en-US"/>
              </w:rPr>
              <w:br/>
              <w:t>Ascertainment of MASLD</w:t>
            </w:r>
          </w:p>
          <w:p w14:paraId="357185BE" w14:textId="77777777" w:rsidR="00AB3BC0" w:rsidRDefault="00000000">
            <w:pPr>
              <w:widowControl w:val="0"/>
              <w:spacing w:line="360" w:lineRule="auto"/>
              <w:jc w:val="both"/>
              <w:rPr>
                <w:sz w:val="20"/>
                <w:lang w:val="en-US"/>
              </w:rPr>
            </w:pPr>
            <w:r>
              <w:rPr>
                <w:sz w:val="20"/>
                <w:lang w:val="en-US" w:eastAsia="zh-CN"/>
              </w:rPr>
              <w:t xml:space="preserve">We defined MASLD according to the latest international consensus as the presence of hepatic steatosis in combination with at least one of the following criteria: (1) overweight/obesity (BMI ≥ 25 kg/m²or elevated WC); (2) prediabetes (fasting glucose ≥ 100 mg/dL or hemoglobin A1c ≥ 5.7%); (3) hypertension (≥ 130/85 mmHg or use of antihypertensive medication); (4) hypertriglyceridaemia (≥ 1.7 mmol/L or lipid-lowering therapy); and (5) low high-density lipoprotein cholesterol (&lt;1.3 mmol/L in females, &lt;1.0 mmol/L in males). Hepatic steatosis was assessed using the fatty liver index with a cut-off of ≥ 60 </w:t>
            </w:r>
            <w:r>
              <w:rPr>
                <w:sz w:val="20"/>
                <w:lang w:val="en-US" w:eastAsia="zh-CN"/>
              </w:rPr>
              <w:fldChar w:fldCharType="begin"/>
            </w:r>
            <w:r>
              <w:rPr>
                <w:sz w:val="20"/>
                <w:lang w:val="en-US" w:eastAsia="zh-CN"/>
              </w:rPr>
              <w:instrText xml:space="preserve"> ADDIN ZOTERO_ITEM CSL_CITATION {"citationID":"kkOqKb5M","properties":{"unsorted":false,"formattedCitation":"\\super 4\\nosupersub{}","plainCitation":"4","noteIndex":0},"citationItems":[{"id":5419,"uris":["http://zotero.org/users/9834796/items/QQY6CXLL"],"itemData":{"id":5419,"type":"article-journal","abstract":"Background &amp; Aims: Hypertension is common in metabolic dysfunction-associated steatotic liver disease (MASLD), but its impact on long-term clinical outcomes and disease progression remains unclear. This study investigated the association of hypertension with the risk of adverse clinical outcomes and progression of liver stiffness/fibrosis in MASLD.\nMethods: Three multicenter large cohorts were analyzed: the UK Biobank (UKBB) cohort to assess the risk of adverse clinical outcomes, the VCTE-Prognosis cohort to assess liver stiffness/fibrosis progression, and the Paired Liver Biopsy cohort to assess histologic liver fibrosis progression. Adverse clinical outcomes were defined as all-cause mortality, cardiovascular events, and/or liver-related events. Liver stiffness progression was defined as an increase in liver stiffness measurement from &lt;10 kPa to &gt;−10 kPa or an increase of &gt;−20% for baseline liver stiffness measurement &gt;−10 kPa. Liver fibrosis progression was defined as a 1stage fibrosis stage increase. Cox regression and Kaplan-Meier analyses were used to evaluate the impact of baseline hypertension on outcomes.\nResults: A total of 107,316 adults from the UKBB cohort, 8,169 from the VCTE-Prognosis cohort, and 1,670 from the Paired Liver Biopsy cohort were included. The prevalence of hypertension was 37.1%, 33.4%, and 48.9%, respectively. In the UKBB cohort, hypertension was associated with long-term adverse clinical outcomes (adjusted hazard ratio [HR] 1.30, 95% CI 1.26-1.33, p &lt;0.001). In the VCTE-Prognosis cohort, hypertension was associated with a higher risk of liver stiffness progression (adjusted HR 1.57, 95% CI 1.30-1.90, p &lt;0.001), while in the Paired Liver Biopsy cohort, hypertension was associated with a greater risk of histologic liver fibrosis progression (adjusted HR 1.41, 95% CI 1.12-1.78, p = 0.004). Subgroup and sensitivity analyses supported these findings.\nConclusions: Hypertension is a modifiable risk factor that increases the risk of adverse clinical outcomes and progression of liver stiffness and fibrosis in MASLD.","citation-key":"zhouEffectHypertensionLongterm2025","container-title":"Journal of Hepatology","DOI":"10.1016/j.jhep.2025.08.017","ISSN":"01688278","journalAbbreviation":"Journal of Hepatology","language":"en","note":"TLDR: Hypertension is a modifiable risk factor and increases risk of adverse clinical outcomes and progression of liver stiffness/fibrosis in MASLD.","page":"S0168827825024535","source":"DOI.org (Crossref)","title":"Effect of hypertension on long-term adverse clinical outcomes and liver fibrosis progression in MASLD","author":[{"family":"Zhou","given":"Xiao-Dong"},{"family":"Lian","given":"Li-You"},{"family":"Chen","given":"Qin-Fen"},{"family":"Kim","given":"Seung Up"},{"family":"Cheuk-Fung Yip","given":"Terry"},{"family":"Petta","given":"Salvatore"},{"family":"Nakajima","given":"Atsushi"},{"family":"Tsochatzis","given":"Emmanuel"},{"family":"Shi","given":"Junping"},{"family":"Chan","given":"Wah-Kheong"},{"family":"Boursier","given":"Jérôme"},{"family":"Bugianesi","given":"Elisabetta"},{"family":"Yilmaz","given":"Yusuf"},{"family":"Hagström","given":"Hannes"},{"family":"Romero-Gomez","given":"Manuel"},{"family":"Alswat","given":"Khalid"},{"family":"Calleja","given":"José Luis"},{"family":"Takahashi","given":"Hirokazu"},{"family":"De Lédinghen","given":"Victor"},{"literal":"Shalimar"},{"family":"Castéra","given":"Laurent"},{"family":"Sanyal","given":"Arun J."},{"family":"Goh","given":"George Boon-Bee"},{"family":"Newsome","given":"Philip N."},{"family":"Fan","given":"Jian-Gao"},{"family":"Lai","given":"Michelle"},{"family":"Aggarwal","given":"Sandeep"},{"family":"Kechagias","given":"Stergios"},{"family":"Hiasa","given":"Yoichi"},{"family":"Dayal","given":"Bheesham"},{"family":"Zhang","given":"Zhongtao"},{"family":"George","given":"Jacob"},{"family":"El-Kassas","given":"Mohamed"},{"family":"Chen","given":"Jinjun"},{"family":"You","given":"Hong"},{"family":"Abu Dayyeh","given":"Barham K."},{"family":"Sheng","given":"Huiping"},{"family":"Adams","given":"Leon A."},{"family":"Wang","given":"Jing"},{"family":"He","given":"Fangping"},{"family":"Liang","given":"Huiqing"},{"family":"Yang","given":"Yong-Feng"},{"family":"Chi","given":"Xiaoling"},{"family":"Zhong","given":"Bihui"},{"family":"Bi","given":"Yan"},{"family":"Mi","given":"Yuqiang"},{"family":"Zhu","given":"Yongfen"},{"family":"Bai","given":"Rixing"},{"family":"Zhang","given":"Jing"},{"family":"Wang","given":"Bingyuan"},{"family":"Song","given":"Jinghai"},{"family":"Deng","given":"Hong"},{"family":"Xie","given":"Qing"},{"family":"Bai","given":"Lang"},{"family":"Xin","given":"Yongning"},{"family":"Xie","given":"Wen"},{"family":"Li","given":"Jie"},{"family":"Fournier-Poizat","given":"Céline"},{"family":"Zoncapè","given":"Mirko"},{"family":"Xia","given":"Tianyi"},{"family":"Ju","given":"Shenghong"},{"family":"Wu","given":"Chutian"},{"family":"Lee","given":"Hye Won"},{"family":"Wong","given":"Grace Lai-Hung"},{"family":"Armandi","given":"Angelo"},{"family":"Shang","given":"Ying"},{"family":"Pennisi","given":"Grazia"},{"family":"Llop","given":"Elba"},{"family":"Yoneda","given":"Masato"},{"family":"De Saint-Loup","given":"Marc"},{"family":"Canivet","given":"Clemence M."},{"family":"Lara-Romero","given":"Carmen"},{"family":"Gallego-Durán","given":"Rocio"},{"family":"Carrillo-Fernández","given":"Paloma"},{"family":"Asgharpour","given":"Amon"},{"family":"Teh","given":"Kevin Kim-Jun"},{"family":"Mahgoub","given":"Sara"},{"family":"Chan","given":"Mandy Sau-Wai"},{"family":"Lin","given":"Huapeng"},{"family":"Liu","given":"Wen-Yue"},{"family":"Song","given":"Sherlot Juan"},{"family":"Al-Hamoudi","given":"Waleed K."},{"family":"Isoda","given":"Hiroshi"},{"family":"Miyake","given":"Teruki"},{"family":"Satapathy","given":"Sanjaya K."},{"family":"Li","given":"Mengyi"},{"family":"Sharma","given":"Keshni"},{"family":"Emadeldeen","given":"Mohammed"},{"family":"Zhou","given":"Ling"},{"family":"Tong","given":"Xiaofei"},{"family":"Bazerbachi","given":"Fateh"},{"family":"Fan","given":"Xiaotang"},{"family":"Xiao","given":"Huanming"},{"family":"Ye","given":"Junzhao"},{"family":"Xu","given":"Liang"},{"family":"Wang","given":"Xiaolin"},{"family":"Targher","given":"Giovanni"},{"family":"Byrne","given":"Christopher D."},{"family":"Shapiro","given":"Michael D."},{"family":"Tacke","given":"Frank"},{"family":"Wai-Sun Wong","given":"Vincent"},{"family":"Zheng","given":"Ming-Hua"},{"family":"Sanyal","given":"Arun J."},{"family":"Nakajima","given":"Atsushi"},{"family":"Bugianesi","given":"Elisabetta"},{"family":"Tsochatzis","given":"Emmanuel"},{"family":"Goh","given":"George Boon-Bee"},{"family":"Hagström","given":"Hannes"},{"family":"Boursier","given":"Jérôme"},{"family":"Calleja","given":"José Luis"},{"family":"Romero-Gomez","given":"Manuel"},{"family":"Zheng","given":"Ming-Hua"},{"family":"Newsome","given":"Philip N."},{"family":"Petta","given":"Salvatore"},{"family":"Kim","given":"Seung Up"},{"family":"De Lédinghen","given":"Victor"},{"family":"Wong","given":"Vincent Wai-Sun"},{"family":"Chan","given":"Wah-Kheong"},{"family":"Abu Dayyeh","given":"Barham K."},{"family":"Dayal","given":"Bheesham"},{"family":"Zhong","given":"Bihui"},{"family":"Wang","given":"Bingyuan"},{"family":"Wu","given":"Chutian"},{"family":"He","given":"Fangping"},{"family":"Takahashi","given":"Hirokazu"},{"family":"Deng","given":"Hong"},{"family":"You","given":"Hong"},{"family":"Sheng","given":"Huiping"},{"family":"Liang","given":"Huiqing"},{"family":"George","given":"Jacob"},{"family":"Boursier","given":"Jérôme"},{"family":"Li","given":"Jie"},{"family":"Wang","given":"Jing"},{"family":"Zhang","given":"Jing"},{"family":"Song","given":"Jinghai"},{"family":"Chen","given":"Jinjun"},{"family":"Shi","given":"Junping"},{"family":"Alswat","given":"Khalid"},{"family":"Bai","given":"Lang"},{"family":"Adams","given":"Leon A."},{"family":"Zheng","given":"Ming-Hua"},{"family":"El-Kassas","given":"Mohamed"},{"family":"Xie","given":"Qing"},{"family":"Bai","given":"Rixing"},{"family":"Petta","given":"Salvatore"},{"family":"Aggarwal","given":"Sandeep"},{"literal":"Shalimar"},{"family":"Kechagias","given":"Stergios"},{"family":"Wong","given":"Vincent"},{"family":"Chan","given":"Wah Kheong"},{"family":"Xie","given":"Wen"},{"family":"Chi","given":"Xiaoling"},{"family":"Bi","given":"Yan"},{"family":"Hiasa","given":"Yoichi"},{"family":"Zhu","given":"Yongfen"},{"family":"Yang","given":"Yong-Feng"},{"family":"Xin","given":"Yongning"},{"family":"Mi","given":"Yuqiang"},{"family":"Yilmaz","given":"Yusuf"},{"family":"Zhang","given":"Zhongtao"}],"issued":{"date-parts":[["2025",8]]}}}],"schema":"https://github.com/citation-style-language/schema/raw/master/csl-citation.json"} </w:instrText>
            </w:r>
            <w:r>
              <w:rPr>
                <w:sz w:val="20"/>
                <w:lang w:val="en-US" w:eastAsia="zh-CN"/>
              </w:rPr>
              <w:fldChar w:fldCharType="separate"/>
            </w:r>
            <w:r>
              <w:rPr>
                <w:sz w:val="20"/>
                <w:lang w:val="en-US" w:eastAsia="zh-CN"/>
              </w:rPr>
              <w:t>4</w:t>
            </w:r>
            <w:r>
              <w:rPr>
                <w:sz w:val="20"/>
                <w:lang w:val="en-US" w:eastAsia="zh-CN"/>
              </w:rPr>
              <w:fldChar w:fldCharType="end"/>
            </w:r>
            <w:r>
              <w:rPr>
                <w:sz w:val="20"/>
                <w:lang w:val="en-US" w:eastAsia="zh-CN"/>
              </w:rPr>
              <w:t>.</w:t>
            </w:r>
          </w:p>
          <w:p w14:paraId="5F24976C" w14:textId="77777777" w:rsidR="00AB3BC0" w:rsidRDefault="00AB3BC0">
            <w:pPr>
              <w:widowControl w:val="0"/>
              <w:spacing w:line="360" w:lineRule="auto"/>
              <w:jc w:val="both"/>
              <w:rPr>
                <w:rFonts w:ascii="Arial" w:hAnsi="Arial" w:cs="Arial"/>
                <w:szCs w:val="24"/>
                <w:lang w:val="en-US"/>
              </w:rPr>
            </w:pPr>
          </w:p>
          <w:p w14:paraId="19D1FC6E" w14:textId="77777777" w:rsidR="00AB3BC0" w:rsidRDefault="00AB3BC0">
            <w:pPr>
              <w:tabs>
                <w:tab w:val="left" w:pos="5400"/>
              </w:tabs>
              <w:rPr>
                <w:sz w:val="20"/>
              </w:rPr>
            </w:pPr>
          </w:p>
        </w:tc>
      </w:tr>
      <w:tr w:rsidR="00AB3BC0" w14:paraId="352D7662" w14:textId="77777777">
        <w:trPr>
          <w:trHeight w:val="294"/>
        </w:trPr>
        <w:tc>
          <w:tcPr>
            <w:tcW w:w="1310" w:type="dxa"/>
          </w:tcPr>
          <w:p w14:paraId="19941543" w14:textId="77777777" w:rsidR="00AB3BC0" w:rsidRDefault="00000000">
            <w:pPr>
              <w:tabs>
                <w:tab w:val="left" w:pos="5400"/>
              </w:tabs>
              <w:rPr>
                <w:bCs/>
                <w:sz w:val="20"/>
              </w:rPr>
            </w:pPr>
            <w:bookmarkStart w:id="31" w:name="bold17"/>
            <w:bookmarkStart w:id="32" w:name="italic18"/>
            <w:bookmarkEnd w:id="29"/>
            <w:bookmarkEnd w:id="30"/>
            <w:r>
              <w:rPr>
                <w:bCs/>
                <w:sz w:val="20"/>
              </w:rPr>
              <w:lastRenderedPageBreak/>
              <w:t>Data sources/</w:t>
            </w:r>
            <w:bookmarkStart w:id="33" w:name="italic19"/>
            <w:bookmarkStart w:id="34" w:name="bold18"/>
            <w:bookmarkEnd w:id="31"/>
            <w:bookmarkEnd w:id="32"/>
            <w:r>
              <w:rPr>
                <w:bCs/>
                <w:sz w:val="20"/>
              </w:rPr>
              <w:t xml:space="preserve"> measurement</w:t>
            </w:r>
            <w:bookmarkEnd w:id="33"/>
            <w:bookmarkEnd w:id="34"/>
          </w:p>
        </w:tc>
        <w:tc>
          <w:tcPr>
            <w:tcW w:w="637" w:type="dxa"/>
            <w:gridSpan w:val="2"/>
          </w:tcPr>
          <w:p w14:paraId="610059DE" w14:textId="77777777" w:rsidR="00AB3BC0" w:rsidRDefault="00000000">
            <w:pPr>
              <w:tabs>
                <w:tab w:val="left" w:pos="5400"/>
              </w:tabs>
              <w:jc w:val="center"/>
              <w:rPr>
                <w:sz w:val="20"/>
              </w:rPr>
            </w:pPr>
            <w:r>
              <w:rPr>
                <w:sz w:val="20"/>
              </w:rPr>
              <w:t>8</w:t>
            </w:r>
            <w:bookmarkStart w:id="35" w:name="bold19"/>
            <w:r>
              <w:rPr>
                <w:bCs/>
                <w:sz w:val="20"/>
              </w:rPr>
              <w:t>*</w:t>
            </w:r>
            <w:bookmarkEnd w:id="35"/>
          </w:p>
        </w:tc>
        <w:tc>
          <w:tcPr>
            <w:tcW w:w="4650" w:type="dxa"/>
            <w:gridSpan w:val="3"/>
          </w:tcPr>
          <w:p w14:paraId="65849222" w14:textId="77777777" w:rsidR="00AB3BC0" w:rsidRDefault="00000000">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550" w:type="dxa"/>
          </w:tcPr>
          <w:p w14:paraId="29E6FF30" w14:textId="519DA3ED" w:rsidR="00AB3BC0" w:rsidRPr="00C51B6A" w:rsidRDefault="00C51B6A">
            <w:pPr>
              <w:tabs>
                <w:tab w:val="left" w:pos="5400"/>
              </w:tabs>
              <w:rPr>
                <w:rFonts w:eastAsiaTheme="minorEastAsia"/>
                <w:i/>
                <w:sz w:val="20"/>
                <w:lang w:val="en-US" w:eastAsia="zh-CN"/>
              </w:rPr>
            </w:pPr>
            <w:r>
              <w:rPr>
                <w:rFonts w:eastAsiaTheme="minorEastAsia" w:hint="eastAsia"/>
                <w:sz w:val="20"/>
                <w:lang w:val="en-US" w:eastAsia="zh-CN"/>
              </w:rPr>
              <w:t xml:space="preserve">6, </w:t>
            </w:r>
            <w:r w:rsidR="00000000">
              <w:rPr>
                <w:rFonts w:hint="eastAsia"/>
                <w:sz w:val="20"/>
                <w:lang w:val="en-US" w:eastAsia="zh-CN"/>
              </w:rPr>
              <w:t>7,8</w:t>
            </w:r>
          </w:p>
        </w:tc>
        <w:tc>
          <w:tcPr>
            <w:tcW w:w="7845" w:type="dxa"/>
          </w:tcPr>
          <w:p w14:paraId="1DD8B04D" w14:textId="77777777" w:rsidR="00AB3BC0" w:rsidRDefault="00000000">
            <w:pPr>
              <w:pStyle w:val="Heading3"/>
              <w:numPr>
                <w:ilvl w:val="2"/>
                <w:numId w:val="0"/>
              </w:numPr>
              <w:spacing w:before="0" w:after="0" w:line="360" w:lineRule="auto"/>
              <w:rPr>
                <w:rFonts w:ascii="Times New Roman" w:hAnsi="Times New Roman"/>
                <w:sz w:val="20"/>
                <w:lang w:val="en-US"/>
              </w:rPr>
            </w:pPr>
            <w:r>
              <w:rPr>
                <w:rFonts w:ascii="Times New Roman" w:hAnsi="Times New Roman"/>
                <w:sz w:val="20"/>
                <w:lang w:val="en-US" w:eastAsia="zh-CN"/>
              </w:rPr>
              <w:t>At baseline, detailed information on sociodemographic characteristics, lifestyle factors, medical history, anthropometry measures and laboratory tests were collected. Participants were followed through linkage to hospital inpatient records, cancer registries, and national death registries.</w:t>
            </w:r>
            <w:r>
              <w:rPr>
                <w:rFonts w:ascii="Times New Roman" w:hAnsi="Times New Roman"/>
                <w:sz w:val="20"/>
                <w:lang w:val="en-US" w:eastAsia="zh-CN"/>
              </w:rPr>
              <w:br/>
            </w:r>
            <w:r>
              <w:rPr>
                <w:rFonts w:ascii="Times New Roman" w:hAnsi="Times New Roman"/>
                <w:sz w:val="20"/>
                <w:lang w:val="en-US" w:eastAsia="zh-CN"/>
              </w:rPr>
              <w:br/>
            </w:r>
            <w:r>
              <w:rPr>
                <w:rFonts w:ascii="Times New Roman" w:hAnsi="Times New Roman"/>
                <w:sz w:val="20"/>
                <w:lang w:val="en-US"/>
              </w:rPr>
              <w:t>Ascertainment of MASLD</w:t>
            </w:r>
          </w:p>
          <w:p w14:paraId="1CF047FA" w14:textId="77777777" w:rsidR="00AB3BC0" w:rsidRDefault="00000000">
            <w:pPr>
              <w:widowControl w:val="0"/>
              <w:spacing w:line="360" w:lineRule="auto"/>
              <w:jc w:val="both"/>
              <w:rPr>
                <w:sz w:val="20"/>
                <w:lang w:val="en-US"/>
              </w:rPr>
            </w:pPr>
            <w:r>
              <w:rPr>
                <w:sz w:val="20"/>
                <w:lang w:val="en-US" w:eastAsia="zh-CN"/>
              </w:rPr>
              <w:t xml:space="preserve">We defined MASLD according to the latest international consensus as the presence of hepatic steatosis in combination with at least one of the following criteria: (1) overweight/obesity (BMI ≥ 25 kg/m²or elevated WC); (2) prediabetes (fasting glucose ≥ 100 mg/dL or hemoglobin A1c ≥ 5.7%); (3) hypertension (≥ 130/85 mmHg or use of antihypertensive medication); (4) hypertriglyceridaemia (≥ 1.7 mmol/L or lipid-lowering therapy); and (5) low high-density lipoprotein cholesterol (&lt;1.3 mmol/L in females, &lt;1.0 mmol/L in males). Hepatic steatosis was assessed using the fatty liver index with a cut-off of ≥ 60 </w:t>
            </w:r>
            <w:r>
              <w:rPr>
                <w:sz w:val="20"/>
                <w:lang w:val="en-US" w:eastAsia="zh-CN"/>
              </w:rPr>
              <w:fldChar w:fldCharType="begin"/>
            </w:r>
            <w:r>
              <w:rPr>
                <w:sz w:val="20"/>
                <w:lang w:val="en-US" w:eastAsia="zh-CN"/>
              </w:rPr>
              <w:instrText xml:space="preserve"> ADDIN ZOTERO_ITEM CSL_CITATION {"citationID":"kkOqKb5M","properties":{"unsorted":false,"formattedCitation":"\\super 4\\nosupersub{}","plainCitation":"4","noteIndex":0},"citationItems":[{"id":5419,"uris":["http://zotero.org/users/9834796/items/QQY6CXLL"],"itemData":{"id":5419,"type":"article-journal","abstract":"Background &amp; Aims: Hypertension is common in metabolic dysfunction-associated steatotic liver disease (MASLD), but its impact on long-term clinical outcomes and disease progression remains unclear. This study investigated the association of hypertension with the risk of adverse clinical outcomes and progression of liver stiffness/fibrosis in MASLD.\nMethods: Three multicenter large cohorts were analyzed: the UK Biobank (UKBB) cohort to assess the risk of adverse clinical outcomes, the VCTE-Prognosis cohort to assess liver stiffness/fibrosis progression, and the Paired Liver Biopsy cohort to assess histologic liver fibrosis progression. Adverse clinical outcomes were defined as all-cause mortality, cardiovascular events, and/or liver-related events. Liver stiffness progression was defined as an increase in liver stiffness measurement from &lt;10 kPa to &gt;−10 kPa or an increase of &gt;−20% for baseline liver stiffness measurement &gt;−10 kPa. Liver fibrosis progression was defined as a 1stage fibrosis stage increase. Cox regression and Kaplan-Meier analyses were used to evaluate the impact of baseline hypertension on outcomes.\nResults: A total of 107,316 adults from the UKBB cohort, 8,169 from the VCTE-Prognosis cohort, and 1,670 from the Paired Liver Biopsy cohort were included. The prevalence of hypertension was 37.1%, 33.4%, and 48.9%, respectively. In the UKBB cohort, hypertension was associated with long-term adverse clinical outcomes (adjusted hazard ratio [HR] 1.30, 95% CI 1.26-1.33, p &lt;0.001). In the VCTE-Prognosis cohort, hypertension was associated with a higher risk of liver stiffness progression (adjusted HR 1.57, 95% CI 1.30-1.90, p &lt;0.001), while in the Paired Liver Biopsy cohort, hypertension was associated with a greater risk of histologic liver fibrosis progression (adjusted HR 1.41, 95% CI 1.12-1.78, p = 0.004). Subgroup and sensitivity analyses supported these findings.\nConclusions: Hypertension is a modifiable risk factor that increases the risk of adverse clinical outcomes and progression of liver stiffness and fibrosis in MASLD.","citation-key":"zhouEffectHypertensionLongterm2025","container-title":"Journal of Hepatology","DOI":"10.1016/j.jhep.2025.08.017","ISSN":"01688278","journalAbbreviation":"Journal of Hepatology","language":"en","note":"TLDR: Hypertension is a modifiable risk factor and increases risk of adverse clinical outcomes and progression of liver stiffness/fibrosis in MASLD.","page":"S0168827825024535","source":"DOI.org (Crossref)","title":"Effect of hypertension on long-term adverse clinical outcomes and liver fibrosis progression in MASLD","author":[{"family":"Zhou","given":"Xiao-Dong"},{"family":"Lian","given":"Li-You"},{"family":"Chen","given":"Qin-Fen"},{"family":"Kim","given":"Seung Up"},{"family":"Cheuk-Fung Yip","given":"Terry"},{"family":"Petta","given":"Salvatore"},{"family":"Nakajima","given":"Atsushi"},{"family":"Tsochatzis","given":"Emmanuel"},{"family":"Shi","given":"Junping"},{"family":"Chan","given":"Wah-Kheong"},{"family":"Boursier","given":"Jérôme"},{"family":"Bugianesi","given":"Elisabetta"},{"family":"Yilmaz","given":"Yusuf"},{"family":"Hagström","given":"Hannes"},{"family":"Romero-Gomez","given":"Manuel"},{"family":"Alswat","given":"Khalid"},{"family":"Calleja","given":"José Luis"},{"family":"Takahashi","given":"Hirokazu"},{"family":"De Lédinghen","given":"Victor"},{"literal":"Shalimar"},{"family":"Castéra","given":"Laurent"},{"family":"Sanyal","given":"Arun J."},{"family":"Goh","given":"George Boon-Bee"},{"family":"Newsome","given":"Philip N."},{"family":"Fan","given":"Jian-Gao"},{"family":"Lai","given":"Michelle"},{"family":"Aggarwal","given":"Sandeep"},{"family":"Kechagias","given":"Stergios"},{"family":"Hiasa","given":"Yoichi"},{"family":"Dayal","given":"Bheesham"},{"family":"Zhang","given":"Zhongtao"},{"family":"George","given":"Jacob"},{"family":"El-Kassas","given":"Mohamed"},{"family":"Chen","given":"Jinjun"},{"family":"You","given":"Hong"},{"family":"Abu Dayyeh","given":"Barham K."},{"family":"Sheng","given":"Huiping"},{"family":"Adams","given":"Leon A."},{"family":"Wang","given":"Jing"},{"family":"He","given":"Fangping"},{"family":"Liang","given":"Huiqing"},{"family":"Yang","given":"Yong-Feng"},{"family":"Chi","given":"Xiaoling"},{"family":"Zhong","given":"Bihui"},{"family":"Bi","given":"Yan"},{"family":"Mi","given":"Yuqiang"},{"family":"Zhu","given":"Yongfen"},{"family":"Bai","given":"Rixing"},{"family":"Zhang","given":"Jing"},{"family":"Wang","given":"Bingyuan"},{"family":"Song","given":"Jinghai"},{"family":"Deng","given":"Hong"},{"family":"Xie","given":"Qing"},{"family":"Bai","given":"Lang"},{"family":"Xin","given":"Yongning"},{"family":"Xie","given":"Wen"},{"family":"Li","given":"Jie"},{"family":"Fournier-Poizat","given":"Céline"},{"family":"Zoncapè","given":"Mirko"},{"family":"Xia","given":"Tianyi"},{"family":"Ju","given":"Shenghong"},{"family":"Wu","given":"Chutian"},{"family":"Lee","given":"Hye Won"},{"family":"Wong","given":"Grace Lai-Hung"},{"family":"Armandi","given":"Angelo"},{"family":"Shang","given":"Ying"},{"family":"Pennisi","given":"Grazia"},{"family":"Llop","given":"Elba"},{"family":"Yoneda","given":"Masato"},{"family":"De Saint-Loup","given":"Marc"},{"family":"Canivet","given":"Clemence M."},{"family":"Lara-Romero","given":"Carmen"},{"family":"Gallego-Durán","given":"Rocio"},{"family":"Carrillo-Fernández","given":"Paloma"},{"family":"Asgharpour","given":"Amon"},{"family":"Teh","given":"Kevin Kim-Jun"},{"family":"Mahgoub","given":"Sara"},{"family":"Chan","given":"Mandy Sau-Wai"},{"family":"Lin","given":"Huapeng"},{"family":"Liu","given":"Wen-Yue"},{"family":"Song","given":"Sherlot Juan"},{"family":"Al-Hamoudi","given":"Waleed K."},{"family":"Isoda","given":"Hiroshi"},{"family":"Miyake","given":"Teruki"},{"family":"Satapathy","given":"Sanjaya K."},{"family":"Li","given":"Mengyi"},{"family":"Sharma","given":"Keshni"},{"family":"Emadeldeen","given":"Mohammed"},{"family":"Zhou","given":"Ling"},{"family":"Tong","given":"Xiaofei"},{"family":"Bazerbachi","given":"Fateh"},{"family":"Fan","given":"Xiaotang"},{"family":"Xiao","given":"Huanming"},{"family":"Ye","given":"Junzhao"},{"family":"Xu","given":"Liang"},{"family":"Wang","given":"Xiaolin"},{"family":"Targher","given":"Giovanni"},{"family":"Byrne","given":"Christopher D."},{"family":"Shapiro","given":"Michael D."},{"family":"Tacke","given":"Frank"},{"family":"Wai-Sun Wong","given":"Vincent"},{"family":"Zheng","given":"Ming-Hua"},{"family":"Sanyal","given":"Arun J."},{"family":"Nakajima","given":"Atsushi"},{"family":"Bugianesi","given":"Elisabetta"},{"family":"Tsochatzis","given":"Emmanuel"},{"family":"Goh","given":"George Boon-Bee"},{"family":"Hagström","given":"Hannes"},{"family":"Boursier","given":"Jérôme"},{"family":"Calleja","given":"José Luis"},{"family":"Romero-Gomez","given":"Manuel"},{"family":"Zheng","given":"Ming-Hua"},{"family":"Newsome","given":"Philip N."},{"family":"Petta","given":"Salvatore"},{"family":"Kim","given":"Seung Up"},{"family":"De Lédinghen","given":"Victor"},{"family":"Wong","given":"Vincent Wai-Sun"},{"family":"Chan","given":"Wah-Kheong"},{"family":"Abu Dayyeh","given":"Barham K."},{"family":"Dayal","given":"Bheesham"},{"family":"Zhong","given":"Bihui"},{"family":"Wang","given":"Bingyuan"},{"family":"Wu","given":"Chutian"},{"family":"He","given":"Fangping"},{"family":"Takahashi","given":"Hirokazu"},{"family":"Deng","given":"Hong"},{"family":"You","given":"Hong"},{"family":"Sheng","given":"Huiping"},{"family":"Liang","given":"Huiqing"},{"family":"George","given":"Jacob"},{"family":"Boursier","given":"Jérôme"},{"family":"Li","given":"Jie"},{"family":"Wang","given":"Jing"},{"family":"Zhang","given":"Jing"},{"family":"Song","given":"Jinghai"},{"family":"Chen","given":"Jinjun"},{"family":"Shi","given":"Junping"},{"family":"Alswat","given":"Khalid"},{"family":"Bai","given":"Lang"},{"family":"Adams","given":"Leon A."},{"family":"Zheng","given":"Ming-Hua"},{"family":"El-Kassas","given":"Mohamed"},{"family":"Xie","given":"Qing"},{"family":"Bai","given":"Rixing"},{"family":"Petta","given":"Salvatore"},{"family":"Aggarwal","given":"Sandeep"},{"literal":"Shalimar"},{"family":"Kechagias","given":"Stergios"},{"family":"Wong","given":"Vincent"},{"family":"Chan","given":"Wah Kheong"},{"family":"Xie","given":"Wen"},{"family":"Chi","given":"Xiaoling"},{"family":"Bi","given":"Yan"},{"family":"Hiasa","given":"Yoichi"},{"family":"Zhu","given":"Yongfen"},{"family":"Yang","given":"Yong-Feng"},{"family":"Xin","given":"Yongning"},{"family":"Mi","given":"Yuqiang"},{"family":"Yilmaz","given":"Yusuf"},{"family":"Zhang","given":"Zhongtao"}],"issued":{"date-parts":[["2025",8]]}}}],"schema":"https://github.com/citation-style-language/schema/raw/master/csl-citation.json"} </w:instrText>
            </w:r>
            <w:r>
              <w:rPr>
                <w:sz w:val="20"/>
                <w:lang w:val="en-US" w:eastAsia="zh-CN"/>
              </w:rPr>
              <w:fldChar w:fldCharType="separate"/>
            </w:r>
            <w:r>
              <w:rPr>
                <w:sz w:val="20"/>
                <w:lang w:val="en-US" w:eastAsia="zh-CN"/>
              </w:rPr>
              <w:t>4</w:t>
            </w:r>
            <w:r>
              <w:rPr>
                <w:sz w:val="20"/>
                <w:lang w:val="en-US" w:eastAsia="zh-CN"/>
              </w:rPr>
              <w:fldChar w:fldCharType="end"/>
            </w:r>
            <w:r>
              <w:rPr>
                <w:sz w:val="20"/>
                <w:lang w:val="en-US" w:eastAsia="zh-CN"/>
              </w:rPr>
              <w:t>.</w:t>
            </w:r>
          </w:p>
          <w:p w14:paraId="4905F8AB" w14:textId="77777777" w:rsidR="00AB3BC0" w:rsidRDefault="00000000">
            <w:pPr>
              <w:pStyle w:val="Heading3"/>
              <w:numPr>
                <w:ilvl w:val="2"/>
                <w:numId w:val="0"/>
              </w:numPr>
              <w:spacing w:before="0" w:after="0" w:line="360" w:lineRule="auto"/>
              <w:rPr>
                <w:rFonts w:ascii="Times New Roman" w:hAnsi="Times New Roman"/>
                <w:sz w:val="20"/>
                <w:lang w:val="en-US"/>
              </w:rPr>
            </w:pPr>
            <w:r>
              <w:rPr>
                <w:rFonts w:ascii="Times New Roman" w:hAnsi="Times New Roman"/>
                <w:sz w:val="20"/>
                <w:lang w:val="en-US"/>
              </w:rPr>
              <w:t>Definition of comorbidities</w:t>
            </w:r>
          </w:p>
          <w:p w14:paraId="05219077" w14:textId="77777777" w:rsidR="00AB3BC0" w:rsidRDefault="00000000">
            <w:pPr>
              <w:widowControl w:val="0"/>
              <w:spacing w:line="360" w:lineRule="auto"/>
              <w:jc w:val="both"/>
              <w:rPr>
                <w:sz w:val="20"/>
                <w:lang w:val="en-US"/>
              </w:rPr>
            </w:pPr>
            <w:r>
              <w:rPr>
                <w:sz w:val="20"/>
                <w:lang w:val="en-US" w:eastAsia="zh-CN"/>
              </w:rPr>
              <w:t>Comorbidities were phenotyped using hospital inpatient records. The prespecified list of comorbidities was derived from a Delphi consensus framework for multimorbidity research</w:t>
            </w:r>
            <w:r>
              <w:rPr>
                <w:sz w:val="20"/>
                <w:lang w:val="en-US" w:eastAsia="zh-CN"/>
              </w:rPr>
              <w:fldChar w:fldCharType="begin"/>
            </w:r>
            <w:r>
              <w:rPr>
                <w:sz w:val="20"/>
                <w:lang w:val="en-US" w:eastAsia="zh-CN"/>
              </w:rPr>
              <w:instrText xml:space="preserve"> ADDIN ZOTERO_ITEM CSL_CITATION {"citationID":"kKzpISry","properties":{"unsorted":false,"formattedCitation":"\\super 20\\nosupersub{}","plainCitation":"20","noteIndex":0},"citationItems":[{"id":5958,"uris":["http://zotero.org/users/9834796/items/N7MK9Y9E"],"itemData":{"id":5958,"type":"article-journal","abstract":"Objective To develop international consensus on the definition and measurement of multimorbidity in research.Design Delphi consensus study.Setting International consensus; data collected in three online rounds from participants between 30 November 2020 and 18 May 2021.Participants Professionals interested in multimorbidity and people with long term conditions were recruited to professional and public panels.Results 150 professional and 25 public participants completed the first survey round. Response rates for rounds 2/3 were 83%/92% for professionals and 88%/93% in the public panel, respectively. Across both panels, the consensus was that multimorbidity should be defined as two or more long term conditions. Complex multimorbidity was perceived to be a useful concept, but the panels were unable to agree on how to define it. Both panels agreed that conditions should be included in a multimorbidity measure if they were one or more of the following: currently active; permanent in their effects; requiring current treatment, care, or therapy; requiring surveillance; or relapsing-remitting conditions requiring ongoing care. Consensus was reached for 24 conditions to always include in multimorbidity measures, and 35 conditions to usually include unless a good reason not to existed. Simple counts were preferred for estimating prevalence and examining clustering or trajectories, and weighted measures were preferred for risk adjustment and outcome prediction.Conclusions Previous multimorbidity research is limited by inconsistent definitions and approaches to measuring multimorbidity. This Delphi study identifies professional and public panel consensus guidance to facilitate consistency of definition and measurement, and to improve study comparability and reproducibility.","citation-key":"hoMeasuringMultimorbidityResearch2022","container-title":"BMJ Medicine","DOI":"10.1136/bmjmed-2022-000247","ISSN":"2754-0413","issue":"1","journalAbbreviation":"bmjmed","language":"en","license":"This is an open access article distributed in accordance with the Creative Commons Attribution 4.0 Unported (CC BY 4.0) license","PMID":"10.1136/bmjmed-2022-000247","publisher":"BMJ Publishing Group Ltd","source":"bmjmedicine.bmj.com","title":"Measuring multimorbidity in research: Delphi consensus study","title-short":"Measuring multimorbidity in research","URL":"https://bmjmedicine.bmj.com/content/1/1/e000247","volume":"1","author":[{"family":"Ho","given":"Iris S. S."},{"family":"Azcoaga-Lorenzo","given":"Amaya"},{"family":"Akbari","given":"Ashley"},{"family":"Davies","given":"Jim"},{"family":"Khunti","given":"Kamlesh"},{"family":"Kadam","given":"Umesh T."},{"family":"Lyons","given":"Ronan A."},{"family":"McCowan","given":"Colin"},{"family":"Mercer","given":"Stewart W."},{"family":"Nirantharakumar","given":"Krishnarajah"},{"family":"Staniszewska","given":"Sophie"},{"family":"Guthrie","given":"Bruce"}],"accessed":{"date-parts":[["2026",3,24]]},"issued":{"date-parts":[["2022",7,27]]}}}],"schema":"https://github.com/citation-style-language/schema/raw/master/csl-citation.json"} </w:instrText>
            </w:r>
            <w:r>
              <w:rPr>
                <w:sz w:val="20"/>
                <w:lang w:val="en-US" w:eastAsia="zh-CN"/>
              </w:rPr>
              <w:fldChar w:fldCharType="separate"/>
            </w:r>
            <w:r>
              <w:rPr>
                <w:sz w:val="20"/>
                <w:lang w:val="en-US" w:eastAsia="zh-CN"/>
              </w:rPr>
              <w:t>20</w:t>
            </w:r>
            <w:r>
              <w:rPr>
                <w:sz w:val="20"/>
                <w:lang w:val="en-US" w:eastAsia="zh-CN"/>
              </w:rPr>
              <w:fldChar w:fldCharType="end"/>
            </w:r>
            <w:r>
              <w:rPr>
                <w:sz w:val="20"/>
                <w:lang w:val="en-US" w:eastAsia="zh-CN"/>
              </w:rPr>
              <w:t xml:space="preserve"> and a MASLD study </w:t>
            </w:r>
            <w:r>
              <w:rPr>
                <w:sz w:val="20"/>
                <w:lang w:val="en-US" w:eastAsia="zh-CN"/>
              </w:rPr>
              <w:fldChar w:fldCharType="begin"/>
            </w:r>
            <w:r>
              <w:rPr>
                <w:sz w:val="20"/>
                <w:lang w:val="en-US" w:eastAsia="zh-CN"/>
              </w:rPr>
              <w:instrText xml:space="preserve"> ADDIN ZOTERO_ITEM CSL_CITATION {"citationID":"0wuNqltR","properties":{"unsorted":false,"formattedCitation":"\\super 21\\nosupersub{}","plainCitation":"21","noteIndex":0},"citationItems":[{"id":5851,"uris":["http://zotero.org/users/9834796/items/CTN4TY8G"],"itemData":{"id":5851,"type":"article-journal","abstract":"Context\nMetabolic dysfunction–associated steatotic liver disease (MASLD) affects one third of the world's population, but its associations with extrahepatic multimorbidity and mortality remain unclear.\n\nObjective\nThis study aimed to estimate the impact of MASLD, with and without multimorbidity, on all-cause mortality.\n\nMethods\nWe analyzed data from the UK Biobank. MASLD was identified as a fatty liver index </w:instrText>
            </w:r>
            <w:r>
              <w:rPr>
                <w:rFonts w:hint="eastAsia"/>
                <w:sz w:val="20"/>
                <w:lang w:val="en-US" w:eastAsia="zh-CN"/>
              </w:rPr>
              <w:instrText>≥</w:instrText>
            </w:r>
            <w:r>
              <w:rPr>
                <w:sz w:val="20"/>
                <w:lang w:val="en-US" w:eastAsia="zh-CN"/>
              </w:rPr>
              <w:instrText xml:space="preserve">60 and presence of cardiometabolic risk factors. Multimorbidity was defined as </w:instrText>
            </w:r>
            <w:r>
              <w:rPr>
                <w:rFonts w:hint="eastAsia"/>
                <w:sz w:val="20"/>
                <w:lang w:val="en-US" w:eastAsia="zh-CN"/>
              </w:rPr>
              <w:instrText>≥</w:instrText>
            </w:r>
            <w:r>
              <w:rPr>
                <w:sz w:val="20"/>
                <w:lang w:val="en-US" w:eastAsia="zh-CN"/>
              </w:rPr>
              <w:instrText>2 of the long-term conditions (LTCs) in a prespecified list of 47 extrahepatic conditions. Hazard ratios (HRs) from adjusted Cox models quantified the association between MASLD, multimorbidity and all-cause mortality.\n\nResults\nOf the 438 840 participants, 131 020 (29.9%) had MASLD at baseline. The participants with MASLD at baseline had a higher prevalence of multimorbidity than those without (21.3% vs 14.4%). In addition to cardiometabolic risk factors, MASLD was strongly associated with several LTCs, particularly metabolic, cardiovascular, cancers, kidney, mental/behavioral, and respiratory diseases. During a median follow-up of 13 years, MASLD was associated with higher mortality (HR 1.16; 95% CI 1.13, 1.19), with stronger associations in females and in those with low LTC counts (</w:instrText>
            </w:r>
            <w:r>
              <w:rPr>
                <w:rFonts w:hint="eastAsia"/>
                <w:sz w:val="20"/>
                <w:lang w:val="en-US" w:eastAsia="zh-CN"/>
              </w:rPr>
              <w:instrText>≤</w:instrText>
            </w:r>
            <w:r>
              <w:rPr>
                <w:sz w:val="20"/>
                <w:lang w:val="en-US" w:eastAsia="zh-CN"/>
              </w:rPr>
              <w:instrText xml:space="preserve">3 LTCs). Each additional LTC at baseline was associated with 30% and 38% higher mortality in MASLD (HR 1.30; 1.29, 1.32) and non-MASLD (HR 1.38; 1.37, 1.40) populations, respectively. Among the 47 LTCs, 16 were associated with increased mortality in people with MASLD.\n\nConclusion\nThose with MASLD exhibited a higher prevalence of extrahepatic multimorbidity and a 16% higher rate of mortality than those without, underscoring the impact of liver steatosis on mortality and highlighting the need to target LTCs to improve outcomes and reduce health care burdens.","citation-key":"fengRelationshipsMASLDExtrahepatic2025","container-title":"The Journal of Clinical Endocrinology and Metabolism","DOI":"10.1210/clinem/dgaf342","ISSN":"0021-972X","issue":"1","journalAbbreviation":"J Clin Endocrinol Metab","page":"e58-e69","PMID":"40493745","PMCID":"PMC12712988","source":"PubMed Central","title":"The Relationships Between MASLD, Extrahepatic Multimorbidity, and All-Cause Mortality in the UK Biobank Cohort","volume":"111","author":[{"family":"Feng","given":"Qi"},{"family":"Izzi-Engbeaya","given":"Chioma N"},{"family":"Branch","given":"Andrea D"},{"family":"Mullish","given":"Benjamin H"},{"family":"Manousou","given":"Pinelopi"},{"family":"Woodward","given":"Mark"}],"issued":{"date-parts":[["2025",6,10]]}}}],"schema":"https://github.com/citation-style-language/schema/raw/master/csl-citation.json"} </w:instrText>
            </w:r>
            <w:r>
              <w:rPr>
                <w:sz w:val="20"/>
                <w:lang w:val="en-US" w:eastAsia="zh-CN"/>
              </w:rPr>
              <w:fldChar w:fldCharType="separate"/>
            </w:r>
            <w:r>
              <w:rPr>
                <w:sz w:val="20"/>
                <w:lang w:val="en-US" w:eastAsia="zh-CN"/>
              </w:rPr>
              <w:t>21</w:t>
            </w:r>
            <w:r>
              <w:rPr>
                <w:sz w:val="20"/>
                <w:lang w:val="en-US" w:eastAsia="zh-CN"/>
              </w:rPr>
              <w:fldChar w:fldCharType="end"/>
            </w:r>
            <w:r>
              <w:rPr>
                <w:sz w:val="20"/>
                <w:lang w:val="en-US" w:eastAsia="zh-CN"/>
              </w:rPr>
              <w:t xml:space="preserve">. Four additional MASLD-relevant metabolic conditions were included, including diabetes, hypertension, hyperlipidemia, and obesity. The final comorbidity set comprised 51 conditions, which were recorded using ICD-10 codes (Supplementary Table S1). Comorbidity count and CCI were quantified using the established coding algorithm (Supplementary Table S2) </w:t>
            </w:r>
            <w:r>
              <w:rPr>
                <w:sz w:val="20"/>
                <w:lang w:val="en-US" w:eastAsia="zh-CN"/>
              </w:rPr>
              <w:fldChar w:fldCharType="begin"/>
            </w:r>
            <w:r>
              <w:rPr>
                <w:sz w:val="20"/>
                <w:lang w:val="en-US" w:eastAsia="zh-CN"/>
              </w:rPr>
              <w:instrText xml:space="preserve"> ADDIN ZOTERO_ITEM CSL_CITATION {"citationID":"atJOPmA4","properties":{"unsorted":false,"formattedCitation":"\\super 22\\nosupersub{}","plainCitation":"22","noteIndex":0},"citationItems":[{"id":5864,"uris":["http://zotero.org/users/9834796/items/293IVQVK"],"itemData":{"id":5864,"type":"article-journal","abstract":"Objective: To determine the accuracy of International Statistical Classiﬁcation of Disease and Related Health Problems, 10th Revision (ICD-10) coding system in identifying comorbidities and infectious conditions using data from a Thai university hospital administrative database. Material and Method: A retrospective cross-sectional study was conducted among patients hospitalized in six general medicine wards at Siriraj Hospital. ICD-10 code data was identiﬁed and retrieved directly from the hospital administrative database. Patient comorbidities were captured using the ICD-10 coding algorithm for the Charlson comorbidity index. Infectious conditions were captured using the groups of ICD-10 diagnostic codes that were carefully prepared by two independent infectious disease specialists. Accuracy of ICD-10 codes combined with microbiological data for diagnosis of urinary tract infection (UTI) and bloodstream infection (BSI) was evaluated. Clinical data gathered from chart review was considered the gold standard in this study.\nResults: Between February 1 and May 31, 2013, a chart review of 546 hospitalization records was conducted. The mean age of hospitalized patients was 62.8±17.8 years and 65.9% of patients were female. Median length of stay [range] was 10.0 [1.0-353.0] days and hospital mortality was 21.8%. Conditions with ICD-10 codes that had good sensitivity (90% or higher) were diabetes mellitus and HIV infection. Conditions with ICD-10 codes that had good speciﬁcity (90% or higher) were cerebrovascular disease, chronic lung disease, diabetes mellitus, cancer, HIV infection, and all infectious conditions. By combining ICD-10 codes with microbiological results, sensitivity increased from 49.5 to 66% for UTI and from 78.3 to 92.8% for BSI.\nConclusion: The ICD-10 coding algorithm is reliable only in some selected conditions, including underlying diabetes mellitus and HIV infection. Combining microbiological results with ICD-10 codes increased sensitivity of ICD-10 codes for identifying BSI. Future research is needed to improve the accuracy of hospital administrative coding system in Thailand.","citation-key":"rattanaumpawanAccuracyICD10Coding","language":"en","source":"Zotero","title":"Accuracy of ICD-10 Coding System for Identifying Comorbidities and Infectious Conditions Using Data from a Thai University Hospital Administrative Database","author":[{"family":"Rattanaumpawan","given":"Pinyo"},{"family":"Wongkamhla","given":"Thanyarak"},{"family":"Thamlikitkul","given":"Visanu"}]}}],"schema":"https://github.com/citation-style-language/schema/raw/master/csl-citation.json"} </w:instrText>
            </w:r>
            <w:r>
              <w:rPr>
                <w:sz w:val="20"/>
                <w:lang w:val="en-US" w:eastAsia="zh-CN"/>
              </w:rPr>
              <w:fldChar w:fldCharType="separate"/>
            </w:r>
            <w:r>
              <w:rPr>
                <w:sz w:val="20"/>
                <w:lang w:val="en-US" w:eastAsia="zh-CN"/>
              </w:rPr>
              <w:t>22</w:t>
            </w:r>
            <w:r>
              <w:rPr>
                <w:sz w:val="20"/>
                <w:lang w:val="en-US" w:eastAsia="zh-CN"/>
              </w:rPr>
              <w:fldChar w:fldCharType="end"/>
            </w:r>
            <w:r>
              <w:rPr>
                <w:sz w:val="20"/>
                <w:lang w:val="en-US" w:eastAsia="zh-CN"/>
              </w:rPr>
              <w:t xml:space="preserve">. </w:t>
            </w:r>
          </w:p>
          <w:p w14:paraId="73AFDE9F" w14:textId="77777777" w:rsidR="00AB3BC0" w:rsidRDefault="00000000">
            <w:pPr>
              <w:pStyle w:val="Heading3"/>
              <w:numPr>
                <w:ilvl w:val="2"/>
                <w:numId w:val="0"/>
              </w:numPr>
              <w:spacing w:before="0" w:after="0" w:line="360" w:lineRule="auto"/>
              <w:rPr>
                <w:rFonts w:ascii="Times New Roman" w:hAnsi="Times New Roman"/>
                <w:sz w:val="20"/>
                <w:lang w:val="en-US"/>
              </w:rPr>
            </w:pPr>
            <w:r>
              <w:rPr>
                <w:rFonts w:ascii="Times New Roman" w:hAnsi="Times New Roman"/>
                <w:sz w:val="20"/>
                <w:lang w:val="en-US"/>
              </w:rPr>
              <w:t>Definition of outcomes</w:t>
            </w:r>
          </w:p>
          <w:p w14:paraId="3CFC7F36" w14:textId="77777777" w:rsidR="00AB3BC0" w:rsidRDefault="00000000">
            <w:pPr>
              <w:widowControl w:val="0"/>
              <w:spacing w:line="360" w:lineRule="auto"/>
              <w:jc w:val="both"/>
              <w:rPr>
                <w:sz w:val="20"/>
                <w:lang w:val="en-US"/>
              </w:rPr>
            </w:pPr>
            <w:r>
              <w:rPr>
                <w:sz w:val="20"/>
                <w:lang w:val="en-US" w:eastAsia="zh-CN"/>
              </w:rPr>
              <w:t xml:space="preserve">The outcome was a composite of liver-related events, defined as hospital admissions for ascites (R18), hepatic encephalopathy (G93.4), portal hypertension (K75.1, K76.6, K76.7), variceal bleeding (I85, I98.2, I98.3, I86.4), hyperbilirubinemia (R17), hepatocellular </w:t>
            </w:r>
            <w:r>
              <w:rPr>
                <w:sz w:val="20"/>
                <w:lang w:val="en-US" w:eastAsia="zh-CN"/>
              </w:rPr>
              <w:lastRenderedPageBreak/>
              <w:t>carcinoma (C22), cirrhosis (K74), hepatic failure (K72), or liver-related mortality (C22, K70–K77) during the follow-up period, consistent with definitions used in a previous study.</w:t>
            </w:r>
            <w:r>
              <w:rPr>
                <w:sz w:val="20"/>
                <w:lang w:val="en-US" w:eastAsia="zh-CN"/>
              </w:rPr>
              <w:fldChar w:fldCharType="begin"/>
            </w:r>
            <w:r>
              <w:rPr>
                <w:sz w:val="20"/>
                <w:lang w:val="en-US" w:eastAsia="zh-CN"/>
              </w:rPr>
              <w:instrText xml:space="preserve"> ADDIN ZOTERO_ITEM CSL_CITATION {"citationID":"ebvHTRWE","properties":{"unsorted":false,"formattedCitation":"\\super 4\\nosupersub{}","plainCitation":"4","noteIndex":0},"citationItems":[{"id":5419,"uris":["http://zotero.org/users/9834796/items/QQY6CXLL"],"itemData":{"id":5419,"type":"article-journal","abstract":"Background &amp; Aims: Hypertension is common in metabolic dysfunction-associated steatotic liver disease (MASLD), but its impact on long-term clinical outcomes and disease progression remains unclear. This study investigated the association of hypertension with the risk of adverse clinical outcomes and progression of liver stiffness/fibrosis in MASLD.\nMethods: Three multicenter large cohorts were analyzed: the UK Biobank (UKBB) cohort to assess the risk of adverse clinical outcomes, the VCTE-Prognosis cohort to assess liver stiffness/fibrosis progression, and the Paired Liver Biopsy cohort to assess histologic liver fibrosis progression. Adverse clinical outcomes were defined as all-cause mortality, cardiovascular events, and/or liver-related events. Liver stiffness progression was defined as an increase in liver stiffness measurement from &lt;10 kPa to &gt;−10 kPa or an increase of &gt;−20% for baseline liver stiffness measurement &gt;−10 kPa. Liver fibrosis progression was defined as a 1stage fibrosis stage increase. Cox regression and Kaplan-Meier analyses were used to evaluate the impact of baseline hypertension on outcomes.\nResults: A total of 107,316 adults from the UKBB cohort, 8,169 from the VCTE-Prognosis cohort, and 1,670 from the Paired Liver Biopsy cohort were included. The prevalence of hypertension was 37.1%, 33.4%, and 48.9%, respectively. In the UKBB cohort, hypertension was associated with long-term adverse clinical outcomes (adjusted hazard ratio [HR] 1.30, 95% CI 1.26-1.33, p &lt;0.001). In the VCTE-Prognosis cohort, hypertension was associated with a higher risk of liver stiffness progression (adjusted HR 1.57, 95% CI 1.30-1.90, p &lt;0.001), while in the Paired Liver Biopsy cohort, hypertension was associated with a greater risk of histologic liver fibrosis progression (adjusted HR 1.41, 95% CI 1.12-1.78, p = 0.004). Subgroup and sensitivity analyses supported these findings.\nConclusions: Hypertension is a modifiable risk factor that increases the risk of adverse clinical outcomes and progression of liver stiffness and fibrosis in MASLD.","citation-key":"zhouEffectHypertensionLongterm2025","container-title":"Journal of Hepatology","DOI":"10.1016/j.jhep.2025.08.017","ISSN":"01688278","journalAbbreviation":"Journal of Hepatology","language":"en","note":"TLDR: Hypertension is a modifiable risk factor and increases risk of adverse clinical outcomes and progression of liver stiffness/fibrosis in MASLD.","page":"S0168827825024535","source":"DOI.org (Crossref)","title":"Effect of hypertension on long-term adverse clinical outcomes and liver fibrosis progression in MASLD","author":[{"family":"Zhou","given":"Xiao-Dong"},{"family":"Lian","given":"Li-You"},{"family":"Chen","given":"Qin-Fen"},{"family":"Kim","given":"Seung Up"},{"family":"Cheuk-Fung Yip","given":"Terry"},{"family":"Petta","given":"Salvatore"},{"family":"Nakajima","given":"Atsushi"},{"family":"Tsochatzis","given":"Emmanuel"},{"family":"Shi","given":"Junping"},{"family":"Chan","given":"Wah-Kheong"},{"family":"Boursier","given":"Jérôme"},{"family":"Bugianesi","given":"Elisabetta"},{"family":"Yilmaz","given":"Yusuf"},{"family":"Hagström","given":"Hannes"},{"family":"Romero-Gomez","given":"Manuel"},{"family":"Alswat","given":"Khalid"},{"family":"Calleja","given":"José Luis"},{"family":"Takahashi","given":"Hirokazu"},{"family":"De Lédinghen","given":"Victor"},{"literal":"Shalimar"},{"family":"Castéra","given":"Laurent"},{"family":"Sanyal","given":"Arun J."},{"family":"Goh","given":"George Boon-Bee"},{"family":"Newsome","given":"Philip N."},{"family":"Fan","given":"Jian-Gao"},{"family":"Lai","given":"Michelle"},{"family":"Aggarwal","given":"Sandeep"},{"family":"Kechagias","given":"Stergios"},{"family":"Hiasa","given":"Yoichi"},{"family":"Dayal","given":"Bheesham"},{"family":"Zhang","given":"Zhongtao"},{"family":"George","given":"Jacob"},{"family":"El-Kassas","given":"Mohamed"},{"family":"Chen","given":"Jinjun"},{"family":"You","given":"Hong"},{"family":"Abu Dayyeh","given":"Barham K."},{"family":"Sheng","given":"Huiping"},{"family":"Adams","given":"Leon A."},{"family":"Wang","given":"Jing"},{"family":"He","given":"Fangping"},{"family":"Liang","given":"Huiqing"},{"family":"Yang","given":"Yong-Feng"},{"family":"Chi","given":"Xiaoling"},{"family":"Zhong","given":"Bihui"},{"family":"Bi","given":"Yan"},{"family":"Mi","given":"Yuqiang"},{"family":"Zhu","given":"Yongfen"},{"family":"Bai","given":"Rixing"},{"family":"Zhang","given":"Jing"},{"family":"Wang","given":"Bingyuan"},{"family":"Song","given":"Jinghai"},{"family":"Deng","given":"Hong"},{"family":"Xie","given":"Qing"},{"family":"Bai","given":"Lang"},{"family":"Xin","given":"Yongning"},{"family":"Xie","given":"Wen"},{"family":"Li","given":"Jie"},{"family":"Fournier-Poizat","given":"Céline"},{"family":"Zoncapè","given":"Mirko"},{"family":"Xia","given":"Tianyi"},{"family":"Ju","given":"Shenghong"},{"family":"Wu","given":"Chutian"},{"family":"Lee","given":"Hye Won"},{"family":"Wong","given":"Grace Lai-Hung"},{"family":"Armandi","given":"Angelo"},{"family":"Shang","given":"Ying"},{"family":"Pennisi","given":"Grazia"},{"family":"Llop","given":"Elba"},{"family":"Yoneda","given":"Masato"},{"family":"De Saint-Loup","given":"Marc"},{"family":"Canivet","given":"Clemence M."},{"family":"Lara-Romero","given":"Carmen"},{"family":"Gallego-Durán","given":"Rocio"},{"family":"Carrillo-Fernández","given":"Paloma"},{"family":"Asgharpour","given":"Amon"},{"family":"Teh","given":"Kevin Kim-Jun"},{"family":"Mahgoub","given":"Sara"},{"family":"Chan","given":"Mandy Sau-Wai"},{"family":"Lin","given":"Huapeng"},{"family":"Liu","given":"Wen-Yue"},{"family":"Song","given":"Sherlot Juan"},{"family":"Al-Hamoudi","given":"Waleed K."},{"family":"Isoda","given":"Hiroshi"},{"family":"Miyake","given":"Teruki"},{"family":"Satapathy","given":"Sanjaya K."},{"family":"Li","given":"Mengyi"},{"family":"Sharma","given":"Keshni"},{"family":"Emadeldeen","given":"Mohammed"},{"family":"Zhou","given":"Ling"},{"family":"Tong","given":"Xiaofei"},{"family":"Bazerbachi","given":"Fateh"},{"family":"Fan","given":"Xiaotang"},{"family":"Xiao","given":"Huanming"},{"family":"Ye","given":"Junzhao"},{"family":"Xu","given":"Liang"},{"family":"Wang","given":"Xiaolin"},{"family":"Targher","given":"Giovanni"},{"family":"Byrne","given":"Christopher D."},{"family":"Shapiro","given":"Michael D."},{"family":"Tacke","given":"Frank"},{"family":"Wai-Sun Wong","given":"Vincent"},{"family":"Zheng","given":"Ming-Hua"},{"family":"Sanyal","given":"Arun J."},{"family":"Nakajima","given":"Atsushi"},{"family":"Bugianesi","given":"Elisabetta"},{"family":"Tsochatzis","given":"Emmanuel"},{"family":"Goh","given":"George Boon-Bee"},{"family":"Hagström","given":"Hannes"},{"family":"Boursier","given":"Jérôme"},{"family":"Calleja","given":"José Luis"},{"family":"Romero-Gomez","given":"Manuel"},{"family":"Zheng","given":"Ming-Hua"},{"family":"Newsome","given":"Philip N."},{"family":"Petta","given":"Salvatore"},{"family":"Kim","given":"Seung Up"},{"family":"De Lédinghen","given":"Victor"},{"family":"Wong","given":"Vincent Wai-Sun"},{"family":"Chan","given":"Wah-Kheong"},{"family":"Abu Dayyeh","given":"Barham K."},{"family":"Dayal","given":"Bheesham"},{"family":"Zhong","given":"Bihui"},{"family":"Wang","given":"Bingyuan"},{"family":"Wu","given":"Chutian"},{"family":"He","given":"Fangping"},{"family":"Takahashi","given":"Hirokazu"},{"family":"Deng","given":"Hong"},{"family":"You","given":"Hong"},{"family":"Sheng","given":"Huiping"},{"family":"Liang","given":"Huiqing"},{"family":"George","given":"Jacob"},{"family":"Boursier","given":"Jérôme"},{"family":"Li","given":"Jie"},{"family":"Wang","given":"Jing"},{"family":"Zhang","given":"Jing"},{"family":"Song","given":"Jinghai"},{"family":"Chen","given":"Jinjun"},{"family":"Shi","given":"Junping"},{"family":"Alswat","given":"Khalid"},{"family":"Bai","given":"Lang"},{"family":"Adams","given":"Leon A."},{"family":"Zheng","given":"Ming-Hua"},{"family":"El-Kassas","given":"Mohamed"},{"family":"Xie","given":"Qing"},{"family":"Bai","given":"Rixing"},{"family":"Petta","given":"Salvatore"},{"family":"Aggarwal","given":"Sandeep"},{"literal":"Shalimar"},{"family":"Kechagias","given":"Stergios"},{"family":"Wong","given":"Vincent"},{"family":"Chan","given":"Wah Kheong"},{"family":"Xie","given":"Wen"},{"family":"Chi","given":"Xiaoling"},{"family":"Bi","given":"Yan"},{"family":"Hiasa","given":"Yoichi"},{"family":"Zhu","given":"Yongfen"},{"family":"Yang","given":"Yong-Feng"},{"family":"Xin","given":"Yongning"},{"family":"Mi","given":"Yuqiang"},{"family":"Yilmaz","given":"Yusuf"},{"family":"Zhang","given":"Zhongtao"}],"issued":{"date-parts":[["2025",8]]}}}],"schema":"https://github.com/citation-style-language/schema/raw/master/csl-citation.json"} </w:instrText>
            </w:r>
            <w:r>
              <w:rPr>
                <w:sz w:val="20"/>
                <w:lang w:val="en-US" w:eastAsia="zh-CN"/>
              </w:rPr>
              <w:fldChar w:fldCharType="separate"/>
            </w:r>
            <w:r>
              <w:rPr>
                <w:sz w:val="20"/>
                <w:lang w:val="en-US" w:eastAsia="zh-CN"/>
              </w:rPr>
              <w:t>4</w:t>
            </w:r>
            <w:r>
              <w:rPr>
                <w:sz w:val="20"/>
                <w:lang w:val="en-US" w:eastAsia="zh-CN"/>
              </w:rPr>
              <w:fldChar w:fldCharType="end"/>
            </w:r>
            <w:r>
              <w:rPr>
                <w:sz w:val="20"/>
                <w:lang w:val="en-US" w:eastAsia="zh-CN"/>
              </w:rPr>
              <w:t xml:space="preserve"> Participants were followed from enrollment until the first LRE, loss to follow-up, or administrative censoring (December 31, 2023), whichever occurred first.</w:t>
            </w:r>
          </w:p>
          <w:p w14:paraId="3DA9016D" w14:textId="77777777" w:rsidR="00AB3BC0" w:rsidRDefault="00000000">
            <w:pPr>
              <w:pStyle w:val="Heading3"/>
              <w:numPr>
                <w:ilvl w:val="2"/>
                <w:numId w:val="0"/>
              </w:numPr>
              <w:spacing w:before="0" w:after="0" w:line="360" w:lineRule="auto"/>
              <w:rPr>
                <w:rFonts w:ascii="Times New Roman" w:hAnsi="Times New Roman"/>
                <w:sz w:val="20"/>
                <w:lang w:val="en-US"/>
              </w:rPr>
            </w:pPr>
            <w:r>
              <w:rPr>
                <w:rFonts w:ascii="Times New Roman" w:hAnsi="Times New Roman"/>
                <w:sz w:val="20"/>
                <w:lang w:val="en-US"/>
              </w:rPr>
              <w:t>Covariates</w:t>
            </w:r>
          </w:p>
          <w:p w14:paraId="17A87F07" w14:textId="77777777" w:rsidR="00AB3BC0" w:rsidRDefault="00000000">
            <w:pPr>
              <w:widowControl w:val="0"/>
              <w:spacing w:line="360" w:lineRule="auto"/>
              <w:jc w:val="both"/>
              <w:rPr>
                <w:sz w:val="20"/>
                <w:lang w:val="en-US"/>
              </w:rPr>
            </w:pPr>
            <w:r>
              <w:rPr>
                <w:sz w:val="20"/>
                <w:lang w:val="en-US" w:eastAsia="zh-CN"/>
              </w:rPr>
              <w:t>Baseline covariates included demographic and socioeconomic factors (age, sex, ethnicity, education, smoking, and the Townsend deprivation index [TDI]),  anthropometric measures (BMI and WC), medication use (glucose-lowering and lipid-lowering drugs), liver enzymes (aspartate aminotransferase [AST] and alanine aminotransferase [ALT]), glycaemic markers (hemoglobin A1c [HbA1c]), lipid profile (low-density lipoprotein cholesterol [LDL-C] and triglycerides), and hepatic, renal and hematologic markers (albumin, total bilirubin, creatinine, estimated glomerular filtration rate [eGFR], and platelet count), together with fibrosis-4 [FIB-4] index. Abbreviations and extent of missing data for each variable are provided in Supplementary Table S3. Missing values in covariates were imputed using multiple imputations by chained equations, generating 10 imputed datasets with 10 iterations per dataset. All subsequent analyses were performed separately within each imputed dataset, and estimates were combined using Rubin’s rules.</w:t>
            </w:r>
          </w:p>
          <w:p w14:paraId="361DED82" w14:textId="77777777" w:rsidR="00AB3BC0" w:rsidRDefault="00AB3BC0">
            <w:pPr>
              <w:tabs>
                <w:tab w:val="left" w:pos="5400"/>
              </w:tabs>
              <w:rPr>
                <w:i/>
                <w:sz w:val="20"/>
              </w:rPr>
            </w:pPr>
          </w:p>
        </w:tc>
      </w:tr>
      <w:tr w:rsidR="00AB3BC0" w14:paraId="5F84E90D" w14:textId="77777777">
        <w:tc>
          <w:tcPr>
            <w:tcW w:w="1310" w:type="dxa"/>
          </w:tcPr>
          <w:p w14:paraId="2C23657E" w14:textId="77777777" w:rsidR="00AB3BC0" w:rsidRDefault="00000000">
            <w:pPr>
              <w:tabs>
                <w:tab w:val="left" w:pos="5400"/>
              </w:tabs>
              <w:rPr>
                <w:bCs/>
                <w:color w:val="000000"/>
                <w:sz w:val="20"/>
              </w:rPr>
            </w:pPr>
            <w:bookmarkStart w:id="36" w:name="italic20" w:colFirst="0" w:colLast="0"/>
            <w:bookmarkStart w:id="37" w:name="bold20" w:colFirst="0" w:colLast="0"/>
            <w:r>
              <w:rPr>
                <w:bCs/>
                <w:color w:val="000000"/>
                <w:sz w:val="20"/>
              </w:rPr>
              <w:lastRenderedPageBreak/>
              <w:t>Bias</w:t>
            </w:r>
          </w:p>
        </w:tc>
        <w:tc>
          <w:tcPr>
            <w:tcW w:w="637" w:type="dxa"/>
            <w:gridSpan w:val="2"/>
          </w:tcPr>
          <w:p w14:paraId="64F96F15" w14:textId="77777777" w:rsidR="00AB3BC0" w:rsidRDefault="00000000">
            <w:pPr>
              <w:tabs>
                <w:tab w:val="left" w:pos="5400"/>
              </w:tabs>
              <w:jc w:val="center"/>
              <w:rPr>
                <w:sz w:val="20"/>
              </w:rPr>
            </w:pPr>
            <w:r>
              <w:rPr>
                <w:sz w:val="20"/>
              </w:rPr>
              <w:t>9</w:t>
            </w:r>
          </w:p>
        </w:tc>
        <w:tc>
          <w:tcPr>
            <w:tcW w:w="4650" w:type="dxa"/>
            <w:gridSpan w:val="3"/>
          </w:tcPr>
          <w:p w14:paraId="50277070" w14:textId="77777777" w:rsidR="00AB3BC0" w:rsidRDefault="00000000">
            <w:pPr>
              <w:tabs>
                <w:tab w:val="left" w:pos="5400"/>
              </w:tabs>
              <w:rPr>
                <w:color w:val="000000"/>
                <w:sz w:val="20"/>
              </w:rPr>
            </w:pPr>
            <w:r>
              <w:rPr>
                <w:color w:val="000000"/>
                <w:sz w:val="20"/>
              </w:rPr>
              <w:t>Describe any efforts to address potential sources of bias</w:t>
            </w:r>
          </w:p>
        </w:tc>
        <w:tc>
          <w:tcPr>
            <w:tcW w:w="550" w:type="dxa"/>
          </w:tcPr>
          <w:p w14:paraId="1411638A" w14:textId="74E62CA5" w:rsidR="00AB3BC0" w:rsidRDefault="00C51B6A">
            <w:pPr>
              <w:tabs>
                <w:tab w:val="left" w:pos="5400"/>
              </w:tabs>
              <w:rPr>
                <w:rFonts w:eastAsia="宋体" w:hint="eastAsia"/>
                <w:color w:val="000000"/>
                <w:sz w:val="20"/>
                <w:lang w:val="en-US" w:eastAsia="zh-CN"/>
              </w:rPr>
            </w:pPr>
            <w:r>
              <w:rPr>
                <w:rFonts w:eastAsia="宋体" w:hint="eastAsia"/>
                <w:color w:val="000000"/>
                <w:sz w:val="20"/>
                <w:lang w:val="en-US" w:eastAsia="zh-CN"/>
              </w:rPr>
              <w:t>9, 10</w:t>
            </w:r>
          </w:p>
        </w:tc>
        <w:tc>
          <w:tcPr>
            <w:tcW w:w="7845" w:type="dxa"/>
          </w:tcPr>
          <w:p w14:paraId="7A24595B" w14:textId="77777777" w:rsidR="00AB3BC0" w:rsidRDefault="00000000">
            <w:pPr>
              <w:tabs>
                <w:tab w:val="left" w:pos="5400"/>
              </w:tabs>
              <w:rPr>
                <w:color w:val="000000"/>
                <w:sz w:val="20"/>
              </w:rPr>
            </w:pPr>
            <w:r>
              <w:rPr>
                <w:color w:val="000000"/>
                <w:sz w:val="20"/>
                <w:lang w:val="en-US" w:eastAsia="zh-CN"/>
              </w:rPr>
              <w:t xml:space="preserve">Model adjustment followed the same strategy, except that covariates constituting the exposure of interest were excluded to avoid overadjustment, consistent with a previous study </w:t>
            </w:r>
            <w:r>
              <w:rPr>
                <w:color w:val="000000"/>
                <w:sz w:val="20"/>
                <w:lang w:val="en-US" w:eastAsia="zh-CN"/>
              </w:rPr>
              <w:fldChar w:fldCharType="begin"/>
            </w:r>
            <w:r>
              <w:rPr>
                <w:color w:val="000000"/>
                <w:sz w:val="20"/>
                <w:lang w:val="en-US" w:eastAsia="zh-CN"/>
              </w:rPr>
              <w:instrText xml:space="preserve"> ADDIN ZOTERO_ITEM CSL_CITATION {"citationID":"FlJnieNR","properties":{"unsorted":false,"formattedCitation":"\\super 23\\nosupersub{}","plainCitation":"23","noteIndex":0},"citationItems":[{"id":5856,"uris":["http://zotero.org/users/9834796/items/7EYNGX88"],"itemData":{"id":5856,"type":"webpage","citation-key":"ImpactMultimorbidityMortality","DOI":"10.1161/CIRCHEARTFAILURE.124.011598","language":"en","note":"DOI: 10.1161/CIRCHEARTFAILURE.124.011598","title":"Impact of Multimorbidity on Mortality in Heart Failure With Mildly Reduced and Preserved Ejection Fraction","URL":"https://www.ahajournals.org/doi/epub/10.1161/CIRCHEARTFAILURE.124.011598","accessed":{"date-parts":[["2026",3,16]]}}}],"schema":"https://github.com/citation-style-language/schema/raw/master/csl-citation.json"} </w:instrText>
            </w:r>
            <w:r>
              <w:rPr>
                <w:color w:val="000000"/>
                <w:sz w:val="20"/>
                <w:lang w:val="en-US" w:eastAsia="zh-CN"/>
              </w:rPr>
              <w:fldChar w:fldCharType="separate"/>
            </w:r>
            <w:r>
              <w:rPr>
                <w:color w:val="000000"/>
                <w:sz w:val="20"/>
                <w:lang w:val="en-US" w:eastAsia="zh-CN"/>
              </w:rPr>
              <w:t>23</w:t>
            </w:r>
            <w:r>
              <w:rPr>
                <w:color w:val="000000"/>
                <w:sz w:val="20"/>
                <w:lang w:val="en-US" w:eastAsia="zh-CN"/>
              </w:rPr>
              <w:fldChar w:fldCharType="end"/>
            </w:r>
            <w:r>
              <w:rPr>
                <w:color w:val="000000"/>
                <w:sz w:val="20"/>
                <w:lang w:val="en-US" w:eastAsia="zh-CN"/>
              </w:rPr>
              <w:br/>
            </w:r>
            <w:r>
              <w:rPr>
                <w:color w:val="000000"/>
                <w:sz w:val="20"/>
                <w:lang w:val="en-US" w:eastAsia="zh-CN"/>
              </w:rPr>
              <w:br/>
              <w:t xml:space="preserve">To ensure model stability, analyses were performed only when at least 10 outcome events per variable included in the model </w:t>
            </w:r>
            <w:r>
              <w:rPr>
                <w:color w:val="000000"/>
                <w:sz w:val="20"/>
                <w:lang w:val="en-US" w:eastAsia="zh-CN"/>
              </w:rPr>
              <w:fldChar w:fldCharType="begin"/>
            </w:r>
            <w:r>
              <w:rPr>
                <w:color w:val="000000"/>
                <w:sz w:val="20"/>
                <w:lang w:val="en-US" w:eastAsia="zh-CN"/>
              </w:rPr>
              <w:instrText xml:space="preserve"> ADDIN ZOTERO_ITEM CSL_CITATION {"citationID":"MQC5vXtN","properties":{"unsorted":false,"formattedCitation":"\\super 24\\nosupersub{}","plainCitation":"24","noteIndex":0},"citationItems":[{"id":5871,"uris":["http://zotero.org/users/9834796/items/FWY9DK24"],"itemData":{"id":5871,"type":"article-journal","abstract":"Objectives\nTo determine the number of independent variables that can be included in a linear regression model.\nStudy Design and Setting\nWe used a series of Monte Carlo simulations to examine the impact of the number of subjects per variable (SPV) on the accuracy of estimated regression coefficients and standard errors, on the empirical coverage of estimated confidence intervals, and on the accuracy of the estimated R2 of the fitted model.\nResults\nA minimum of approximately two SPV tended to result in estimation of regression coefficients with relative bias of less than 10%. Furthermore, with this minimum number of SPV, the standard errors of the regression coefficients were accurately estimated and estimated confidence intervals had approximately the advertised coverage rates. A much higher number of SPV were necessary to minimize bias in estimating the model R2, although adjusted R2 estimates behaved well. The bias in estimating the model R2 statistic was inversely proportional to the magnitude of the proportion of variation explained by the population regression model.\nConclusion\nLinear regression models require only two SPV for adequate estimation of regression coefficients, standard errors, and confidence intervals.","citation-key":"austinNumberSubjectsVariable2015","container-title":"Journal of Clinical Epidemiology","DOI":"10.1016/j.jclinepi.2014.12.014","ISSN":"0895-4356","issue":"6","journalAbbreviation":"Journal of Clinical Epidemiology","page":"627-636","source":"ScienceDirect","title":"The number of subjects per variable required in linear regression analyses","volume":"68","author":[{"family":"Austin","given":"Peter C."},{"family":"Steyerberg","given":"Ewout W."}],"issued":{"date-parts":[["2015",6,1]]}}}],"schema":"https://github.com/citation-style-language/schema/raw/master/csl-citation.json"} </w:instrText>
            </w:r>
            <w:r>
              <w:rPr>
                <w:color w:val="000000"/>
                <w:sz w:val="20"/>
                <w:lang w:val="en-US" w:eastAsia="zh-CN"/>
              </w:rPr>
              <w:fldChar w:fldCharType="separate"/>
            </w:r>
            <w:r>
              <w:rPr>
                <w:color w:val="000000"/>
                <w:sz w:val="20"/>
                <w:lang w:val="en-US" w:eastAsia="zh-CN"/>
              </w:rPr>
              <w:t>24</w:t>
            </w:r>
            <w:r>
              <w:rPr>
                <w:color w:val="000000"/>
                <w:sz w:val="20"/>
                <w:lang w:val="en-US" w:eastAsia="zh-CN"/>
              </w:rPr>
              <w:fldChar w:fldCharType="end"/>
            </w:r>
            <w:r>
              <w:rPr>
                <w:color w:val="000000"/>
                <w:sz w:val="20"/>
                <w:lang w:val="en-US" w:eastAsia="zh-CN"/>
              </w:rPr>
              <w:br/>
            </w:r>
            <w:r>
              <w:rPr>
                <w:color w:val="000000"/>
                <w:sz w:val="20"/>
                <w:lang w:val="en-US" w:eastAsia="zh-CN"/>
              </w:rPr>
              <w:br/>
              <w:t>To account for multiple comparisons, P values were adjusted using the Benjamini-Hochberg false discovery rate (FDR), and FDR-adjusted P values &lt; 0.05 were considered statistically significant. The proportional hazards assumption was assessed using Schoenfeld residuals.</w:t>
            </w:r>
          </w:p>
        </w:tc>
      </w:tr>
      <w:tr w:rsidR="00AB3BC0" w14:paraId="4EE0576F" w14:textId="77777777">
        <w:tc>
          <w:tcPr>
            <w:tcW w:w="1310" w:type="dxa"/>
          </w:tcPr>
          <w:p w14:paraId="08ED6E45" w14:textId="77777777" w:rsidR="00AB3BC0" w:rsidRDefault="00000000">
            <w:pPr>
              <w:tabs>
                <w:tab w:val="left" w:pos="5400"/>
              </w:tabs>
              <w:rPr>
                <w:bCs/>
                <w:sz w:val="20"/>
              </w:rPr>
            </w:pPr>
            <w:bookmarkStart w:id="38" w:name="bold21" w:colFirst="0" w:colLast="0"/>
            <w:bookmarkStart w:id="39" w:name="italic21" w:colFirst="0" w:colLast="0"/>
            <w:bookmarkEnd w:id="36"/>
            <w:bookmarkEnd w:id="37"/>
            <w:r>
              <w:rPr>
                <w:bCs/>
                <w:sz w:val="20"/>
              </w:rPr>
              <w:t>Study size</w:t>
            </w:r>
          </w:p>
        </w:tc>
        <w:tc>
          <w:tcPr>
            <w:tcW w:w="637" w:type="dxa"/>
            <w:gridSpan w:val="2"/>
          </w:tcPr>
          <w:p w14:paraId="17ABF8AD" w14:textId="77777777" w:rsidR="00AB3BC0" w:rsidRDefault="00000000">
            <w:pPr>
              <w:tabs>
                <w:tab w:val="left" w:pos="5400"/>
              </w:tabs>
              <w:jc w:val="center"/>
              <w:rPr>
                <w:sz w:val="20"/>
              </w:rPr>
            </w:pPr>
            <w:r>
              <w:rPr>
                <w:sz w:val="20"/>
              </w:rPr>
              <w:t>10</w:t>
            </w:r>
          </w:p>
        </w:tc>
        <w:tc>
          <w:tcPr>
            <w:tcW w:w="4650" w:type="dxa"/>
            <w:gridSpan w:val="3"/>
          </w:tcPr>
          <w:p w14:paraId="3B6FD3BF" w14:textId="77777777" w:rsidR="00AB3BC0" w:rsidRDefault="00000000">
            <w:pPr>
              <w:tabs>
                <w:tab w:val="left" w:pos="5400"/>
              </w:tabs>
              <w:rPr>
                <w:sz w:val="20"/>
              </w:rPr>
            </w:pPr>
            <w:r>
              <w:rPr>
                <w:sz w:val="20"/>
              </w:rPr>
              <w:t>Explain how the study size was arrived at</w:t>
            </w:r>
          </w:p>
        </w:tc>
        <w:tc>
          <w:tcPr>
            <w:tcW w:w="550" w:type="dxa"/>
          </w:tcPr>
          <w:p w14:paraId="4C1B2A7E" w14:textId="194A6136" w:rsidR="00AB3BC0" w:rsidRDefault="00C51B6A">
            <w:pPr>
              <w:tabs>
                <w:tab w:val="left" w:pos="5400"/>
              </w:tabs>
              <w:rPr>
                <w:rFonts w:eastAsia="宋体"/>
                <w:sz w:val="20"/>
                <w:lang w:val="en-US" w:eastAsia="zh-CN"/>
              </w:rPr>
            </w:pPr>
            <w:r>
              <w:rPr>
                <w:rFonts w:eastAsia="宋体" w:hint="eastAsia"/>
                <w:sz w:val="20"/>
                <w:lang w:val="en-US" w:eastAsia="zh-CN"/>
              </w:rPr>
              <w:t>6</w:t>
            </w:r>
          </w:p>
        </w:tc>
        <w:tc>
          <w:tcPr>
            <w:tcW w:w="7845" w:type="dxa"/>
          </w:tcPr>
          <w:p w14:paraId="4939F106" w14:textId="77777777" w:rsidR="00AB3BC0" w:rsidRDefault="00000000">
            <w:pPr>
              <w:tabs>
                <w:tab w:val="left" w:pos="5400"/>
              </w:tabs>
              <w:rPr>
                <w:color w:val="000000"/>
                <w:sz w:val="20"/>
              </w:rPr>
            </w:pPr>
            <w:r>
              <w:rPr>
                <w:color w:val="000000"/>
                <w:sz w:val="20"/>
                <w:lang w:val="en-US" w:eastAsia="zh-CN"/>
              </w:rPr>
              <w:t>A total of 137,607 participants with prevalent MASLD at baseline were included in this study after application of the study criteria</w:t>
            </w:r>
          </w:p>
        </w:tc>
      </w:tr>
      <w:tr w:rsidR="00AB3BC0" w14:paraId="1B20CE00" w14:textId="77777777">
        <w:tc>
          <w:tcPr>
            <w:tcW w:w="1521" w:type="dxa"/>
            <w:gridSpan w:val="2"/>
          </w:tcPr>
          <w:p w14:paraId="4CC4359A" w14:textId="77777777" w:rsidR="00AB3BC0" w:rsidRDefault="00000000">
            <w:pPr>
              <w:tabs>
                <w:tab w:val="left" w:pos="5400"/>
              </w:tabs>
              <w:rPr>
                <w:bCs/>
                <w:sz w:val="20"/>
              </w:rPr>
            </w:pPr>
            <w:bookmarkStart w:id="40" w:name="bold22"/>
            <w:bookmarkStart w:id="41" w:name="italic22"/>
            <w:bookmarkEnd w:id="38"/>
            <w:bookmarkEnd w:id="39"/>
            <w:r>
              <w:rPr>
                <w:bCs/>
                <w:sz w:val="20"/>
              </w:rPr>
              <w:lastRenderedPageBreak/>
              <w:t>Quantitative</w:t>
            </w:r>
            <w:bookmarkStart w:id="42" w:name="bold23"/>
            <w:bookmarkStart w:id="43" w:name="italic23"/>
            <w:bookmarkEnd w:id="40"/>
            <w:bookmarkEnd w:id="41"/>
            <w:r>
              <w:rPr>
                <w:bCs/>
                <w:sz w:val="20"/>
              </w:rPr>
              <w:t xml:space="preserve"> variables</w:t>
            </w:r>
            <w:bookmarkEnd w:id="42"/>
            <w:bookmarkEnd w:id="43"/>
          </w:p>
        </w:tc>
        <w:tc>
          <w:tcPr>
            <w:tcW w:w="749" w:type="dxa"/>
            <w:gridSpan w:val="2"/>
          </w:tcPr>
          <w:p w14:paraId="1E4930E2" w14:textId="77777777" w:rsidR="00AB3BC0" w:rsidRDefault="00000000">
            <w:pPr>
              <w:tabs>
                <w:tab w:val="left" w:pos="5400"/>
              </w:tabs>
              <w:jc w:val="center"/>
              <w:rPr>
                <w:sz w:val="20"/>
              </w:rPr>
            </w:pPr>
            <w:r>
              <w:rPr>
                <w:sz w:val="20"/>
              </w:rPr>
              <w:t>11</w:t>
            </w:r>
          </w:p>
        </w:tc>
        <w:tc>
          <w:tcPr>
            <w:tcW w:w="4250" w:type="dxa"/>
          </w:tcPr>
          <w:p w14:paraId="78E52311" w14:textId="77777777" w:rsidR="00AB3BC0" w:rsidRDefault="00000000">
            <w:pPr>
              <w:tabs>
                <w:tab w:val="left" w:pos="5400"/>
              </w:tabs>
              <w:rPr>
                <w:sz w:val="20"/>
              </w:rPr>
            </w:pPr>
            <w:r>
              <w:rPr>
                <w:sz w:val="20"/>
              </w:rPr>
              <w:t>Explain how quantitative variables were handled in the analyses. If applicable, describe which groupings were chosen and why</w:t>
            </w:r>
          </w:p>
        </w:tc>
        <w:tc>
          <w:tcPr>
            <w:tcW w:w="626" w:type="dxa"/>
            <w:gridSpan w:val="2"/>
          </w:tcPr>
          <w:p w14:paraId="097F42A2" w14:textId="498CC222" w:rsidR="00AB3BC0" w:rsidRDefault="00C51B6A">
            <w:pPr>
              <w:tabs>
                <w:tab w:val="left" w:pos="5400"/>
              </w:tabs>
              <w:rPr>
                <w:rFonts w:eastAsia="宋体"/>
                <w:sz w:val="20"/>
                <w:lang w:val="en-US" w:eastAsia="zh-CN"/>
              </w:rPr>
            </w:pPr>
            <w:r>
              <w:rPr>
                <w:rFonts w:eastAsia="宋体" w:hint="eastAsia"/>
                <w:sz w:val="20"/>
                <w:lang w:val="en-US" w:eastAsia="zh-CN"/>
              </w:rPr>
              <w:t>8</w:t>
            </w:r>
          </w:p>
        </w:tc>
        <w:tc>
          <w:tcPr>
            <w:tcW w:w="7846" w:type="dxa"/>
          </w:tcPr>
          <w:p w14:paraId="722BF347" w14:textId="77777777" w:rsidR="00AB3BC0" w:rsidRDefault="00000000">
            <w:pPr>
              <w:tabs>
                <w:tab w:val="left" w:pos="5400"/>
              </w:tabs>
              <w:rPr>
                <w:sz w:val="20"/>
              </w:rPr>
            </w:pPr>
            <w:r>
              <w:rPr>
                <w:sz w:val="20"/>
                <w:lang w:val="en-US" w:eastAsia="zh-CN"/>
              </w:rPr>
              <w:t>Variable g</w:t>
            </w:r>
            <w:r>
              <w:rPr>
                <w:sz w:val="20"/>
              </w:rPr>
              <w:t xml:space="preserve">roupings and extent of missing data are provided in </w:t>
            </w:r>
            <w:r>
              <w:rPr>
                <w:b/>
                <w:bCs/>
                <w:sz w:val="20"/>
              </w:rPr>
              <w:t>Supplementary Table S3</w:t>
            </w:r>
            <w:r>
              <w:rPr>
                <w:sz w:val="20"/>
              </w:rPr>
              <w:t>.</w:t>
            </w:r>
          </w:p>
        </w:tc>
      </w:tr>
      <w:tr w:rsidR="00AB3BC0" w14:paraId="6A59306D" w14:textId="77777777">
        <w:tc>
          <w:tcPr>
            <w:tcW w:w="1521" w:type="dxa"/>
            <w:gridSpan w:val="2"/>
            <w:vMerge w:val="restart"/>
          </w:tcPr>
          <w:p w14:paraId="548B9C5B" w14:textId="77777777" w:rsidR="00AB3BC0" w:rsidRDefault="00000000">
            <w:pPr>
              <w:tabs>
                <w:tab w:val="left" w:pos="5400"/>
              </w:tabs>
              <w:rPr>
                <w:sz w:val="20"/>
              </w:rPr>
            </w:pPr>
            <w:bookmarkStart w:id="44" w:name="italic24"/>
            <w:r>
              <w:rPr>
                <w:sz w:val="20"/>
              </w:rPr>
              <w:t>Statistical</w:t>
            </w:r>
            <w:bookmarkStart w:id="45" w:name="italic25"/>
            <w:bookmarkEnd w:id="44"/>
            <w:r>
              <w:rPr>
                <w:sz w:val="20"/>
              </w:rPr>
              <w:t xml:space="preserve"> methods</w:t>
            </w:r>
            <w:bookmarkEnd w:id="45"/>
          </w:p>
        </w:tc>
        <w:tc>
          <w:tcPr>
            <w:tcW w:w="749" w:type="dxa"/>
            <w:gridSpan w:val="2"/>
            <w:vMerge w:val="restart"/>
          </w:tcPr>
          <w:p w14:paraId="0AFA3E68" w14:textId="77777777" w:rsidR="00AB3BC0" w:rsidRDefault="00000000">
            <w:pPr>
              <w:tabs>
                <w:tab w:val="left" w:pos="5400"/>
              </w:tabs>
              <w:jc w:val="center"/>
              <w:rPr>
                <w:sz w:val="20"/>
              </w:rPr>
            </w:pPr>
            <w:r>
              <w:rPr>
                <w:sz w:val="20"/>
              </w:rPr>
              <w:t>12</w:t>
            </w:r>
          </w:p>
        </w:tc>
        <w:tc>
          <w:tcPr>
            <w:tcW w:w="4250" w:type="dxa"/>
          </w:tcPr>
          <w:p w14:paraId="3D38CC1C" w14:textId="77777777" w:rsidR="00AB3BC0" w:rsidRDefault="00000000">
            <w:pPr>
              <w:tabs>
                <w:tab w:val="left" w:pos="5400"/>
              </w:tabs>
              <w:rPr>
                <w:sz w:val="20"/>
              </w:rPr>
            </w:pPr>
            <w:r>
              <w:rPr>
                <w:sz w:val="20"/>
              </w:rPr>
              <w:t>(</w:t>
            </w:r>
            <w:r>
              <w:rPr>
                <w:i/>
                <w:sz w:val="20"/>
              </w:rPr>
              <w:t>a</w:t>
            </w:r>
            <w:r>
              <w:rPr>
                <w:sz w:val="20"/>
              </w:rPr>
              <w:t>) Describe all statistical methods, including those used to control for confounding</w:t>
            </w:r>
          </w:p>
        </w:tc>
        <w:tc>
          <w:tcPr>
            <w:tcW w:w="626" w:type="dxa"/>
            <w:gridSpan w:val="2"/>
          </w:tcPr>
          <w:p w14:paraId="46FB2E14" w14:textId="2309EB4D" w:rsidR="00AB3BC0" w:rsidRDefault="00C51B6A">
            <w:pPr>
              <w:tabs>
                <w:tab w:val="left" w:pos="5400"/>
              </w:tabs>
              <w:rPr>
                <w:sz w:val="20"/>
              </w:rPr>
            </w:pPr>
            <w:r>
              <w:rPr>
                <w:rFonts w:eastAsia="宋体" w:hint="eastAsia"/>
                <w:sz w:val="20"/>
                <w:lang w:val="en-US" w:eastAsia="zh-CN"/>
              </w:rPr>
              <w:t xml:space="preserve">8, </w:t>
            </w:r>
            <w:r w:rsidR="00000000">
              <w:rPr>
                <w:rFonts w:eastAsia="宋体" w:hint="eastAsia"/>
                <w:sz w:val="20"/>
                <w:lang w:val="en-US" w:eastAsia="zh-CN"/>
              </w:rPr>
              <w:t>9,10</w:t>
            </w:r>
          </w:p>
        </w:tc>
        <w:tc>
          <w:tcPr>
            <w:tcW w:w="7846" w:type="dxa"/>
          </w:tcPr>
          <w:p w14:paraId="2D23A24A" w14:textId="77777777" w:rsidR="00AB3BC0" w:rsidRDefault="00000000">
            <w:pPr>
              <w:pStyle w:val="Heading3"/>
              <w:numPr>
                <w:ilvl w:val="2"/>
                <w:numId w:val="0"/>
              </w:numPr>
              <w:spacing w:before="0" w:after="0" w:line="360" w:lineRule="auto"/>
              <w:rPr>
                <w:rFonts w:ascii="Times New Roman" w:hAnsi="Times New Roman"/>
                <w:sz w:val="20"/>
                <w:lang w:val="en-US"/>
              </w:rPr>
            </w:pPr>
            <w:r>
              <w:rPr>
                <w:rFonts w:ascii="Times New Roman" w:hAnsi="Times New Roman"/>
                <w:sz w:val="20"/>
                <w:lang w:val="en-US"/>
              </w:rPr>
              <w:t xml:space="preserve">Statistical Analysis </w:t>
            </w:r>
          </w:p>
          <w:p w14:paraId="4B15AF5F" w14:textId="77777777" w:rsidR="00AB3BC0" w:rsidRDefault="00000000">
            <w:pPr>
              <w:widowControl w:val="0"/>
              <w:spacing w:line="360" w:lineRule="auto"/>
              <w:jc w:val="both"/>
              <w:rPr>
                <w:sz w:val="20"/>
                <w:lang w:val="en-US"/>
              </w:rPr>
            </w:pPr>
            <w:r>
              <w:rPr>
                <w:rFonts w:eastAsia="宋体"/>
                <w:kern w:val="2"/>
                <w:sz w:val="20"/>
                <w:lang w:val="en-US" w:eastAsia="zh-CN" w:bidi="ar"/>
              </w:rPr>
              <w:t xml:space="preserve">Continuous variables were presented as means with standard deviations (SD) or as medians with interquartile ranges (IQRs), as appropriate, and categorical variables as counts with percentages. Group differences were compared using Student’s t-test for normal continuous variables, or Mann-Whitney U test for non-normal continuous variables, and chi-square test for categorical variables. </w:t>
            </w:r>
          </w:p>
          <w:p w14:paraId="19F5BC16" w14:textId="77777777" w:rsidR="00AB3BC0" w:rsidRDefault="00000000" w:rsidP="0079385E">
            <w:pPr>
              <w:widowControl w:val="0"/>
              <w:spacing w:line="360" w:lineRule="auto"/>
              <w:jc w:val="both"/>
              <w:rPr>
                <w:sz w:val="20"/>
                <w:lang w:val="en-US"/>
              </w:rPr>
            </w:pPr>
            <w:r>
              <w:rPr>
                <w:rFonts w:eastAsia="宋体"/>
                <w:kern w:val="2"/>
                <w:sz w:val="20"/>
                <w:lang w:val="en-US" w:eastAsia="zh-CN" w:bidi="ar"/>
              </w:rPr>
              <w:t xml:space="preserve">Multivariable Cox proportional hazards regression models were constructed to estimate hazard ratios (HRs) with 95% confidence intervals (CIs) for the association of comorbidity count and CCI with the risk of LREs. Sequential models were adjusted for sociodemographic, lifestyle, anthropometric, clinical, biochemical, and medication-related factors, as detailed in the </w:t>
            </w:r>
            <w:r>
              <w:rPr>
                <w:rFonts w:eastAsia="宋体"/>
                <w:b/>
                <w:bCs/>
                <w:kern w:val="2"/>
                <w:sz w:val="20"/>
                <w:lang w:val="en-US" w:eastAsia="zh-CN" w:bidi="ar"/>
              </w:rPr>
              <w:t>Supplementary Methods</w:t>
            </w:r>
            <w:r>
              <w:rPr>
                <w:rFonts w:eastAsia="宋体"/>
                <w:kern w:val="2"/>
                <w:sz w:val="20"/>
                <w:lang w:val="en-US" w:eastAsia="zh-CN" w:bidi="ar"/>
              </w:rPr>
              <w:t>. Separate Cox models were fitted to evaluate the associations of</w:t>
            </w:r>
            <w:bookmarkStart w:id="46" w:name="OLE_LINK1"/>
            <w:r>
              <w:rPr>
                <w:rFonts w:eastAsia="宋体"/>
                <w:kern w:val="2"/>
                <w:sz w:val="20"/>
                <w:lang w:val="en-US" w:eastAsia="zh-CN" w:bidi="ar"/>
              </w:rPr>
              <w:t xml:space="preserve"> individual comorbidities and pairwise comorbidity combinations with LREs risk. In pairwise analyses, A+B was defined as the concurrent presence of both A and B at baseline, with participants without the specific pair (including neither condition, either condition alone, or other comorbidity patterns) serving as the reference group. Model adjustment followed the same strategy, except that covariates constituting the exposure of interest were excluded to avoid overadjustment, consistent with a previous study </w:t>
            </w:r>
            <w:r>
              <w:rPr>
                <w:rFonts w:eastAsia="宋体"/>
                <w:kern w:val="2"/>
                <w:sz w:val="20"/>
                <w:lang w:val="en-US" w:eastAsia="zh-CN" w:bidi="ar"/>
              </w:rPr>
              <w:fldChar w:fldCharType="begin"/>
            </w:r>
            <w:r>
              <w:rPr>
                <w:rFonts w:eastAsia="宋体"/>
                <w:kern w:val="2"/>
                <w:sz w:val="20"/>
                <w:lang w:val="en-US" w:eastAsia="zh-CN" w:bidi="ar"/>
              </w:rPr>
              <w:instrText xml:space="preserve"> ADDIN ZOTERO_ITEM CSL_CITATION {"citationID":"FlJnieNR","properties":{"unsorted":false,"formattedCitation":"\\super 23\\nosupersub{}","plainCitation":"23","noteIndex":0},"citationItems":[{"id":5856,"uris":["http://zotero.org/users/9834796/items/7EYNGX88"],"itemData":{"id":5856,"type":"webpage","citation-key":"ImpactMultimorbidityMortality","DOI":"10.1161/CIRCHEARTFAILURE.124.011598","language":"en","note":"DOI: 10.1161/CIRCHEARTFAILURE.124.011598","title":"Impact of Multimorbidity on Mortality in Heart Failure With Mildly Reduced and Preserved Ejection Fraction","URL":"https://www.ahajournals.org/doi/epub/10.1161/CIRCHEARTFAILURE.124.011598","accessed":{"date-parts":[["2026",3,16]]}}}],"schema":"https://github.com/citation-style-language/schema/raw/master/csl-citation.json"} </w:instrText>
            </w:r>
            <w:r>
              <w:rPr>
                <w:rFonts w:eastAsia="宋体"/>
                <w:kern w:val="2"/>
                <w:sz w:val="20"/>
                <w:lang w:val="en-US" w:eastAsia="zh-CN" w:bidi="ar"/>
              </w:rPr>
              <w:fldChar w:fldCharType="separate"/>
            </w:r>
            <w:r>
              <w:rPr>
                <w:rFonts w:eastAsia="宋体"/>
                <w:sz w:val="20"/>
                <w:vertAlign w:val="superscript"/>
                <w:lang w:val="en-US" w:eastAsia="zh-CN" w:bidi="ar"/>
              </w:rPr>
              <w:t>23</w:t>
            </w:r>
            <w:r>
              <w:rPr>
                <w:rFonts w:eastAsia="宋体"/>
                <w:kern w:val="2"/>
                <w:sz w:val="20"/>
                <w:lang w:val="en-US" w:eastAsia="zh-CN" w:bidi="ar"/>
              </w:rPr>
              <w:fldChar w:fldCharType="end"/>
            </w:r>
            <w:r>
              <w:rPr>
                <w:rFonts w:eastAsia="宋体"/>
                <w:kern w:val="2"/>
                <w:sz w:val="20"/>
                <w:lang w:val="en-US" w:eastAsia="zh-CN" w:bidi="ar"/>
              </w:rPr>
              <w:t xml:space="preserve"> (</w:t>
            </w:r>
            <w:r>
              <w:rPr>
                <w:rFonts w:eastAsia="宋体"/>
                <w:b/>
                <w:bCs/>
                <w:kern w:val="2"/>
                <w:sz w:val="20"/>
                <w:lang w:val="en-US" w:eastAsia="zh-CN" w:bidi="ar"/>
              </w:rPr>
              <w:t>Supplementary Methods</w:t>
            </w:r>
            <w:r>
              <w:rPr>
                <w:rFonts w:eastAsia="宋体"/>
                <w:kern w:val="2"/>
                <w:sz w:val="20"/>
                <w:lang w:val="en-US" w:eastAsia="zh-CN" w:bidi="ar"/>
              </w:rPr>
              <w:t xml:space="preserve">). To ensure model stability, analyses were performed only when at least 10 outcome events per variable included in the model </w:t>
            </w:r>
            <w:r>
              <w:rPr>
                <w:rFonts w:eastAsia="宋体"/>
                <w:kern w:val="2"/>
                <w:sz w:val="20"/>
                <w:lang w:val="en-US" w:eastAsia="zh-CN" w:bidi="ar"/>
              </w:rPr>
              <w:fldChar w:fldCharType="begin"/>
            </w:r>
            <w:r>
              <w:rPr>
                <w:rFonts w:eastAsia="宋体"/>
                <w:kern w:val="2"/>
                <w:sz w:val="20"/>
                <w:lang w:val="en-US" w:eastAsia="zh-CN" w:bidi="ar"/>
              </w:rPr>
              <w:instrText xml:space="preserve"> ADDIN ZOTERO_ITEM CSL_CITATION {"citationID":"MQC5vXtN","properties":{"unsorted":false,"formattedCitation":"\\super 24\\nosupersub{}","plainCitation":"24","noteIndex":0},"citationItems":[{"id":5871,"uris":["http://zotero.org/users/9834796/items/FWY9DK24"],"itemData":{"id":5871,"type":"article-journal","abstract":"Objectives\nTo determine the number of independent variables that can be included in a linear regression model.\nStudy Design and Setting\nWe used a series of Monte Carlo simulations to examine the impact of the number of subjects per variable (SPV) on the accuracy of estimated regression coefficients and standard errors, on the empirical coverage of estimated confidence intervals, and on the accuracy of the estimated R2 of the fitted model.\nResults\nA minimum of approximately two SPV tended to result in estimation of regression coefficients with relative bias of less than 10%. Furthermore, with this minimum number of SPV, the standard errors of the regression coefficients were accurately estimated and estimated confidence intervals had approximately the advertised coverage rates. A much higher number of SPV were necessary to minimize bias in estimating the model R2, although adjusted R2 estimates behaved well. The bias in estimating the model R2 statistic was inversely proportional to the magnitude of the proportion of variation explained by the population regression model.\nConclusion\nLinear regression models require only two SPV for adequate estimation of regression coefficients, standard errors, and confidence intervals.","citation-key":"austinNumberSubjectsVariable2015","container-title":"Journal of Clinical Epidemiology","DOI":"10.1016/j.jclinepi.2014.12.014","ISSN":"0895-4356","issue":"6","journalAbbreviation":"Journal of Clinical Epidemiology","page":"627-636","source":"ScienceDirect","title":"The number of subjects per variable required in linear regression analyses","volume":"68","author":[{"family":"Austin","given":"Peter C."},{"family":"Steyerberg","given":"Ewout W."}],"issued":{"date-parts":[["2015",6,1]]}}}],"schema":"https://github.com/citation-style-language/schema/raw/master/csl-citation.json"} </w:instrText>
            </w:r>
            <w:r>
              <w:rPr>
                <w:rFonts w:eastAsia="宋体"/>
                <w:kern w:val="2"/>
                <w:sz w:val="20"/>
                <w:lang w:val="en-US" w:eastAsia="zh-CN" w:bidi="ar"/>
              </w:rPr>
              <w:fldChar w:fldCharType="separate"/>
            </w:r>
            <w:r>
              <w:rPr>
                <w:rFonts w:eastAsia="宋体"/>
                <w:sz w:val="20"/>
                <w:vertAlign w:val="superscript"/>
                <w:lang w:val="en-US" w:eastAsia="zh-CN" w:bidi="ar"/>
              </w:rPr>
              <w:t>24</w:t>
            </w:r>
            <w:r>
              <w:rPr>
                <w:rFonts w:eastAsia="宋体"/>
                <w:kern w:val="2"/>
                <w:sz w:val="20"/>
                <w:lang w:val="en-US" w:eastAsia="zh-CN" w:bidi="ar"/>
              </w:rPr>
              <w:fldChar w:fldCharType="end"/>
            </w:r>
            <w:r>
              <w:rPr>
                <w:rFonts w:eastAsia="宋体"/>
                <w:kern w:val="2"/>
                <w:sz w:val="20"/>
                <w:lang w:val="en-US" w:eastAsia="zh-CN" w:bidi="ar"/>
              </w:rPr>
              <w:t>.</w:t>
            </w:r>
            <w:bookmarkEnd w:id="46"/>
            <w:r>
              <w:rPr>
                <w:rFonts w:eastAsia="宋体"/>
                <w:kern w:val="2"/>
                <w:sz w:val="20"/>
                <w:lang w:val="en-US" w:eastAsia="zh-CN" w:bidi="ar"/>
              </w:rPr>
              <w:t xml:space="preserve"> To account for multiple comparisons, P values were adjusted using the Benjamini-Hochberg false discovery rate (FDR), and FDR-adjusted P values &lt; 0.05 were considered statistically significant. The proportional hazards assumption was assessed using Schoenfeld residuals.</w:t>
            </w:r>
          </w:p>
          <w:p w14:paraId="033D530A" w14:textId="5EC14CEE" w:rsidR="00AB3BC0" w:rsidRDefault="00000000" w:rsidP="0079385E">
            <w:pPr>
              <w:widowControl w:val="0"/>
              <w:spacing w:line="360" w:lineRule="auto"/>
              <w:jc w:val="both"/>
              <w:rPr>
                <w:color w:val="000000"/>
                <w:sz w:val="20"/>
                <w:lang w:val="en-US" w:bidi="ar"/>
              </w:rPr>
            </w:pPr>
            <w:r>
              <w:rPr>
                <w:rFonts w:eastAsia="宋体"/>
                <w:kern w:val="2"/>
                <w:sz w:val="20"/>
                <w:lang w:val="en-US" w:eastAsia="zh-CN" w:bidi="ar"/>
              </w:rPr>
              <w:t xml:space="preserve">LCA was performed to identify distinct comorbidity patterns. Participants without comorbidities at baseline (N = 33,497) were classified as the minimal comorbidity group and excluded from LCA because they contribute to limited heterogeneity in comorbidity patterns, </w:t>
            </w:r>
            <w:r>
              <w:rPr>
                <w:rFonts w:eastAsia="宋体"/>
                <w:kern w:val="2"/>
                <w:sz w:val="20"/>
                <w:lang w:val="en-US" w:eastAsia="zh-CN" w:bidi="ar"/>
              </w:rPr>
              <w:lastRenderedPageBreak/>
              <w:t>in line with a previous study</w:t>
            </w:r>
            <w:r>
              <w:rPr>
                <w:rFonts w:eastAsia="宋体"/>
                <w:kern w:val="2"/>
                <w:sz w:val="20"/>
                <w:lang w:val="en-US" w:eastAsia="zh-CN" w:bidi="ar"/>
              </w:rPr>
              <w:fldChar w:fldCharType="begin"/>
            </w:r>
            <w:r>
              <w:rPr>
                <w:rFonts w:eastAsia="宋体"/>
                <w:kern w:val="2"/>
                <w:sz w:val="20"/>
                <w:lang w:val="en-US" w:eastAsia="zh-CN" w:bidi="ar"/>
              </w:rPr>
              <w:instrText xml:space="preserve"> ADDIN ZOTERO_ITEM CSL_CITATION {"citationID":"ZwIC4cwZ","properties":{"unsorted":false,"formattedCitation":"\\super 16\\nosupersub{}","plainCitation":"16","noteIndex":0},"citationItems":[{"id":"qgnD4WtC/KplHQVIH","uris":["http://zotero.org/users/9834796/items/NZM3SJNF"],"itemData":{"id":5877,"type":"article-journal","abstract":"Abstract\n            Aging is accompanied by the progressive accumulation of biological deficits, which increases susceptibility to developing multiple chronic diseases (that is, multimorbidity). The biological underpinnings of multimorbidity remain poorly understood. Here we analyzed 54 blood biomarkers reflecting inflammatory, vascular, metabolic and neurodegenerative processes in 2,247 individuals aged 60 and over from the Swedish National Study on Aging and Care in Kungsholmen. Multimorbidity was assessed using three measures: baseline total disease count, baseline multimorbidity patterns identified through latent class analysis and 15-year rate of disease accumulation. Associations between baseline biomarkers and multimorbidity measures were examined using least absolute shrinkage and selection operator regression. Growth differentiation factor 15, hemoglobin A1c, cystatin C, leptin and insulin were consistently and positively associated with all multimorbidity measures. Additional biomarkers demonstrated specific associations with distinct multimorbidity patterns. Moreover, faster disease accumulation was directly associated with gamma-glutamyl transferase and inversely with albumin. Longitudinal results were externally validated in 522 participants from the Baltimore Longitudinal Study of Aging, with comparable predictive accuracy. Our findings suggest that multiple biological processes contribute to multimorbidity through shared and distinct mechanisms. Metabolic disturbances emerged as a key driver of multimorbidity. If confirmed, these processes could represent targets for interventions to mitigate disease accumulation.","citation-key":"ornagoSharedSpecificBlood2026","container-title":"Nature Medicine","DOI":"10.1038/s41591-025-04038-2","ISSN":"1078-8956, 1546-170X","issue":"2","journalAbbreviation":"Nat Med","language":"en","page":"736-745","source":"DOI.org (Crossref)","title":"Shared and specific blood biomarkers for multimorbidity","volume":"32","author":[{"family":"Ornago","given":"Alice Margherita"},{"family":"Gregorio","given":"Caterina"},{"family":"Triolo","given":"Federico"},{"family":"Moore","given":"Ann Zenobia"},{"family":"Marengoni","given":"Alessandra"},{"family":"Beridze","given":"Giorgi"},{"family":"Grande","given":"Giulia"},{"family":"Bellelli","given":"Giuseppe"},{"family":"Dale","given":"Matilda"},{"family":"Fredolini","given":"Claudia"},{"family":"Ferrucci","given":"Luigi"},{"family":"Fratiglioni","given":"Laura"},{"family":"Calderón-Larrañaga","given":"Amaia"},{"family":"Vetrano","given":"Davide Liborio"}],"issued":{"date-parts":[["2026",2]]}}}],"schema":"https://github.com/citation-style-language/schema/raw/master/csl-citation.json"} </w:instrText>
            </w:r>
            <w:r>
              <w:rPr>
                <w:rFonts w:eastAsia="宋体"/>
                <w:kern w:val="2"/>
                <w:sz w:val="20"/>
                <w:lang w:val="en-US" w:eastAsia="zh-CN" w:bidi="ar"/>
              </w:rPr>
              <w:fldChar w:fldCharType="separate"/>
            </w:r>
            <w:r>
              <w:rPr>
                <w:rFonts w:eastAsia="宋体"/>
                <w:sz w:val="20"/>
                <w:vertAlign w:val="superscript"/>
                <w:lang w:val="en-US" w:eastAsia="zh-CN" w:bidi="ar"/>
              </w:rPr>
              <w:t>16</w:t>
            </w:r>
            <w:r>
              <w:rPr>
                <w:rFonts w:eastAsia="宋体"/>
                <w:kern w:val="2"/>
                <w:sz w:val="20"/>
                <w:lang w:val="en-US" w:eastAsia="zh-CN" w:bidi="ar"/>
              </w:rPr>
              <w:fldChar w:fldCharType="end"/>
            </w:r>
            <w:r>
              <w:rPr>
                <w:rFonts w:eastAsia="宋体"/>
                <w:kern w:val="2"/>
                <w:sz w:val="20"/>
                <w:lang w:val="en-US" w:eastAsia="zh-CN" w:bidi="ar"/>
              </w:rPr>
              <w:t xml:space="preserve">. Comorbidities with a prevalence &gt; 2% were included as indicators variables to reduce sparse data bias </w:t>
            </w:r>
            <w:r>
              <w:rPr>
                <w:rFonts w:eastAsia="宋体"/>
                <w:kern w:val="2"/>
                <w:sz w:val="20"/>
                <w:lang w:val="en-US" w:eastAsia="zh-CN" w:bidi="ar"/>
              </w:rPr>
              <w:fldChar w:fldCharType="begin"/>
            </w:r>
            <w:r>
              <w:rPr>
                <w:rFonts w:eastAsia="宋体"/>
                <w:kern w:val="2"/>
                <w:sz w:val="20"/>
                <w:lang w:val="en-US" w:eastAsia="zh-CN" w:bidi="ar"/>
              </w:rPr>
              <w:instrText xml:space="preserve"> ADDIN ZOTERO_ITEM CSL_CITATION {"citationID":"uXtvBj3P","properties":{"unsorted":false,"formattedCitation":"\\super 16\\nosupersub{}","plainCitation":"16","noteIndex":0},"citationItems":[{"id":"qgnD4WtC/KplHQVIH","uris":["http://zotero.org/users/9834796/items/NZM3SJNF"],"itemData":{"id":5877,"type":"article-journal","abstract":"Abstract\n            Aging is accompanied by the progressive accumulation of biological deficits, which increases susceptibility to developing multiple chronic diseases (that is, multimorbidity). The biological underpinnings of multimorbidity remain poorly understood. Here we analyzed 54 blood biomarkers reflecting inflammatory, vascular, metabolic and neurodegenerative processes in 2,247 individuals aged 60 and over from the Swedish National Study on Aging and Care in Kungsholmen. Multimorbidity was assessed using three measures: baseline total disease count, baseline multimorbidity patterns identified through latent class analysis and 15-year rate of disease accumulation. Associations between baseline biomarkers and multimorbidity measures were examined using least absolute shrinkage and selection operator regression. Growth differentiation factor 15, hemoglobin A1c, cystatin C, leptin and insulin were consistently and positively associated with all multimorbidity measures. Additional biomarkers demonstrated specific associations with distinct multimorbidity patterns. Moreover, faster disease accumulation was directly associated with gamma-glutamyl transferase and inversely with albumin. Longitudinal results were externally validated in 522 participants from the Baltimore Longitudinal Study of Aging, with comparable predictive accuracy. Our findings suggest that multiple biological processes contribute to multimorbidity through shared and distinct mechanisms. Metabolic disturbances emerged as a key driver of multimorbidity. If confirmed, these processes could represent targets for interventions to mitigate disease accumulation.","citation-key":"ornagoSharedSpecificBlood2026","container-title":"Nature Medicine","DOI":"10.1038/s41591-025-04038-2","ISSN":"1078-8956, 1546-170X","issue":"2","journalAbbreviation":"Nat Med","language":"en","page":"736-745","source":"DOI.org (Crossref)","title":"Shared and specific blood biomarkers for multimorbidity","volume":"32","author":[{"family":"Ornago","given":"Alice Margherita"},{"family":"Gregorio","given":"Caterina"},{"family":"Triolo","given":"Federico"},{"family":"Moore","given":"Ann Zenobia"},{"family":"Marengoni","given":"Alessandra"},{"family":"Beridze","given":"Giorgi"},{"family":"Grande","given":"Giulia"},{"family":"Bellelli","given":"Giuseppe"},{"family":"Dale","given":"Matilda"},{"family":"Fredolini","given":"Claudia"},{"family":"Ferrucci","given":"Luigi"},{"family":"Fratiglioni","given":"Laura"},{"family":"Calderón-Larrañaga","given":"Amaia"},{"family":"Vetrano","given":"Davide Liborio"}],"issued":{"date-parts":[["2026",2]]}}}],"schema":"https://github.com/citation-style-language/schema/raw/master/csl-citation.json"} </w:instrText>
            </w:r>
            <w:r>
              <w:rPr>
                <w:rFonts w:eastAsia="宋体"/>
                <w:kern w:val="2"/>
                <w:sz w:val="20"/>
                <w:lang w:val="en-US" w:eastAsia="zh-CN" w:bidi="ar"/>
              </w:rPr>
              <w:fldChar w:fldCharType="separate"/>
            </w:r>
            <w:r>
              <w:rPr>
                <w:rFonts w:eastAsia="宋体"/>
                <w:sz w:val="20"/>
                <w:vertAlign w:val="superscript"/>
                <w:lang w:val="en-US" w:eastAsia="zh-CN" w:bidi="ar"/>
              </w:rPr>
              <w:t>16</w:t>
            </w:r>
            <w:r>
              <w:rPr>
                <w:rFonts w:eastAsia="宋体"/>
                <w:kern w:val="2"/>
                <w:sz w:val="20"/>
                <w:lang w:val="en-US" w:eastAsia="zh-CN" w:bidi="ar"/>
              </w:rPr>
              <w:fldChar w:fldCharType="end"/>
            </w:r>
            <w:r>
              <w:rPr>
                <w:rFonts w:eastAsia="宋体"/>
                <w:kern w:val="2"/>
                <w:sz w:val="20"/>
                <w:lang w:val="en-US" w:eastAsia="zh-CN" w:bidi="ar"/>
              </w:rPr>
              <w:t xml:space="preserve">. Models with one to seven latent classes were estimated using 50 random starts and a maximum of 5,000 iterations to reduce the likelihood of convergence to local maxima. Model fit was evaluated using consistent Akaike information criterion (CAIC), the Bayesian Information Criterion (BIC) and the adjusted BIC (aBIC) </w:t>
            </w:r>
            <w:r>
              <w:rPr>
                <w:rFonts w:eastAsia="宋体"/>
                <w:kern w:val="2"/>
                <w:sz w:val="20"/>
                <w:lang w:val="en-US" w:eastAsia="zh-CN" w:bidi="ar"/>
              </w:rPr>
              <w:fldChar w:fldCharType="begin"/>
            </w:r>
            <w:r>
              <w:rPr>
                <w:rFonts w:eastAsia="宋体"/>
                <w:kern w:val="2"/>
                <w:sz w:val="20"/>
                <w:lang w:val="en-US" w:eastAsia="zh-CN" w:bidi="ar"/>
              </w:rPr>
              <w:instrText xml:space="preserve"> ADDIN ZOTERO_ITEM CSL_CITATION {"citationID":"lIIkLyNi","properties":{"unsorted":false,"formattedCitation":"\\super 25\\nosupersub{}","plainCitation":"25","noteIndex":0},"citationItems":[{"id":5879,"uris":["http://zotero.org/users/9834796/items/ZKW2CU8Z"],"itemData":{"id":5879,"type":"article-journal","citation-key":"schwarzEstimatingDimensionModel1978","container-title":"The Annals of Statistics","DOI":"10.1214/aos/1176344136","ISSN":"0090-5364","issue":"2","journalAbbreviation":"Ann. Statist.","language":"en","source":"DOI.org (Crossref)","title":"Estimating the Dimension of a Model","URL":"https://projecteuclid.org/journals/annals-of-statistics/volume-6/issue-2/Estimating-the-Dimension-of-a-Model/10.1214/aos/1176344136.full","volume":"6","author":[{"family":"Schwarz","given":"Gideon"}],"accessed":{"date-parts":[["2026",3,17]]},"issued":{"date-parts":[["1978",3,1]]}}}],"schema":"https://github.com/citation-style-language/schema/raw/master/csl-citation.json"} </w:instrText>
            </w:r>
            <w:r>
              <w:rPr>
                <w:rFonts w:eastAsia="宋体"/>
                <w:kern w:val="2"/>
                <w:sz w:val="20"/>
                <w:lang w:val="en-US" w:eastAsia="zh-CN" w:bidi="ar"/>
              </w:rPr>
              <w:fldChar w:fldCharType="separate"/>
            </w:r>
            <w:r>
              <w:rPr>
                <w:rFonts w:eastAsia="宋体"/>
                <w:sz w:val="20"/>
                <w:vertAlign w:val="superscript"/>
                <w:lang w:val="en-US" w:eastAsia="zh-CN" w:bidi="ar"/>
              </w:rPr>
              <w:t>25</w:t>
            </w:r>
            <w:r>
              <w:rPr>
                <w:rFonts w:eastAsia="宋体"/>
                <w:kern w:val="2"/>
                <w:sz w:val="20"/>
                <w:lang w:val="en-US" w:eastAsia="zh-CN" w:bidi="ar"/>
              </w:rPr>
              <w:fldChar w:fldCharType="end"/>
            </w:r>
            <w:r>
              <w:rPr>
                <w:rFonts w:eastAsia="宋体"/>
                <w:kern w:val="2"/>
                <w:sz w:val="20"/>
                <w:lang w:val="en-US" w:eastAsia="zh-CN" w:bidi="ar"/>
              </w:rPr>
              <w:t xml:space="preserve">. The final models was selected by considering these fit indices together with the elbow in BIC reduction, class interpretability and clinical relevance </w:t>
            </w:r>
            <w:r>
              <w:rPr>
                <w:rFonts w:eastAsia="宋体"/>
                <w:kern w:val="2"/>
                <w:sz w:val="20"/>
                <w:lang w:val="en-US" w:eastAsia="zh-CN" w:bidi="ar"/>
              </w:rPr>
              <w:fldChar w:fldCharType="begin"/>
            </w:r>
            <w:r>
              <w:rPr>
                <w:rFonts w:eastAsia="宋体"/>
                <w:kern w:val="2"/>
                <w:sz w:val="20"/>
                <w:lang w:val="en-US" w:eastAsia="zh-CN" w:bidi="ar"/>
              </w:rPr>
              <w:instrText xml:space="preserve"> ADDIN ZOTERO_ITEM CSL_CITATION {"citationID":"HJqGHNrO","properties":{"unsorted":false,"formattedCitation":"\\super 17\\nosupersub{}","plainCitation":"17","noteIndex":0},"citationItems":[{"id":6038,"uris":["http://zotero.org/users/9834796/items/DI74PVQS"],"itemData":{"id":6038,"type":"article-journal","abstract":"Latent Class Analysis (LCA) is a probabilistic modelling algorithm that allows clustering of data and statistical inference. There has been a recent upsurge in the application of LCA in the fields of critical care, respiratory medicine, and beyond. In this review, we present a brief overview of the principles behind LCA. Further, in a stepwise manner, we outline the key processes necessary to perform LCA including some of the challenges and pitfalls faced at each of these steps. The review provides a one-stop shop for investigators seeking to apply LCA to their data.","citation-key":"sinhaPractitionersGuideLatent2021","container-title":"Critical care medicine","DOI":"10.1097/CCM.0000000000004710","ISSN":"0090-3493","issue":"1","journalAbbreviation":"Crit Care Med","page":"e63-e79","PMID":"33165028","PMCID":"PMC7746621","source":"PubMed Central","title":"Practitioner’s Guide to Latent Class Analysis: Methodological Considerations and Common Pitfalls.","title-short":"Practitioner’s Guide to Latent Class Analysis","volume":"49","author":[{"family":"Sinha","given":"Pratik"},{"family":"Calfee","given":"Carolyn S."},{"family":"Delucchi","given":"Kevin L."}],"issued":{"date-parts":[["2021",1,1]]}}}],"schema":"https://github.com/citation-style-language/schema/raw/master/csl-citation.json"} </w:instrText>
            </w:r>
            <w:r>
              <w:rPr>
                <w:rFonts w:eastAsia="宋体"/>
                <w:kern w:val="2"/>
                <w:sz w:val="20"/>
                <w:lang w:val="en-US" w:eastAsia="zh-CN" w:bidi="ar"/>
              </w:rPr>
              <w:fldChar w:fldCharType="separate"/>
            </w:r>
            <w:r>
              <w:rPr>
                <w:rFonts w:eastAsia="宋体"/>
                <w:sz w:val="20"/>
                <w:vertAlign w:val="superscript"/>
                <w:lang w:val="en-US" w:eastAsia="zh-CN" w:bidi="ar"/>
              </w:rPr>
              <w:t>17</w:t>
            </w:r>
            <w:r>
              <w:rPr>
                <w:rFonts w:eastAsia="宋体"/>
                <w:kern w:val="2"/>
                <w:sz w:val="20"/>
                <w:lang w:val="en-US" w:eastAsia="zh-CN" w:bidi="ar"/>
              </w:rPr>
              <w:fldChar w:fldCharType="end"/>
            </w:r>
            <w:r>
              <w:rPr>
                <w:rFonts w:eastAsia="宋体"/>
                <w:kern w:val="2"/>
                <w:sz w:val="20"/>
                <w:lang w:val="en-US" w:eastAsia="zh-CN" w:bidi="ar"/>
              </w:rPr>
              <w:t xml:space="preserve">. Classification quality was assessed using </w:t>
            </w:r>
            <w:r>
              <w:rPr>
                <w:rFonts w:eastAsia="Helvetica"/>
                <w:color w:val="000000"/>
                <w:sz w:val="20"/>
                <w:lang w:val="en-US" w:eastAsia="zh-CN" w:bidi="ar"/>
              </w:rPr>
              <w:t>average posterior</w:t>
            </w:r>
            <w:r>
              <w:rPr>
                <w:rFonts w:eastAsia="宋体"/>
                <w:color w:val="000000"/>
                <w:sz w:val="20"/>
                <w:lang w:val="en-US" w:eastAsia="zh-CN" w:bidi="ar"/>
              </w:rPr>
              <w:t xml:space="preserve"> probability, with values</w:t>
            </w:r>
            <w:r>
              <w:rPr>
                <w:rFonts w:eastAsia="等线"/>
                <w:noProof/>
                <w:kern w:val="2"/>
                <w:position w:val="-6"/>
                <w:sz w:val="20"/>
                <w:lang w:val="en-US" w:eastAsia="zh-CN" w:bidi="ar"/>
              </w:rPr>
              <w:drawing>
                <wp:inline distT="0" distB="0" distL="114300" distR="114300" wp14:anchorId="2A3E93F0" wp14:editId="3DBE272B">
                  <wp:extent cx="114300" cy="180975"/>
                  <wp:effectExtent l="0" t="0" r="0"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clrChange>
                              <a:clrFrom>
                                <a:srgbClr val="FFFFFF"/>
                              </a:clrFrom>
                              <a:clrTo>
                                <a:srgbClr val="FFFFFF">
                                  <a:alpha val="0"/>
                                </a:srgbClr>
                              </a:clrTo>
                            </a:clrChange>
                          </a:blip>
                          <a:stretch>
                            <a:fillRect/>
                          </a:stretch>
                        </pic:blipFill>
                        <pic:spPr>
                          <a:xfrm>
                            <a:off x="0" y="0"/>
                            <a:ext cx="114300" cy="180975"/>
                          </a:xfrm>
                          <a:prstGeom prst="rect">
                            <a:avLst/>
                          </a:prstGeom>
                          <a:noFill/>
                          <a:ln>
                            <a:noFill/>
                          </a:ln>
                        </pic:spPr>
                      </pic:pic>
                    </a:graphicData>
                  </a:graphic>
                </wp:inline>
              </w:drawing>
            </w:r>
            <w:r>
              <w:rPr>
                <w:rFonts w:eastAsia="宋体"/>
                <w:color w:val="000000"/>
                <w:sz w:val="20"/>
                <w:lang w:val="en-US" w:eastAsia="zh-CN" w:bidi="ar"/>
              </w:rPr>
              <w:t>0.80</w:t>
            </w:r>
            <w:r>
              <w:rPr>
                <w:rFonts w:eastAsia="Helvetica"/>
                <w:color w:val="000000"/>
                <w:sz w:val="20"/>
                <w:lang w:val="en-US" w:eastAsia="zh-CN" w:bidi="ar"/>
              </w:rPr>
              <w:t xml:space="preserve"> </w:t>
            </w:r>
            <w:r>
              <w:rPr>
                <w:rFonts w:eastAsia="宋体"/>
                <w:color w:val="000000"/>
                <w:sz w:val="20"/>
                <w:lang w:val="en-US" w:eastAsia="zh-CN" w:bidi="ar"/>
              </w:rPr>
              <w:t>indicating acceptable discrimination</w:t>
            </w:r>
            <w:r>
              <w:rPr>
                <w:rFonts w:eastAsia="Helvetica"/>
                <w:color w:val="000000"/>
                <w:sz w:val="20"/>
                <w:lang w:val="en-US" w:eastAsia="zh-CN" w:bidi="ar"/>
              </w:rPr>
              <w:t>.</w:t>
            </w:r>
            <w:r>
              <w:rPr>
                <w:rFonts w:eastAsia="Helvetica"/>
                <w:color w:val="000000"/>
                <w:sz w:val="20"/>
                <w:lang w:val="en-US" w:eastAsia="zh-CN" w:bidi="ar"/>
              </w:rPr>
              <w:fldChar w:fldCharType="begin"/>
            </w:r>
            <w:r>
              <w:rPr>
                <w:rFonts w:eastAsia="Helvetica"/>
                <w:color w:val="000000"/>
                <w:sz w:val="20"/>
                <w:lang w:val="en-US" w:eastAsia="zh-CN" w:bidi="ar"/>
              </w:rPr>
              <w:instrText xml:space="preserve"> ADDIN ZOTERO_ITEM CSL_CITATION {"citationID":"ERBnO4DX","properties":{"unsorted":false,"formattedCitation":"\\super 26\\nosupersub{}","plainCitation":"26","noteIndex":0},"citationItems":[{"id":6057,"uris":["http://zotero.org/users/9834796/items/KTK93MTV"],"itemData":{"id":6057,"type":"article-journal","abstract":"Evidence suggests that children and adolescents with avoidant/restrictive food intake disorder (ARFID) have heterogeneous clinical presentations. To use latent class analysis (LCA) and determine the frequency of various classes in pediatric patients with ARFID drawn from a 2-year surveillance study.Cases were ascertained using the Canadian Pediatric Surveillance Program methodology from January 1, 2016, to December 31, 2017. An exploratory LCA was undertaken with latent class models ranging from 1 to 5 classes.Based on fit statistics and class interpretability, a 3-class model had the best fit: Acute Medical (AM), Lack of Appetite (LOA), and Sensory (S). The probability of being classified as AM, LOA, and S was 52%, 40.7%, and 6.9%, respectively. The AM class was distinct for increased likelihood of weight loss (92%), a shorter length of illness (&amp;lt;12 months) (66%), medical hospitalization (56%), and heart rate &amp;lt;60 beats per minute (31%). The LOA class was distinct for failure to gain weight (97%) and faltering growth (68%). The S class was distinct for avoiding certain foods (100%) and refusing to eat because of sensory characteristics of the food (100%). Using posterior probability assignments, a mixed group AM/LOA (n = 30; 14.5%) had characteristics of both AM and LOA classes.This LCA suggests that ARFID is a heterogeneous diagnosis with 3 distinct classes corresponding to the 3 subtypes described in the literature: AM, LOA, and S. The AM/LOA group had a mixed clinical presentation. Clinicians need to be aware of these different ARFID presentations because clinical and treatment needs will vary.","citation-key":"katzmanClassificationChildrenAdolescents2022","container-title":"Pediatrics","DOI":"10.1542/peds.2022-057494","ISSN":"0031-4005","issue":"3","journalAbbreviation":"Pediatrics","page":"e2022057494","source":"Silverchair","title":"Classification of Children and Adolescents With Avoidant/Restrictive Food Intake Disorder","volume":"150","author":[{"family":"Katzman","given":"Debra K."},{"family":"Guimond","given":"Tim"},{"family":"Spettigue","given":"Wendy"},{"family":"Agostino","given":"Holly"},{"family":"Couturier","given":"Jennifer"},{"family":"Norris","given":"Mark L."}],"issued":{"date-parts":[["2022",8,10]]}}}],"schema":"https://github.com/citation-style-language/schema/raw/master/csl-citation.json"} </w:instrText>
            </w:r>
            <w:r>
              <w:rPr>
                <w:rFonts w:eastAsia="Helvetica"/>
                <w:color w:val="000000"/>
                <w:sz w:val="20"/>
                <w:lang w:val="en-US" w:eastAsia="zh-CN" w:bidi="ar"/>
              </w:rPr>
              <w:fldChar w:fldCharType="separate"/>
            </w:r>
            <w:r>
              <w:rPr>
                <w:rFonts w:eastAsia="宋体"/>
                <w:sz w:val="20"/>
                <w:vertAlign w:val="superscript"/>
                <w:lang w:val="en-US" w:eastAsia="zh-CN" w:bidi="ar"/>
              </w:rPr>
              <w:t>26</w:t>
            </w:r>
            <w:r>
              <w:rPr>
                <w:rFonts w:eastAsia="Helvetica"/>
                <w:color w:val="000000"/>
                <w:sz w:val="20"/>
                <w:lang w:val="en-US" w:eastAsia="zh-CN" w:bidi="ar"/>
              </w:rPr>
              <w:fldChar w:fldCharType="end"/>
            </w:r>
            <w:r>
              <w:rPr>
                <w:rFonts w:eastAsia="Helvetica"/>
                <w:color w:val="000000"/>
                <w:sz w:val="20"/>
                <w:lang w:val="en-US" w:eastAsia="zh-CN" w:bidi="ar"/>
              </w:rPr>
              <w:t xml:space="preserve"> </w:t>
            </w:r>
          </w:p>
          <w:p w14:paraId="62A75F34" w14:textId="77777777" w:rsidR="00AB3BC0" w:rsidRDefault="00000000" w:rsidP="0079385E">
            <w:pPr>
              <w:widowControl w:val="0"/>
              <w:spacing w:line="360" w:lineRule="auto"/>
              <w:jc w:val="both"/>
              <w:rPr>
                <w:sz w:val="20"/>
                <w:lang w:val="en-US"/>
              </w:rPr>
            </w:pPr>
            <w:r>
              <w:rPr>
                <w:rFonts w:eastAsia="宋体"/>
                <w:color w:val="000000"/>
                <w:sz w:val="20"/>
                <w:lang w:val="en-US" w:eastAsia="zh-CN" w:bidi="ar"/>
              </w:rPr>
              <w:t xml:space="preserve">Comorbidity enrichment within each latent class was evaluated using the </w:t>
            </w:r>
            <w:r>
              <w:rPr>
                <w:rFonts w:eastAsia="宋体"/>
                <w:kern w:val="2"/>
                <w:sz w:val="20"/>
                <w:lang w:val="en-US" w:eastAsia="zh-CN" w:bidi="ar"/>
              </w:rPr>
              <w:t>observed/expected ratio (O/E) to assess enrichment of specific comorbidities compared to the overall population and the exclusivity to quantify the proportion of participants with a condition assigned to a given class, based on a previous study.</w:t>
            </w:r>
            <w:r>
              <w:rPr>
                <w:rFonts w:eastAsia="宋体"/>
                <w:kern w:val="2"/>
                <w:sz w:val="20"/>
                <w:lang w:val="en-US" w:eastAsia="zh-CN" w:bidi="ar"/>
              </w:rPr>
              <w:fldChar w:fldCharType="begin"/>
            </w:r>
            <w:r>
              <w:rPr>
                <w:rFonts w:eastAsia="宋体"/>
                <w:kern w:val="2"/>
                <w:sz w:val="20"/>
                <w:lang w:val="en-US" w:eastAsia="zh-CN" w:bidi="ar"/>
              </w:rPr>
              <w:instrText xml:space="preserve"> ADDIN ZOTERO_ITEM CSL_CITATION {"citationID":"acmmoc2e7t","properties":{"unsorted":false,"formattedCitation":"\\super 16\\nosupersub{}","plainCitation":"16","noteIndex":0},"citationItems":[{"id":"qgnD4WtC/KplHQVIH","uris":["http://zotero.org/users/9834796/items/NZM3SJNF"],"itemData":{"id":5877,"type":"article-journal","abstract":"Abstract\n            Aging is accompanied by the progressive accumulation of biological deficits, which increases susceptibility to developing multiple chronic diseases (that is, multimorbidity). The biological underpinnings of multimorbidity remain poorly understood. Here we analyzed 54 blood biomarkers reflecting inflammatory, vascular, metabolic and neurodegenerative processes in 2,247 individuals aged 60 and over from the Swedish National Study on Aging and Care in Kungsholmen. Multimorbidity was assessed using three measures: baseline total disease count, baseline multimorbidity patterns identified through latent class analysis and 15-year rate of disease accumulation. Associations between baseline biomarkers and multimorbidity measures were examined using least absolute shrinkage and selection operator regression. Growth differentiation factor 15, hemoglobin A1c, cystatin C, leptin and insulin were consistently and positively associated with all multimorbidity measures. Additional biomarkers demonstrated specific associations with distinct multimorbidity patterns. Moreover, faster disease accumulation was directly associated with gamma-glutamyl transferase and inversely with albumin. Longitudinal results were externally validated in 522 participants from the Baltimore Longitudinal Study of Aging, with comparable predictive accuracy. Our findings suggest that multiple biological processes contribute to multimorbidity through shared and distinct mechanisms. Metabolic disturbances emerged as a key driver of multimorbidity. If confirmed, these processes could represent targets for interventions to mitigate disease accumulation.","citation-key":"ornagoSharedSpecificBlood2026","container-title":"Nature Medicine","DOI":"10.1038/s41591-025-04038-2","ISSN":"1078-8956, 1546-170X","issue":"2","journalAbbreviation":"Nat Med","language":"en","page":"736-745","source":"DOI.org (Crossref)","title":"Shared and specific blood biomarkers for multimorbidity","volume":"32","author":[{"family":"Ornago","given":"Alice Margherita"},{"family":"Gregorio","given":"Caterina"},{"family":"Triolo","given":"Federico"},{"family":"Moore","given":"Ann Zenobia"},{"family":"Marengoni","given":"Alessandra"},{"family":"Beridze","given":"Giorgi"},{"family":"Grande","given":"Giulia"},{"family":"Bellelli","given":"Giuseppe"},{"family":"Dale","given":"Matilda"},{"family":"Fredolini","given":"Claudia"},{"family":"Ferrucci","given":"Luigi"},{"family":"Fratiglioni","given":"Laura"},{"family":"Calderón-Larrañaga","given":"Amaia"},{"family":"Vetrano","given":"Davide Liborio"}],"issued":{"date-parts":[["2026",2]]}}}],"schema":"https://github.com/citation-style-language/schema/raw/master/csl-citation.json"} </w:instrText>
            </w:r>
            <w:r>
              <w:rPr>
                <w:rFonts w:eastAsia="宋体"/>
                <w:kern w:val="2"/>
                <w:sz w:val="20"/>
                <w:lang w:val="en-US" w:eastAsia="zh-CN" w:bidi="ar"/>
              </w:rPr>
              <w:fldChar w:fldCharType="separate"/>
            </w:r>
            <w:r>
              <w:rPr>
                <w:rFonts w:eastAsia="宋体"/>
                <w:sz w:val="20"/>
                <w:vertAlign w:val="superscript"/>
                <w:lang w:val="en-US" w:eastAsia="zh-CN" w:bidi="ar"/>
              </w:rPr>
              <w:t>16</w:t>
            </w:r>
            <w:r>
              <w:rPr>
                <w:rFonts w:eastAsia="宋体"/>
                <w:kern w:val="2"/>
                <w:sz w:val="20"/>
                <w:lang w:val="en-US" w:eastAsia="zh-CN" w:bidi="ar"/>
              </w:rPr>
              <w:fldChar w:fldCharType="end"/>
            </w:r>
            <w:r>
              <w:rPr>
                <w:rFonts w:eastAsia="宋体"/>
                <w:kern w:val="2"/>
                <w:sz w:val="20"/>
                <w:lang w:val="en-US" w:eastAsia="zh-CN" w:bidi="ar"/>
              </w:rPr>
              <w:t xml:space="preserve"> Conditions with O/E ratios</w:t>
            </w:r>
            <w:r>
              <w:rPr>
                <w:rFonts w:eastAsia="等线"/>
                <w:noProof/>
                <w:kern w:val="2"/>
                <w:position w:val="-6"/>
                <w:sz w:val="20"/>
                <w:lang w:val="en-US" w:eastAsia="zh-CN" w:bidi="ar"/>
              </w:rPr>
              <w:drawing>
                <wp:inline distT="0" distB="0" distL="114300" distR="114300" wp14:anchorId="42F17350" wp14:editId="43E1A3F9">
                  <wp:extent cx="114300" cy="180975"/>
                  <wp:effectExtent l="0" t="0" r="0" b="762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114300" cy="180975"/>
                          </a:xfrm>
                          <a:prstGeom prst="rect">
                            <a:avLst/>
                          </a:prstGeom>
                          <a:noFill/>
                          <a:ln>
                            <a:noFill/>
                          </a:ln>
                        </pic:spPr>
                      </pic:pic>
                    </a:graphicData>
                  </a:graphic>
                </wp:inline>
              </w:drawing>
            </w:r>
            <w:r>
              <w:rPr>
                <w:rFonts w:eastAsia="宋体"/>
                <w:kern w:val="2"/>
                <w:sz w:val="20"/>
                <w:lang w:val="en-US" w:eastAsia="zh-CN" w:bidi="ar"/>
              </w:rPr>
              <w:t>1.2 and exclusivity</w:t>
            </w:r>
            <w:r>
              <w:rPr>
                <w:rFonts w:eastAsia="等线"/>
                <w:noProof/>
                <w:kern w:val="2"/>
                <w:position w:val="-6"/>
                <w:sz w:val="20"/>
                <w:lang w:val="en-US" w:eastAsia="zh-CN" w:bidi="ar"/>
              </w:rPr>
              <w:drawing>
                <wp:inline distT="0" distB="0" distL="114300" distR="114300" wp14:anchorId="425C4E1D" wp14:editId="6A2D9363">
                  <wp:extent cx="114300" cy="180975"/>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114300" cy="180975"/>
                          </a:xfrm>
                          <a:prstGeom prst="rect">
                            <a:avLst/>
                          </a:prstGeom>
                          <a:noFill/>
                          <a:ln>
                            <a:noFill/>
                          </a:ln>
                        </pic:spPr>
                      </pic:pic>
                    </a:graphicData>
                  </a:graphic>
                </wp:inline>
              </w:drawing>
            </w:r>
            <w:r>
              <w:rPr>
                <w:rFonts w:eastAsia="宋体"/>
                <w:kern w:val="2"/>
                <w:sz w:val="20"/>
                <w:lang w:val="en-US" w:eastAsia="zh-CN" w:bidi="ar"/>
              </w:rPr>
              <w:t xml:space="preserve">0.25 were considered overexpressed and used to characterize each class. Baseline characteristics across the latent classes were compared using maximum absolute pairwise standardized mean differences (SMDs), with absolute SMDs &gt; 0.1 indicating meaningful between-class differences </w:t>
            </w:r>
            <w:r>
              <w:rPr>
                <w:rFonts w:eastAsia="宋体"/>
                <w:kern w:val="2"/>
                <w:sz w:val="20"/>
                <w:lang w:val="en-US" w:eastAsia="zh-CN" w:bidi="ar"/>
              </w:rPr>
              <w:fldChar w:fldCharType="begin"/>
            </w:r>
            <w:r>
              <w:rPr>
                <w:rFonts w:eastAsia="宋体"/>
                <w:kern w:val="2"/>
                <w:sz w:val="20"/>
                <w:lang w:val="en-US" w:eastAsia="zh-CN" w:bidi="ar"/>
              </w:rPr>
              <w:instrText xml:space="preserve"> ADDIN ZOTERO_ITEM CSL_CITATION {"citationID":"a6u39pe8u0","properties":{"unsorted":false,"formattedCitation":"\\super 27\\nosupersub{}","plainCitation":"27","noteIndex":0},"citationItems":[{"id":7299,"uris":["http://zotero.org/users/9834796/items/AAXLBKWB"],"itemData":{"id":7299,"type":"article-journal","abstract":"Objectives To characterize the long term risk of death and hospital readmission after an index admission with covid-19 among Medicare fee-for-service beneficiaries, and to compare these outcomes with historical control patients admitted to hospital with influenza.","citation-key":"oseranLongTermRisk2023","container-title":"BMJ","DOI":"10.1136/bmj-2023-076222","ISSN":"1756-1833","journalAbbreviation":"BMJ","language":"en","page":"e076222","source":"DOI.org (Crossref)","title":"Long term risk of death and readmission after hospital admission with covid-19 among older adults: retrospective cohort study","title-short":"Long term risk of death and readmission after hospital admission with covid-19 among older adults","volume":"382","author":[{"family":"Oseran","given":"Andrew S"},{"family":"Song","given":"Yang"},{"family":"Xu","given":"Jiaman"},{"family":"Dahabreh","given":"Issa J"},{"family":"Wadhera","given":"Rishi K"},{"family":"De Lemos","given":"James A"},{"family":"Das","given":"Sandeep R"},{"family":"Sun","given":"Tianyu"},{"family":"Yeh","given":"Robert W"},{"family":"Kazi","given":"Dhruv S"}],"issued":{"date-parts":[["2023",8,9]]}}}],"schema":"https://github.com/citation-style-language/schema/raw/master/csl-citation.json"} </w:instrText>
            </w:r>
            <w:r>
              <w:rPr>
                <w:rFonts w:eastAsia="宋体"/>
                <w:kern w:val="2"/>
                <w:sz w:val="20"/>
                <w:lang w:val="en-US" w:eastAsia="zh-CN" w:bidi="ar"/>
              </w:rPr>
              <w:fldChar w:fldCharType="separate"/>
            </w:r>
            <w:r>
              <w:rPr>
                <w:rFonts w:eastAsia="宋体"/>
                <w:sz w:val="20"/>
                <w:vertAlign w:val="superscript"/>
                <w:lang w:val="en-US" w:eastAsia="zh-CN" w:bidi="ar"/>
              </w:rPr>
              <w:t>27</w:t>
            </w:r>
            <w:r>
              <w:rPr>
                <w:rFonts w:eastAsia="宋体"/>
                <w:kern w:val="2"/>
                <w:sz w:val="20"/>
                <w:lang w:val="en-US" w:eastAsia="zh-CN" w:bidi="ar"/>
              </w:rPr>
              <w:fldChar w:fldCharType="end"/>
            </w:r>
            <w:r>
              <w:rPr>
                <w:rFonts w:eastAsia="宋体"/>
                <w:kern w:val="2"/>
                <w:sz w:val="20"/>
                <w:lang w:val="en-US" w:eastAsia="zh-CN" w:bidi="ar"/>
              </w:rPr>
              <w:t>.</w:t>
            </w:r>
          </w:p>
          <w:p w14:paraId="49FC2D0D" w14:textId="77777777" w:rsidR="00AB3BC0" w:rsidRDefault="00AB3BC0">
            <w:pPr>
              <w:tabs>
                <w:tab w:val="left" w:pos="5400"/>
              </w:tabs>
              <w:rPr>
                <w:sz w:val="20"/>
              </w:rPr>
            </w:pPr>
          </w:p>
        </w:tc>
      </w:tr>
      <w:tr w:rsidR="00AB3BC0" w14:paraId="7504F445" w14:textId="77777777">
        <w:tc>
          <w:tcPr>
            <w:tcW w:w="1521" w:type="dxa"/>
            <w:gridSpan w:val="2"/>
            <w:vMerge/>
          </w:tcPr>
          <w:p w14:paraId="7AA3A43B" w14:textId="77777777" w:rsidR="00AB3BC0" w:rsidRDefault="00AB3BC0">
            <w:pPr>
              <w:tabs>
                <w:tab w:val="left" w:pos="5400"/>
              </w:tabs>
              <w:rPr>
                <w:bCs/>
                <w:sz w:val="20"/>
              </w:rPr>
            </w:pPr>
            <w:bookmarkStart w:id="47" w:name="italic26" w:colFirst="0" w:colLast="0"/>
            <w:bookmarkStart w:id="48" w:name="bold24" w:colFirst="0" w:colLast="0"/>
          </w:p>
        </w:tc>
        <w:tc>
          <w:tcPr>
            <w:tcW w:w="749" w:type="dxa"/>
            <w:gridSpan w:val="2"/>
            <w:vMerge/>
          </w:tcPr>
          <w:p w14:paraId="72E05514" w14:textId="77777777" w:rsidR="00AB3BC0" w:rsidRDefault="00AB3BC0">
            <w:pPr>
              <w:tabs>
                <w:tab w:val="left" w:pos="5400"/>
              </w:tabs>
              <w:jc w:val="center"/>
              <w:rPr>
                <w:sz w:val="20"/>
              </w:rPr>
            </w:pPr>
          </w:p>
        </w:tc>
        <w:tc>
          <w:tcPr>
            <w:tcW w:w="4250" w:type="dxa"/>
          </w:tcPr>
          <w:p w14:paraId="232CE4D1" w14:textId="77777777" w:rsidR="00AB3BC0" w:rsidRDefault="00000000">
            <w:pPr>
              <w:tabs>
                <w:tab w:val="left" w:pos="5400"/>
              </w:tabs>
              <w:rPr>
                <w:sz w:val="20"/>
              </w:rPr>
            </w:pPr>
            <w:r>
              <w:rPr>
                <w:sz w:val="20"/>
              </w:rPr>
              <w:t>(</w:t>
            </w:r>
            <w:r>
              <w:rPr>
                <w:i/>
                <w:sz w:val="20"/>
              </w:rPr>
              <w:t>b</w:t>
            </w:r>
            <w:r>
              <w:rPr>
                <w:sz w:val="20"/>
              </w:rPr>
              <w:t>) Describe any methods used to examine subgroups and interactions</w:t>
            </w:r>
          </w:p>
        </w:tc>
        <w:tc>
          <w:tcPr>
            <w:tcW w:w="626" w:type="dxa"/>
            <w:gridSpan w:val="2"/>
          </w:tcPr>
          <w:p w14:paraId="0C52E5D8" w14:textId="21BF8659" w:rsidR="00AB3BC0" w:rsidRDefault="00000000">
            <w:pPr>
              <w:tabs>
                <w:tab w:val="left" w:pos="5400"/>
              </w:tabs>
              <w:rPr>
                <w:rFonts w:eastAsia="宋体"/>
                <w:sz w:val="20"/>
                <w:lang w:val="en-US" w:eastAsia="zh-CN"/>
              </w:rPr>
            </w:pPr>
            <w:r>
              <w:rPr>
                <w:rFonts w:eastAsia="宋体" w:hint="eastAsia"/>
                <w:sz w:val="20"/>
                <w:lang w:val="en-US" w:eastAsia="zh-CN"/>
              </w:rPr>
              <w:t>1</w:t>
            </w:r>
            <w:r w:rsidR="00C51B6A">
              <w:rPr>
                <w:rFonts w:eastAsia="宋体" w:hint="eastAsia"/>
                <w:sz w:val="20"/>
                <w:lang w:val="en-US" w:eastAsia="zh-CN"/>
              </w:rPr>
              <w:t>0</w:t>
            </w:r>
          </w:p>
        </w:tc>
        <w:tc>
          <w:tcPr>
            <w:tcW w:w="7846" w:type="dxa"/>
          </w:tcPr>
          <w:p w14:paraId="6348409F" w14:textId="77777777" w:rsidR="00AB3BC0" w:rsidRDefault="00000000">
            <w:pPr>
              <w:spacing w:line="360" w:lineRule="auto"/>
              <w:rPr>
                <w:color w:val="000000"/>
                <w:sz w:val="20"/>
                <w:lang w:bidi="ar"/>
              </w:rPr>
            </w:pPr>
            <w:r>
              <w:rPr>
                <w:rFonts w:eastAsia="Helvetica"/>
                <w:color w:val="000000"/>
                <w:sz w:val="20"/>
                <w:lang w:bidi="ar"/>
              </w:rPr>
              <w:t>To evaluate the robustness of the</w:t>
            </w:r>
            <w:r>
              <w:rPr>
                <w:color w:val="000000"/>
                <w:sz w:val="20"/>
                <w:lang w:bidi="ar"/>
              </w:rPr>
              <w:t xml:space="preserve"> identified </w:t>
            </w:r>
            <w:r>
              <w:rPr>
                <w:rFonts w:eastAsia="Helvetica"/>
                <w:color w:val="000000"/>
                <w:sz w:val="20"/>
                <w:lang w:bidi="ar"/>
              </w:rPr>
              <w:t>comorbidity patterns, LCA was conducted in male and female.</w:t>
            </w:r>
            <w:r>
              <w:rPr>
                <w:color w:val="000000"/>
                <w:sz w:val="20"/>
                <w:lang w:bidi="ar"/>
              </w:rPr>
              <w:t xml:space="preserve"> </w:t>
            </w:r>
          </w:p>
          <w:p w14:paraId="65E3F398" w14:textId="77777777" w:rsidR="00AB3BC0" w:rsidRDefault="00AB3BC0">
            <w:pPr>
              <w:tabs>
                <w:tab w:val="left" w:pos="5400"/>
              </w:tabs>
              <w:rPr>
                <w:sz w:val="20"/>
              </w:rPr>
            </w:pPr>
          </w:p>
        </w:tc>
      </w:tr>
      <w:tr w:rsidR="00AB3BC0" w14:paraId="78D53515" w14:textId="77777777">
        <w:tc>
          <w:tcPr>
            <w:tcW w:w="1521" w:type="dxa"/>
            <w:gridSpan w:val="2"/>
            <w:vMerge/>
          </w:tcPr>
          <w:p w14:paraId="5A1BE40A" w14:textId="77777777" w:rsidR="00AB3BC0" w:rsidRDefault="00AB3BC0">
            <w:pPr>
              <w:tabs>
                <w:tab w:val="left" w:pos="5400"/>
              </w:tabs>
              <w:rPr>
                <w:bCs/>
                <w:sz w:val="20"/>
              </w:rPr>
            </w:pPr>
            <w:bookmarkStart w:id="49" w:name="italic27" w:colFirst="0" w:colLast="0"/>
            <w:bookmarkStart w:id="50" w:name="bold25" w:colFirst="0" w:colLast="0"/>
            <w:bookmarkEnd w:id="47"/>
            <w:bookmarkEnd w:id="48"/>
          </w:p>
        </w:tc>
        <w:tc>
          <w:tcPr>
            <w:tcW w:w="749" w:type="dxa"/>
            <w:gridSpan w:val="2"/>
            <w:vMerge/>
          </w:tcPr>
          <w:p w14:paraId="7B083FE7" w14:textId="77777777" w:rsidR="00AB3BC0" w:rsidRDefault="00AB3BC0">
            <w:pPr>
              <w:tabs>
                <w:tab w:val="left" w:pos="5400"/>
              </w:tabs>
              <w:jc w:val="center"/>
              <w:rPr>
                <w:sz w:val="20"/>
              </w:rPr>
            </w:pPr>
          </w:p>
        </w:tc>
        <w:tc>
          <w:tcPr>
            <w:tcW w:w="4250" w:type="dxa"/>
          </w:tcPr>
          <w:p w14:paraId="06886CD2" w14:textId="77777777" w:rsidR="00AB3BC0" w:rsidRDefault="00000000">
            <w:pPr>
              <w:tabs>
                <w:tab w:val="left" w:pos="5400"/>
              </w:tabs>
              <w:rPr>
                <w:sz w:val="20"/>
              </w:rPr>
            </w:pPr>
            <w:r>
              <w:rPr>
                <w:sz w:val="20"/>
              </w:rPr>
              <w:t>(</w:t>
            </w:r>
            <w:r>
              <w:rPr>
                <w:i/>
                <w:sz w:val="20"/>
              </w:rPr>
              <w:t>c</w:t>
            </w:r>
            <w:r>
              <w:rPr>
                <w:sz w:val="20"/>
              </w:rPr>
              <w:t>) Explain how missing data were addressed</w:t>
            </w:r>
          </w:p>
        </w:tc>
        <w:tc>
          <w:tcPr>
            <w:tcW w:w="626" w:type="dxa"/>
            <w:gridSpan w:val="2"/>
          </w:tcPr>
          <w:p w14:paraId="3AC356FB" w14:textId="0DC9DB48" w:rsidR="00AB3BC0" w:rsidRDefault="00C51B6A">
            <w:pPr>
              <w:tabs>
                <w:tab w:val="left" w:pos="5400"/>
              </w:tabs>
              <w:rPr>
                <w:rFonts w:eastAsia="宋体"/>
                <w:sz w:val="20"/>
                <w:lang w:val="en-US" w:eastAsia="zh-CN"/>
              </w:rPr>
            </w:pPr>
            <w:r>
              <w:rPr>
                <w:rFonts w:eastAsia="宋体" w:hint="eastAsia"/>
                <w:sz w:val="20"/>
                <w:lang w:val="en-US" w:eastAsia="zh-CN"/>
              </w:rPr>
              <w:t>8</w:t>
            </w:r>
          </w:p>
        </w:tc>
        <w:tc>
          <w:tcPr>
            <w:tcW w:w="7846" w:type="dxa"/>
          </w:tcPr>
          <w:p w14:paraId="72ECB8D7" w14:textId="77777777" w:rsidR="00AB3BC0" w:rsidRDefault="00000000">
            <w:pPr>
              <w:widowControl w:val="0"/>
              <w:spacing w:line="360" w:lineRule="auto"/>
              <w:jc w:val="both"/>
              <w:rPr>
                <w:sz w:val="21"/>
                <w:szCs w:val="21"/>
                <w:lang w:val="en-US"/>
              </w:rPr>
            </w:pPr>
            <w:r>
              <w:rPr>
                <w:rFonts w:eastAsia="宋体"/>
                <w:kern w:val="2"/>
                <w:sz w:val="21"/>
                <w:szCs w:val="21"/>
                <w:lang w:val="en-US" w:eastAsia="zh-CN" w:bidi="ar"/>
              </w:rPr>
              <w:t>Missing values in covariates were imputed using multiple imputations by chained equations, generating 10 imputed datasets with 10 iterations per dataset. All subsequent analyses were performed separately within each imputed dataset, and estimates were combined using Rubin’s rules.</w:t>
            </w:r>
          </w:p>
          <w:p w14:paraId="7E7C1241" w14:textId="77777777" w:rsidR="00AB3BC0" w:rsidRDefault="00AB3BC0">
            <w:pPr>
              <w:tabs>
                <w:tab w:val="left" w:pos="5400"/>
              </w:tabs>
              <w:rPr>
                <w:sz w:val="20"/>
              </w:rPr>
            </w:pPr>
          </w:p>
        </w:tc>
      </w:tr>
      <w:tr w:rsidR="00AB3BC0" w14:paraId="22DA4A7D" w14:textId="77777777">
        <w:tc>
          <w:tcPr>
            <w:tcW w:w="1521" w:type="dxa"/>
            <w:gridSpan w:val="2"/>
            <w:vMerge/>
          </w:tcPr>
          <w:p w14:paraId="26624F02" w14:textId="77777777" w:rsidR="00AB3BC0" w:rsidRDefault="00AB3BC0">
            <w:pPr>
              <w:tabs>
                <w:tab w:val="left" w:pos="5400"/>
              </w:tabs>
              <w:rPr>
                <w:bCs/>
                <w:sz w:val="20"/>
              </w:rPr>
            </w:pPr>
            <w:bookmarkStart w:id="51" w:name="bold26" w:colFirst="0" w:colLast="0"/>
            <w:bookmarkStart w:id="52" w:name="italic28" w:colFirst="0" w:colLast="0"/>
            <w:bookmarkEnd w:id="49"/>
            <w:bookmarkEnd w:id="50"/>
          </w:p>
        </w:tc>
        <w:tc>
          <w:tcPr>
            <w:tcW w:w="749" w:type="dxa"/>
            <w:gridSpan w:val="2"/>
            <w:vMerge/>
          </w:tcPr>
          <w:p w14:paraId="247DB441" w14:textId="77777777" w:rsidR="00AB3BC0" w:rsidRDefault="00AB3BC0">
            <w:pPr>
              <w:tabs>
                <w:tab w:val="left" w:pos="5400"/>
              </w:tabs>
              <w:jc w:val="center"/>
              <w:rPr>
                <w:sz w:val="20"/>
              </w:rPr>
            </w:pPr>
          </w:p>
        </w:tc>
        <w:tc>
          <w:tcPr>
            <w:tcW w:w="4250" w:type="dxa"/>
          </w:tcPr>
          <w:p w14:paraId="0578E1C1" w14:textId="77777777" w:rsidR="00AB3BC0" w:rsidRDefault="00000000">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14:paraId="09796F2D" w14:textId="77777777" w:rsidR="00AB3BC0" w:rsidRDefault="00000000">
            <w:pPr>
              <w:tabs>
                <w:tab w:val="left" w:pos="5400"/>
              </w:tabs>
              <w:rPr>
                <w:sz w:val="20"/>
              </w:rPr>
            </w:pPr>
            <w:r>
              <w:rPr>
                <w:bCs/>
                <w:i/>
                <w:sz w:val="20"/>
              </w:rPr>
              <w:lastRenderedPageBreak/>
              <w:t>Case-control study</w:t>
            </w:r>
            <w:r>
              <w:rPr>
                <w:sz w:val="20"/>
              </w:rPr>
              <w:t>—If applicable, explain how matching of cases and controls was addressed</w:t>
            </w:r>
          </w:p>
          <w:p w14:paraId="12AABE75" w14:textId="77777777" w:rsidR="00AB3BC0" w:rsidRDefault="00000000">
            <w:pPr>
              <w:tabs>
                <w:tab w:val="left" w:pos="5400"/>
              </w:tabs>
              <w:rPr>
                <w:sz w:val="20"/>
              </w:rPr>
            </w:pPr>
            <w:r>
              <w:rPr>
                <w:bCs/>
                <w:i/>
                <w:sz w:val="20"/>
              </w:rPr>
              <w:t>Cross-sectional study</w:t>
            </w:r>
            <w:r>
              <w:rPr>
                <w:sz w:val="20"/>
              </w:rPr>
              <w:t>—If applicable, describe analytical methods taking account of sampling strategy</w:t>
            </w:r>
          </w:p>
        </w:tc>
        <w:tc>
          <w:tcPr>
            <w:tcW w:w="626" w:type="dxa"/>
            <w:gridSpan w:val="2"/>
          </w:tcPr>
          <w:p w14:paraId="3B594F51" w14:textId="517B341C" w:rsidR="00AB3BC0" w:rsidRDefault="00C51B6A">
            <w:pPr>
              <w:tabs>
                <w:tab w:val="left" w:pos="5400"/>
              </w:tabs>
              <w:rPr>
                <w:rFonts w:eastAsia="宋体"/>
                <w:sz w:val="20"/>
                <w:lang w:val="en-US" w:eastAsia="zh-CN"/>
              </w:rPr>
            </w:pPr>
            <w:r>
              <w:rPr>
                <w:rFonts w:eastAsia="宋体" w:hint="eastAsia"/>
                <w:sz w:val="20"/>
                <w:lang w:val="en-US" w:eastAsia="zh-CN"/>
              </w:rPr>
              <w:lastRenderedPageBreak/>
              <w:t>7</w:t>
            </w:r>
          </w:p>
        </w:tc>
        <w:tc>
          <w:tcPr>
            <w:tcW w:w="7846" w:type="dxa"/>
          </w:tcPr>
          <w:p w14:paraId="6C44B4D5" w14:textId="77777777" w:rsidR="00AB3BC0" w:rsidRDefault="00000000">
            <w:pPr>
              <w:tabs>
                <w:tab w:val="left" w:pos="5400"/>
              </w:tabs>
              <w:rPr>
                <w:sz w:val="20"/>
              </w:rPr>
            </w:pPr>
            <w:r>
              <w:rPr>
                <w:rFonts w:eastAsia="宋体"/>
                <w:kern w:val="2"/>
                <w:sz w:val="20"/>
                <w:lang w:val="en-US" w:eastAsia="zh-CN" w:bidi="ar"/>
              </w:rPr>
              <w:t xml:space="preserve">Participants were followed from enrollment until the first LRE, loss to follow-up, or administrative censoring </w:t>
            </w:r>
            <w:r>
              <w:rPr>
                <w:rFonts w:eastAsia="宋体"/>
                <w:color w:val="000000"/>
                <w:kern w:val="2"/>
                <w:sz w:val="20"/>
                <w:lang w:val="en-US" w:eastAsia="zh-CN" w:bidi="ar"/>
              </w:rPr>
              <w:t xml:space="preserve">(December 31, 2023), whichever </w:t>
            </w:r>
            <w:r>
              <w:rPr>
                <w:rFonts w:eastAsia="宋体"/>
                <w:kern w:val="2"/>
                <w:sz w:val="20"/>
                <w:lang w:val="en-US" w:eastAsia="zh-CN" w:bidi="ar"/>
              </w:rPr>
              <w:t>occurred first.</w:t>
            </w:r>
          </w:p>
        </w:tc>
      </w:tr>
      <w:tr w:rsidR="00AB3BC0" w14:paraId="46D28103" w14:textId="77777777">
        <w:tc>
          <w:tcPr>
            <w:tcW w:w="1521" w:type="dxa"/>
            <w:gridSpan w:val="2"/>
            <w:vMerge/>
          </w:tcPr>
          <w:p w14:paraId="2B6861AC" w14:textId="77777777" w:rsidR="00AB3BC0" w:rsidRDefault="00AB3BC0">
            <w:pPr>
              <w:tabs>
                <w:tab w:val="left" w:pos="5400"/>
              </w:tabs>
              <w:rPr>
                <w:bCs/>
                <w:sz w:val="20"/>
              </w:rPr>
            </w:pPr>
            <w:bookmarkStart w:id="53" w:name="bold27" w:colFirst="0" w:colLast="0"/>
            <w:bookmarkStart w:id="54" w:name="italic29" w:colFirst="0" w:colLast="0"/>
            <w:bookmarkEnd w:id="51"/>
            <w:bookmarkEnd w:id="52"/>
          </w:p>
        </w:tc>
        <w:tc>
          <w:tcPr>
            <w:tcW w:w="749" w:type="dxa"/>
            <w:gridSpan w:val="2"/>
            <w:vMerge/>
          </w:tcPr>
          <w:p w14:paraId="5E77C92B" w14:textId="77777777" w:rsidR="00AB3BC0" w:rsidRDefault="00AB3BC0">
            <w:pPr>
              <w:tabs>
                <w:tab w:val="left" w:pos="5400"/>
              </w:tabs>
              <w:jc w:val="center"/>
              <w:rPr>
                <w:sz w:val="20"/>
              </w:rPr>
            </w:pPr>
          </w:p>
        </w:tc>
        <w:tc>
          <w:tcPr>
            <w:tcW w:w="4250" w:type="dxa"/>
          </w:tcPr>
          <w:p w14:paraId="346D4D9D" w14:textId="77777777" w:rsidR="00AB3BC0" w:rsidRDefault="00000000">
            <w:pPr>
              <w:tabs>
                <w:tab w:val="left" w:pos="5400"/>
              </w:tabs>
              <w:rPr>
                <w:sz w:val="20"/>
              </w:rPr>
            </w:pPr>
            <w:r>
              <w:rPr>
                <w:sz w:val="20"/>
              </w:rPr>
              <w:t>(</w:t>
            </w:r>
            <w:r>
              <w:rPr>
                <w:i/>
                <w:sz w:val="20"/>
                <w:u w:val="single"/>
              </w:rPr>
              <w:t>e</w:t>
            </w:r>
            <w:r>
              <w:rPr>
                <w:sz w:val="20"/>
              </w:rPr>
              <w:t>) Describe any sensitivity analyses</w:t>
            </w:r>
          </w:p>
        </w:tc>
        <w:tc>
          <w:tcPr>
            <w:tcW w:w="626" w:type="dxa"/>
            <w:gridSpan w:val="2"/>
          </w:tcPr>
          <w:p w14:paraId="60475574" w14:textId="78278C6A" w:rsidR="00AB3BC0" w:rsidRDefault="00C51B6A">
            <w:pPr>
              <w:tabs>
                <w:tab w:val="left" w:pos="5400"/>
              </w:tabs>
              <w:rPr>
                <w:rFonts w:eastAsia="宋体"/>
                <w:sz w:val="20"/>
                <w:lang w:val="en-US" w:eastAsia="zh-CN"/>
              </w:rPr>
            </w:pPr>
            <w:r>
              <w:rPr>
                <w:rFonts w:eastAsia="宋体" w:hint="eastAsia"/>
                <w:sz w:val="20"/>
                <w:lang w:val="en-US" w:eastAsia="zh-CN"/>
              </w:rPr>
              <w:t>8</w:t>
            </w:r>
            <w:r w:rsidR="00000000">
              <w:rPr>
                <w:rFonts w:eastAsia="宋体" w:hint="eastAsia"/>
                <w:sz w:val="20"/>
                <w:lang w:val="en-US" w:eastAsia="zh-CN"/>
              </w:rPr>
              <w:t>,1</w:t>
            </w:r>
            <w:r>
              <w:rPr>
                <w:rFonts w:eastAsia="宋体" w:hint="eastAsia"/>
                <w:sz w:val="20"/>
                <w:lang w:val="en-US" w:eastAsia="zh-CN"/>
              </w:rPr>
              <w:t>0</w:t>
            </w:r>
          </w:p>
        </w:tc>
        <w:tc>
          <w:tcPr>
            <w:tcW w:w="7846" w:type="dxa"/>
          </w:tcPr>
          <w:p w14:paraId="2BA61FAE" w14:textId="77777777" w:rsidR="00AB3BC0" w:rsidRDefault="00000000">
            <w:pPr>
              <w:spacing w:line="360" w:lineRule="auto"/>
              <w:rPr>
                <w:rFonts w:eastAsia="Helvetica"/>
                <w:color w:val="000000"/>
                <w:sz w:val="20"/>
                <w:lang w:bidi="ar"/>
              </w:rPr>
            </w:pPr>
            <w:r>
              <w:rPr>
                <w:sz w:val="20"/>
              </w:rPr>
              <w:t xml:space="preserve">For sensitivity analysis, comorbidity count and CCI with LREs were also re-evaluated in the complete-case dataset. </w:t>
            </w:r>
          </w:p>
          <w:p w14:paraId="1F1A1634" w14:textId="77777777" w:rsidR="00AB3BC0" w:rsidRDefault="00000000">
            <w:pPr>
              <w:tabs>
                <w:tab w:val="left" w:pos="5400"/>
              </w:tabs>
              <w:rPr>
                <w:sz w:val="20"/>
              </w:rPr>
            </w:pPr>
            <w:r>
              <w:rPr>
                <w:color w:val="000000"/>
                <w:sz w:val="20"/>
                <w:lang w:bidi="ar"/>
              </w:rPr>
              <w:br/>
              <w:t>LCA was repeated using a lower prevalence threshold of 1% for indicator selection.</w:t>
            </w:r>
          </w:p>
        </w:tc>
      </w:tr>
      <w:bookmarkEnd w:id="53"/>
      <w:bookmarkEnd w:id="54"/>
      <w:tr w:rsidR="00AB3BC0" w14:paraId="2C193DE7" w14:textId="77777777">
        <w:tc>
          <w:tcPr>
            <w:tcW w:w="14992" w:type="dxa"/>
            <w:gridSpan w:val="8"/>
          </w:tcPr>
          <w:p w14:paraId="14AC2BCE" w14:textId="77777777" w:rsidR="00AB3BC0" w:rsidRDefault="00000000">
            <w:pPr>
              <w:pStyle w:val="TableSubHead"/>
              <w:tabs>
                <w:tab w:val="left" w:pos="5400"/>
              </w:tabs>
              <w:rPr>
                <w:sz w:val="20"/>
              </w:rPr>
            </w:pPr>
            <w:r>
              <w:rPr>
                <w:sz w:val="20"/>
              </w:rPr>
              <w:t>Results</w:t>
            </w:r>
          </w:p>
        </w:tc>
      </w:tr>
      <w:tr w:rsidR="00AB3BC0" w14:paraId="168AD2F5" w14:textId="77777777">
        <w:tc>
          <w:tcPr>
            <w:tcW w:w="1521" w:type="dxa"/>
            <w:gridSpan w:val="2"/>
            <w:vMerge w:val="restart"/>
          </w:tcPr>
          <w:p w14:paraId="5F688602" w14:textId="77777777" w:rsidR="00AB3BC0" w:rsidRDefault="00000000">
            <w:pPr>
              <w:tabs>
                <w:tab w:val="left" w:pos="5400"/>
              </w:tabs>
              <w:rPr>
                <w:bCs/>
                <w:sz w:val="20"/>
              </w:rPr>
            </w:pPr>
            <w:bookmarkStart w:id="55" w:name="italic31"/>
            <w:bookmarkStart w:id="56" w:name="bold29"/>
            <w:r>
              <w:rPr>
                <w:bCs/>
                <w:sz w:val="20"/>
              </w:rPr>
              <w:t>Participants</w:t>
            </w:r>
            <w:bookmarkEnd w:id="55"/>
            <w:bookmarkEnd w:id="56"/>
          </w:p>
        </w:tc>
        <w:tc>
          <w:tcPr>
            <w:tcW w:w="749" w:type="dxa"/>
            <w:gridSpan w:val="2"/>
            <w:vMerge w:val="restart"/>
          </w:tcPr>
          <w:p w14:paraId="47E9D251" w14:textId="77777777" w:rsidR="00AB3BC0" w:rsidRDefault="00000000">
            <w:pPr>
              <w:tabs>
                <w:tab w:val="left" w:pos="5400"/>
              </w:tabs>
              <w:jc w:val="center"/>
              <w:rPr>
                <w:sz w:val="20"/>
              </w:rPr>
            </w:pPr>
            <w:r>
              <w:rPr>
                <w:sz w:val="20"/>
              </w:rPr>
              <w:t>13</w:t>
            </w:r>
            <w:bookmarkStart w:id="57" w:name="bold30"/>
            <w:r>
              <w:rPr>
                <w:bCs/>
                <w:sz w:val="20"/>
              </w:rPr>
              <w:t>*</w:t>
            </w:r>
            <w:bookmarkEnd w:id="57"/>
          </w:p>
        </w:tc>
        <w:tc>
          <w:tcPr>
            <w:tcW w:w="4250" w:type="dxa"/>
          </w:tcPr>
          <w:p w14:paraId="7036543A" w14:textId="77777777" w:rsidR="00AB3BC0" w:rsidRDefault="00000000">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626" w:type="dxa"/>
            <w:gridSpan w:val="2"/>
          </w:tcPr>
          <w:p w14:paraId="6F4A1700" w14:textId="567A891B" w:rsidR="00AB3BC0" w:rsidRDefault="00000000">
            <w:pPr>
              <w:tabs>
                <w:tab w:val="left" w:pos="5400"/>
              </w:tabs>
              <w:rPr>
                <w:rFonts w:eastAsia="宋体"/>
                <w:sz w:val="20"/>
                <w:lang w:val="en-US" w:eastAsia="zh-CN"/>
              </w:rPr>
            </w:pPr>
            <w:r>
              <w:rPr>
                <w:rFonts w:eastAsia="宋体" w:hint="eastAsia"/>
                <w:sz w:val="20"/>
                <w:lang w:val="en-US" w:eastAsia="zh-CN"/>
              </w:rPr>
              <w:t>1</w:t>
            </w:r>
            <w:r w:rsidR="00C51B6A">
              <w:rPr>
                <w:rFonts w:eastAsia="宋体" w:hint="eastAsia"/>
                <w:sz w:val="20"/>
                <w:lang w:val="en-US" w:eastAsia="zh-CN"/>
              </w:rPr>
              <w:t>1</w:t>
            </w:r>
          </w:p>
        </w:tc>
        <w:tc>
          <w:tcPr>
            <w:tcW w:w="7846" w:type="dxa"/>
          </w:tcPr>
          <w:p w14:paraId="0861446E" w14:textId="77777777" w:rsidR="00AB3BC0" w:rsidRDefault="00000000">
            <w:pPr>
              <w:tabs>
                <w:tab w:val="left" w:pos="5400"/>
              </w:tabs>
              <w:rPr>
                <w:sz w:val="20"/>
              </w:rPr>
            </w:pPr>
            <w:r>
              <w:rPr>
                <w:rFonts w:eastAsia="宋体"/>
                <w:kern w:val="2"/>
                <w:sz w:val="20"/>
                <w:lang w:val="en-US" w:eastAsia="zh-CN" w:bidi="ar"/>
              </w:rPr>
              <w:t>The final analysis included 137,607 participants from UK Biobank (</w:t>
            </w:r>
            <w:r>
              <w:rPr>
                <w:rFonts w:eastAsia="宋体"/>
                <w:b/>
                <w:bCs/>
                <w:kern w:val="2"/>
                <w:sz w:val="20"/>
                <w:lang w:val="en-US" w:eastAsia="zh-CN" w:bidi="ar"/>
              </w:rPr>
              <w:t>Supplementary Figure S1</w:t>
            </w:r>
            <w:r>
              <w:rPr>
                <w:rFonts w:eastAsia="宋体"/>
                <w:kern w:val="2"/>
                <w:sz w:val="20"/>
                <w:lang w:val="en-US" w:eastAsia="zh-CN" w:bidi="ar"/>
              </w:rPr>
              <w:t>).</w:t>
            </w:r>
            <w:r>
              <w:rPr>
                <w:rFonts w:eastAsia="宋体"/>
                <w:kern w:val="2"/>
                <w:sz w:val="20"/>
                <w:lang w:val="en-US" w:eastAsia="zh-CN" w:bidi="ar"/>
              </w:rPr>
              <w:br/>
            </w:r>
            <w:r>
              <w:rPr>
                <w:rFonts w:ascii="Arial" w:eastAsia="宋体" w:hAnsi="Arial" w:cs="Arial"/>
                <w:kern w:val="2"/>
                <w:szCs w:val="24"/>
                <w:lang w:val="en-US" w:eastAsia="zh-CN" w:bidi="ar"/>
              </w:rPr>
              <w:br/>
            </w:r>
          </w:p>
        </w:tc>
      </w:tr>
      <w:tr w:rsidR="00AB3BC0" w14:paraId="5B891C33" w14:textId="77777777">
        <w:tc>
          <w:tcPr>
            <w:tcW w:w="1521" w:type="dxa"/>
            <w:gridSpan w:val="2"/>
            <w:vMerge/>
          </w:tcPr>
          <w:p w14:paraId="66CBADCF" w14:textId="77777777" w:rsidR="00AB3BC0" w:rsidRDefault="00AB3BC0">
            <w:pPr>
              <w:tabs>
                <w:tab w:val="left" w:pos="5400"/>
              </w:tabs>
              <w:rPr>
                <w:bCs/>
                <w:sz w:val="20"/>
              </w:rPr>
            </w:pPr>
            <w:bookmarkStart w:id="58" w:name="bold31" w:colFirst="0" w:colLast="0"/>
            <w:bookmarkStart w:id="59" w:name="italic32" w:colFirst="0" w:colLast="0"/>
          </w:p>
        </w:tc>
        <w:tc>
          <w:tcPr>
            <w:tcW w:w="749" w:type="dxa"/>
            <w:gridSpan w:val="2"/>
            <w:vMerge/>
          </w:tcPr>
          <w:p w14:paraId="2ED7CFDE" w14:textId="77777777" w:rsidR="00AB3BC0" w:rsidRDefault="00AB3BC0">
            <w:pPr>
              <w:tabs>
                <w:tab w:val="left" w:pos="5400"/>
              </w:tabs>
              <w:jc w:val="center"/>
              <w:rPr>
                <w:sz w:val="20"/>
              </w:rPr>
            </w:pPr>
          </w:p>
        </w:tc>
        <w:tc>
          <w:tcPr>
            <w:tcW w:w="4250" w:type="dxa"/>
          </w:tcPr>
          <w:p w14:paraId="284E402E" w14:textId="77777777" w:rsidR="00AB3BC0" w:rsidRDefault="00000000">
            <w:pPr>
              <w:tabs>
                <w:tab w:val="left" w:pos="5400"/>
              </w:tabs>
              <w:rPr>
                <w:sz w:val="20"/>
              </w:rPr>
            </w:pPr>
            <w:r>
              <w:rPr>
                <w:sz w:val="20"/>
              </w:rPr>
              <w:t>(b) Give reasons for non-participation at each stage</w:t>
            </w:r>
          </w:p>
        </w:tc>
        <w:tc>
          <w:tcPr>
            <w:tcW w:w="626" w:type="dxa"/>
            <w:gridSpan w:val="2"/>
          </w:tcPr>
          <w:p w14:paraId="5D00F7F4" w14:textId="0D5B40AE" w:rsidR="00AB3BC0" w:rsidRDefault="00000000">
            <w:pPr>
              <w:tabs>
                <w:tab w:val="left" w:pos="5400"/>
              </w:tabs>
              <w:rPr>
                <w:sz w:val="20"/>
              </w:rPr>
            </w:pPr>
            <w:r>
              <w:rPr>
                <w:rFonts w:eastAsia="宋体" w:hint="eastAsia"/>
                <w:sz w:val="20"/>
                <w:lang w:val="en-US" w:eastAsia="zh-CN"/>
              </w:rPr>
              <w:t>1</w:t>
            </w:r>
            <w:r w:rsidR="00C51B6A">
              <w:rPr>
                <w:rFonts w:eastAsia="宋体" w:hint="eastAsia"/>
                <w:sz w:val="20"/>
                <w:lang w:val="en-US" w:eastAsia="zh-CN"/>
              </w:rPr>
              <w:t>1</w:t>
            </w:r>
          </w:p>
        </w:tc>
        <w:tc>
          <w:tcPr>
            <w:tcW w:w="7846" w:type="dxa"/>
          </w:tcPr>
          <w:p w14:paraId="09354447" w14:textId="77777777" w:rsidR="00AB3BC0" w:rsidRDefault="00000000">
            <w:pPr>
              <w:tabs>
                <w:tab w:val="left" w:pos="5400"/>
              </w:tabs>
              <w:rPr>
                <w:sz w:val="20"/>
              </w:rPr>
            </w:pPr>
            <w:r>
              <w:rPr>
                <w:rFonts w:eastAsia="宋体"/>
                <w:kern w:val="2"/>
                <w:sz w:val="20"/>
                <w:lang w:val="en-US" w:eastAsia="zh-CN" w:bidi="ar"/>
              </w:rPr>
              <w:t>The final analysis included 137,607 participants from UK Biobank (</w:t>
            </w:r>
            <w:r>
              <w:rPr>
                <w:rFonts w:eastAsia="宋体"/>
                <w:b/>
                <w:bCs/>
                <w:kern w:val="2"/>
                <w:sz w:val="20"/>
                <w:lang w:val="en-US" w:eastAsia="zh-CN" w:bidi="ar"/>
              </w:rPr>
              <w:t>Supplementary Figure S1</w:t>
            </w:r>
            <w:r>
              <w:rPr>
                <w:rFonts w:eastAsia="宋体"/>
                <w:kern w:val="2"/>
                <w:sz w:val="20"/>
                <w:lang w:val="en-US" w:eastAsia="zh-CN" w:bidi="ar"/>
              </w:rPr>
              <w:t>).</w:t>
            </w:r>
          </w:p>
        </w:tc>
      </w:tr>
      <w:tr w:rsidR="00AB3BC0" w14:paraId="7487D4E3" w14:textId="77777777">
        <w:tc>
          <w:tcPr>
            <w:tcW w:w="1521" w:type="dxa"/>
            <w:gridSpan w:val="2"/>
            <w:vMerge/>
          </w:tcPr>
          <w:p w14:paraId="360BCA83" w14:textId="77777777" w:rsidR="00AB3BC0" w:rsidRDefault="00AB3BC0">
            <w:pPr>
              <w:tabs>
                <w:tab w:val="left" w:pos="5400"/>
              </w:tabs>
              <w:rPr>
                <w:bCs/>
                <w:sz w:val="20"/>
              </w:rPr>
            </w:pPr>
            <w:bookmarkStart w:id="60" w:name="italic33" w:colFirst="0" w:colLast="0"/>
            <w:bookmarkStart w:id="61" w:name="bold32" w:colFirst="0" w:colLast="0"/>
            <w:bookmarkEnd w:id="58"/>
            <w:bookmarkEnd w:id="59"/>
          </w:p>
        </w:tc>
        <w:tc>
          <w:tcPr>
            <w:tcW w:w="749" w:type="dxa"/>
            <w:gridSpan w:val="2"/>
            <w:vMerge/>
          </w:tcPr>
          <w:p w14:paraId="7D64D256" w14:textId="77777777" w:rsidR="00AB3BC0" w:rsidRDefault="00AB3BC0">
            <w:pPr>
              <w:tabs>
                <w:tab w:val="left" w:pos="5400"/>
              </w:tabs>
              <w:jc w:val="center"/>
              <w:rPr>
                <w:sz w:val="20"/>
              </w:rPr>
            </w:pPr>
          </w:p>
        </w:tc>
        <w:tc>
          <w:tcPr>
            <w:tcW w:w="4250" w:type="dxa"/>
          </w:tcPr>
          <w:p w14:paraId="1FE629C6" w14:textId="77777777" w:rsidR="00AB3BC0" w:rsidRDefault="00000000">
            <w:pPr>
              <w:tabs>
                <w:tab w:val="left" w:pos="5400"/>
              </w:tabs>
              <w:rPr>
                <w:sz w:val="20"/>
              </w:rPr>
            </w:pPr>
            <w:bookmarkStart w:id="62" w:name="OLE_LINK4"/>
            <w:r>
              <w:rPr>
                <w:sz w:val="20"/>
              </w:rPr>
              <w:t>(c) Consider use of a flow diagram</w:t>
            </w:r>
            <w:bookmarkEnd w:id="62"/>
          </w:p>
        </w:tc>
        <w:tc>
          <w:tcPr>
            <w:tcW w:w="626" w:type="dxa"/>
            <w:gridSpan w:val="2"/>
          </w:tcPr>
          <w:p w14:paraId="5BDD666C" w14:textId="08566BC9" w:rsidR="00AB3BC0" w:rsidRDefault="00000000">
            <w:pPr>
              <w:tabs>
                <w:tab w:val="left" w:pos="5400"/>
              </w:tabs>
              <w:rPr>
                <w:sz w:val="20"/>
              </w:rPr>
            </w:pPr>
            <w:r>
              <w:rPr>
                <w:rFonts w:eastAsia="宋体" w:hint="eastAsia"/>
                <w:sz w:val="20"/>
                <w:lang w:val="en-US" w:eastAsia="zh-CN"/>
              </w:rPr>
              <w:t>1</w:t>
            </w:r>
            <w:r w:rsidR="00C51B6A">
              <w:rPr>
                <w:rFonts w:eastAsia="宋体" w:hint="eastAsia"/>
                <w:sz w:val="20"/>
                <w:lang w:val="en-US" w:eastAsia="zh-CN"/>
              </w:rPr>
              <w:t>1</w:t>
            </w:r>
          </w:p>
        </w:tc>
        <w:tc>
          <w:tcPr>
            <w:tcW w:w="7846" w:type="dxa"/>
          </w:tcPr>
          <w:p w14:paraId="57AF20BD" w14:textId="77777777" w:rsidR="00AB3BC0" w:rsidRDefault="00000000">
            <w:pPr>
              <w:tabs>
                <w:tab w:val="left" w:pos="5400"/>
              </w:tabs>
              <w:rPr>
                <w:sz w:val="20"/>
              </w:rPr>
            </w:pPr>
            <w:r>
              <w:rPr>
                <w:rFonts w:eastAsia="宋体"/>
                <w:kern w:val="2"/>
                <w:sz w:val="20"/>
                <w:lang w:val="en-US" w:eastAsia="zh-CN" w:bidi="ar"/>
              </w:rPr>
              <w:t>The final analysis included 137,607 participants from UK Biobank (</w:t>
            </w:r>
            <w:r>
              <w:rPr>
                <w:rFonts w:eastAsia="宋体"/>
                <w:b/>
                <w:bCs/>
                <w:kern w:val="2"/>
                <w:sz w:val="20"/>
                <w:lang w:val="en-US" w:eastAsia="zh-CN" w:bidi="ar"/>
              </w:rPr>
              <w:t>Supplementary Figure S1</w:t>
            </w:r>
            <w:r>
              <w:rPr>
                <w:rFonts w:eastAsia="宋体"/>
                <w:kern w:val="2"/>
                <w:sz w:val="20"/>
                <w:lang w:val="en-US" w:eastAsia="zh-CN" w:bidi="ar"/>
              </w:rPr>
              <w:t>).</w:t>
            </w:r>
          </w:p>
        </w:tc>
      </w:tr>
      <w:tr w:rsidR="00AB3BC0" w14:paraId="4D25690B" w14:textId="77777777">
        <w:tc>
          <w:tcPr>
            <w:tcW w:w="1521" w:type="dxa"/>
            <w:gridSpan w:val="2"/>
            <w:vMerge w:val="restart"/>
          </w:tcPr>
          <w:p w14:paraId="19FF0DB1" w14:textId="77777777" w:rsidR="00AB3BC0" w:rsidRDefault="00000000">
            <w:pPr>
              <w:tabs>
                <w:tab w:val="left" w:pos="5400"/>
              </w:tabs>
              <w:rPr>
                <w:bCs/>
                <w:sz w:val="20"/>
              </w:rPr>
            </w:pPr>
            <w:bookmarkStart w:id="63" w:name="bold33"/>
            <w:bookmarkStart w:id="64" w:name="italic34"/>
            <w:bookmarkEnd w:id="60"/>
            <w:bookmarkEnd w:id="61"/>
            <w:r>
              <w:rPr>
                <w:bCs/>
                <w:sz w:val="20"/>
              </w:rPr>
              <w:t xml:space="preserve">Descriptive </w:t>
            </w:r>
            <w:bookmarkStart w:id="65" w:name="bold34"/>
            <w:bookmarkStart w:id="66" w:name="italic35"/>
            <w:bookmarkEnd w:id="63"/>
            <w:bookmarkEnd w:id="64"/>
            <w:r>
              <w:rPr>
                <w:bCs/>
                <w:sz w:val="20"/>
              </w:rPr>
              <w:t>data</w:t>
            </w:r>
            <w:bookmarkEnd w:id="65"/>
            <w:bookmarkEnd w:id="66"/>
          </w:p>
        </w:tc>
        <w:tc>
          <w:tcPr>
            <w:tcW w:w="749" w:type="dxa"/>
            <w:gridSpan w:val="2"/>
            <w:vMerge w:val="restart"/>
          </w:tcPr>
          <w:p w14:paraId="68BCF120" w14:textId="77777777" w:rsidR="00AB3BC0" w:rsidRDefault="00000000">
            <w:pPr>
              <w:tabs>
                <w:tab w:val="left" w:pos="5400"/>
              </w:tabs>
              <w:jc w:val="center"/>
              <w:rPr>
                <w:sz w:val="20"/>
              </w:rPr>
            </w:pPr>
            <w:r>
              <w:rPr>
                <w:sz w:val="20"/>
              </w:rPr>
              <w:t>14</w:t>
            </w:r>
            <w:bookmarkStart w:id="67" w:name="bold35"/>
            <w:r>
              <w:rPr>
                <w:bCs/>
                <w:sz w:val="20"/>
              </w:rPr>
              <w:t>*</w:t>
            </w:r>
            <w:bookmarkEnd w:id="67"/>
          </w:p>
        </w:tc>
        <w:tc>
          <w:tcPr>
            <w:tcW w:w="4250" w:type="dxa"/>
          </w:tcPr>
          <w:p w14:paraId="337B50D0" w14:textId="77777777" w:rsidR="00AB3BC0" w:rsidRDefault="00000000">
            <w:pPr>
              <w:tabs>
                <w:tab w:val="left" w:pos="5400"/>
              </w:tabs>
              <w:rPr>
                <w:sz w:val="20"/>
              </w:rPr>
            </w:pPr>
            <w:r>
              <w:rPr>
                <w:sz w:val="20"/>
              </w:rPr>
              <w:t>(a) Give characteristics of study participants (eg demographic, clinical, social) and information on exposures and potential confounders</w:t>
            </w:r>
          </w:p>
        </w:tc>
        <w:tc>
          <w:tcPr>
            <w:tcW w:w="626" w:type="dxa"/>
            <w:gridSpan w:val="2"/>
          </w:tcPr>
          <w:p w14:paraId="74ADAFBE" w14:textId="718EAEBB" w:rsidR="00C51B6A" w:rsidRDefault="00C51B6A">
            <w:pPr>
              <w:tabs>
                <w:tab w:val="left" w:pos="5400"/>
              </w:tabs>
              <w:rPr>
                <w:rFonts w:eastAsia="宋体"/>
                <w:sz w:val="20"/>
                <w:lang w:val="en-US" w:eastAsia="zh-CN"/>
              </w:rPr>
            </w:pPr>
            <w:r>
              <w:rPr>
                <w:rFonts w:eastAsia="宋体" w:hint="eastAsia"/>
                <w:sz w:val="20"/>
                <w:lang w:val="en-US" w:eastAsia="zh-CN"/>
              </w:rPr>
              <w:t>11,</w:t>
            </w:r>
          </w:p>
          <w:p w14:paraId="5F713272" w14:textId="57E9D481" w:rsidR="00C51B6A" w:rsidRDefault="00C51B6A">
            <w:pPr>
              <w:tabs>
                <w:tab w:val="left" w:pos="5400"/>
              </w:tabs>
              <w:rPr>
                <w:rFonts w:eastAsia="宋体" w:hint="eastAsia"/>
                <w:sz w:val="20"/>
                <w:lang w:val="en-US" w:eastAsia="zh-CN"/>
              </w:rPr>
            </w:pPr>
            <w:r>
              <w:rPr>
                <w:rFonts w:eastAsia="宋体" w:hint="eastAsia"/>
                <w:sz w:val="20"/>
                <w:lang w:val="en-US" w:eastAsia="zh-CN"/>
              </w:rPr>
              <w:t>15, 21</w:t>
            </w:r>
          </w:p>
          <w:p w14:paraId="09FB4FD2" w14:textId="77777777" w:rsidR="00C51B6A" w:rsidRDefault="00C51B6A">
            <w:pPr>
              <w:tabs>
                <w:tab w:val="left" w:pos="5400"/>
              </w:tabs>
              <w:rPr>
                <w:rFonts w:eastAsia="宋体"/>
                <w:sz w:val="20"/>
                <w:lang w:val="en-US" w:eastAsia="zh-CN"/>
              </w:rPr>
            </w:pPr>
          </w:p>
          <w:p w14:paraId="578F8A25" w14:textId="77777777" w:rsidR="00C51B6A" w:rsidRDefault="00C51B6A">
            <w:pPr>
              <w:tabs>
                <w:tab w:val="left" w:pos="5400"/>
              </w:tabs>
              <w:rPr>
                <w:rFonts w:eastAsia="宋体"/>
                <w:sz w:val="20"/>
                <w:lang w:val="en-US" w:eastAsia="zh-CN"/>
              </w:rPr>
            </w:pPr>
          </w:p>
          <w:p w14:paraId="1CD7FC87" w14:textId="408A31BB" w:rsidR="00AB3BC0" w:rsidRDefault="00AB3BC0">
            <w:pPr>
              <w:tabs>
                <w:tab w:val="left" w:pos="5400"/>
              </w:tabs>
              <w:rPr>
                <w:rFonts w:eastAsia="宋体"/>
                <w:sz w:val="20"/>
                <w:lang w:val="en-US" w:eastAsia="zh-CN"/>
              </w:rPr>
            </w:pPr>
          </w:p>
        </w:tc>
        <w:tc>
          <w:tcPr>
            <w:tcW w:w="7846" w:type="dxa"/>
          </w:tcPr>
          <w:p w14:paraId="24FF8D07" w14:textId="77777777" w:rsidR="00AB3BC0" w:rsidRDefault="00000000">
            <w:pPr>
              <w:widowControl w:val="0"/>
              <w:jc w:val="both"/>
              <w:rPr>
                <w:sz w:val="20"/>
                <w:lang w:val="en-US"/>
              </w:rPr>
            </w:pPr>
            <w:r>
              <w:rPr>
                <w:rFonts w:eastAsia="宋体"/>
                <w:kern w:val="2"/>
                <w:sz w:val="20"/>
                <w:lang w:val="en-US" w:eastAsia="zh-CN" w:bidi="ar"/>
              </w:rPr>
              <w:t xml:space="preserve">Baseline characteristics are summarized in </w:t>
            </w:r>
            <w:r>
              <w:rPr>
                <w:rFonts w:eastAsia="宋体"/>
                <w:b/>
                <w:bCs/>
                <w:kern w:val="2"/>
                <w:sz w:val="20"/>
                <w:lang w:val="en-US" w:eastAsia="zh-CN" w:bidi="ar"/>
              </w:rPr>
              <w:t>Table 1</w:t>
            </w:r>
            <w:r>
              <w:rPr>
                <w:rFonts w:eastAsia="宋体"/>
                <w:kern w:val="2"/>
                <w:sz w:val="20"/>
                <w:lang w:val="en-US" w:eastAsia="zh-CN" w:bidi="ar"/>
              </w:rPr>
              <w:t>.</w:t>
            </w:r>
            <w:r>
              <w:rPr>
                <w:rFonts w:eastAsia="宋体"/>
                <w:kern w:val="2"/>
                <w:sz w:val="20"/>
                <w:lang w:val="en-US" w:eastAsia="zh-CN" w:bidi="ar"/>
              </w:rPr>
              <w:br/>
            </w:r>
            <w:r>
              <w:rPr>
                <w:rFonts w:eastAsia="宋体"/>
                <w:kern w:val="2"/>
                <w:sz w:val="20"/>
                <w:lang w:val="en-US" w:eastAsia="zh-CN" w:bidi="ar"/>
              </w:rPr>
              <w:br/>
              <w:t>Model 1: Crude Cox model without adjustment</w:t>
            </w:r>
          </w:p>
          <w:p w14:paraId="7AD2120B" w14:textId="77777777" w:rsidR="00AB3BC0" w:rsidRDefault="00000000">
            <w:pPr>
              <w:widowControl w:val="0"/>
              <w:jc w:val="both"/>
              <w:rPr>
                <w:sz w:val="20"/>
                <w:lang w:val="en-US"/>
              </w:rPr>
            </w:pPr>
            <w:r>
              <w:rPr>
                <w:rFonts w:eastAsia="宋体"/>
                <w:kern w:val="2"/>
                <w:sz w:val="20"/>
                <w:lang w:val="en-US" w:eastAsia="zh-CN" w:bidi="ar"/>
              </w:rPr>
              <w:t>Model 2: Multivariable Cox model adjusted on Age, Sex, Ethnicity, TDI, Education</w:t>
            </w:r>
          </w:p>
          <w:p w14:paraId="680B1B4B" w14:textId="77777777" w:rsidR="00AB3BC0" w:rsidRDefault="00000000">
            <w:pPr>
              <w:widowControl w:val="0"/>
              <w:jc w:val="both"/>
              <w:rPr>
                <w:sz w:val="20"/>
                <w:lang w:val="en-US"/>
              </w:rPr>
            </w:pPr>
            <w:r>
              <w:rPr>
                <w:rFonts w:eastAsia="宋体"/>
                <w:kern w:val="2"/>
                <w:sz w:val="20"/>
                <w:lang w:val="en-US" w:eastAsia="zh-CN" w:bidi="ar"/>
              </w:rPr>
              <w:t>Model 3: Adjusted based on Model 2 and BMI, WC, Smoking</w:t>
            </w:r>
          </w:p>
          <w:p w14:paraId="0D22EA49" w14:textId="77777777" w:rsidR="00AB3BC0" w:rsidRDefault="00000000">
            <w:pPr>
              <w:widowControl w:val="0"/>
              <w:jc w:val="both"/>
              <w:rPr>
                <w:sz w:val="20"/>
                <w:lang w:val="en-US"/>
              </w:rPr>
            </w:pPr>
            <w:r>
              <w:rPr>
                <w:rFonts w:eastAsia="宋体"/>
                <w:kern w:val="2"/>
                <w:sz w:val="20"/>
                <w:lang w:val="en-US" w:eastAsia="zh-CN" w:bidi="ar"/>
              </w:rPr>
              <w:t>Model 4: Adjusted based on Model 3 and chronic kidney disease, DM, hypertension</w:t>
            </w:r>
          </w:p>
          <w:p w14:paraId="0F82A46D" w14:textId="77777777" w:rsidR="00AB3BC0" w:rsidRDefault="00000000">
            <w:pPr>
              <w:widowControl w:val="0"/>
              <w:jc w:val="both"/>
              <w:rPr>
                <w:sz w:val="20"/>
                <w:lang w:val="en-US"/>
              </w:rPr>
            </w:pPr>
            <w:r>
              <w:rPr>
                <w:rFonts w:eastAsia="宋体"/>
                <w:kern w:val="2"/>
                <w:sz w:val="20"/>
                <w:lang w:val="en-US" w:eastAsia="zh-CN" w:bidi="ar"/>
              </w:rPr>
              <w:t>Model 5: Adjusted based on Model 4 and AST, ALT, HbA1c, albumin, total cholesterol, LDL-C, platelet count, triglycerides, eGFR, Total Bilirubin, creatinine, and use of glucose-lowering and lipid-lowering drugs.</w:t>
            </w:r>
            <w:r>
              <w:rPr>
                <w:rFonts w:eastAsia="宋体"/>
                <w:kern w:val="2"/>
                <w:sz w:val="20"/>
                <w:lang w:val="en-US" w:eastAsia="zh-CN" w:bidi="ar"/>
              </w:rPr>
              <w:br/>
            </w:r>
            <w:r>
              <w:rPr>
                <w:rFonts w:eastAsia="宋体"/>
                <w:kern w:val="2"/>
                <w:sz w:val="20"/>
                <w:lang w:val="en-US" w:eastAsia="zh-CN" w:bidi="ar"/>
              </w:rPr>
              <w:br/>
              <w:t>Model 1: Crude Cox model without adjustment</w:t>
            </w:r>
          </w:p>
          <w:p w14:paraId="21EA9C07" w14:textId="77777777" w:rsidR="00AB3BC0" w:rsidRDefault="00000000">
            <w:pPr>
              <w:widowControl w:val="0"/>
              <w:jc w:val="both"/>
              <w:rPr>
                <w:sz w:val="20"/>
                <w:lang w:val="en-US"/>
              </w:rPr>
            </w:pPr>
            <w:r>
              <w:rPr>
                <w:rFonts w:eastAsia="宋体"/>
                <w:kern w:val="2"/>
                <w:sz w:val="20"/>
                <w:lang w:val="en-US" w:eastAsia="zh-CN" w:bidi="ar"/>
              </w:rPr>
              <w:t>Model 2: Multivariable Cox model adjusted on Age, Sex, Ethnicity, TDI, Education</w:t>
            </w:r>
          </w:p>
          <w:p w14:paraId="40707563" w14:textId="77777777" w:rsidR="00AB3BC0" w:rsidRDefault="00000000">
            <w:pPr>
              <w:widowControl w:val="0"/>
              <w:jc w:val="both"/>
              <w:rPr>
                <w:sz w:val="20"/>
                <w:lang w:val="en-US"/>
              </w:rPr>
            </w:pPr>
            <w:r>
              <w:rPr>
                <w:rFonts w:eastAsia="宋体"/>
                <w:kern w:val="2"/>
                <w:sz w:val="20"/>
                <w:lang w:val="en-US" w:eastAsia="zh-CN" w:bidi="ar"/>
              </w:rPr>
              <w:t>Model 3: Further adjusted for BMI, WC, and Smoking, eGFR, and Total bilirubin</w:t>
            </w:r>
          </w:p>
          <w:p w14:paraId="35541D53" w14:textId="77777777" w:rsidR="00AB3BC0" w:rsidRDefault="00AB3BC0">
            <w:pPr>
              <w:widowControl w:val="0"/>
              <w:jc w:val="both"/>
              <w:rPr>
                <w:rFonts w:ascii="Arial" w:hAnsi="Arial" w:cs="Arial"/>
                <w:sz w:val="20"/>
                <w:lang w:val="en-US"/>
              </w:rPr>
            </w:pPr>
          </w:p>
          <w:p w14:paraId="76F5C221" w14:textId="77777777" w:rsidR="00AB3BC0" w:rsidRDefault="00AB3BC0">
            <w:pPr>
              <w:tabs>
                <w:tab w:val="left" w:pos="5400"/>
              </w:tabs>
              <w:rPr>
                <w:sz w:val="20"/>
              </w:rPr>
            </w:pPr>
          </w:p>
        </w:tc>
      </w:tr>
      <w:tr w:rsidR="00AB3BC0" w14:paraId="74D62572" w14:textId="77777777">
        <w:tc>
          <w:tcPr>
            <w:tcW w:w="1521" w:type="dxa"/>
            <w:gridSpan w:val="2"/>
            <w:vMerge/>
          </w:tcPr>
          <w:p w14:paraId="2F3BAAFB" w14:textId="77777777" w:rsidR="00AB3BC0" w:rsidRDefault="00AB3BC0">
            <w:pPr>
              <w:tabs>
                <w:tab w:val="left" w:pos="5400"/>
              </w:tabs>
              <w:rPr>
                <w:bCs/>
                <w:sz w:val="20"/>
              </w:rPr>
            </w:pPr>
            <w:bookmarkStart w:id="68" w:name="bold36" w:colFirst="0" w:colLast="0"/>
            <w:bookmarkStart w:id="69" w:name="italic36" w:colFirst="0" w:colLast="0"/>
          </w:p>
        </w:tc>
        <w:tc>
          <w:tcPr>
            <w:tcW w:w="749" w:type="dxa"/>
            <w:gridSpan w:val="2"/>
            <w:vMerge/>
          </w:tcPr>
          <w:p w14:paraId="1F1B2CD0" w14:textId="77777777" w:rsidR="00AB3BC0" w:rsidRDefault="00AB3BC0">
            <w:pPr>
              <w:tabs>
                <w:tab w:val="left" w:pos="5400"/>
              </w:tabs>
              <w:jc w:val="center"/>
              <w:rPr>
                <w:sz w:val="20"/>
              </w:rPr>
            </w:pPr>
          </w:p>
        </w:tc>
        <w:tc>
          <w:tcPr>
            <w:tcW w:w="4250" w:type="dxa"/>
          </w:tcPr>
          <w:p w14:paraId="7092E1EE" w14:textId="77777777" w:rsidR="00AB3BC0" w:rsidRDefault="00000000">
            <w:pPr>
              <w:tabs>
                <w:tab w:val="left" w:pos="5400"/>
              </w:tabs>
              <w:rPr>
                <w:sz w:val="20"/>
              </w:rPr>
            </w:pPr>
            <w:r>
              <w:rPr>
                <w:sz w:val="20"/>
              </w:rPr>
              <w:t>(b) Indicate number of participants with missing data for each variable of interest</w:t>
            </w:r>
          </w:p>
        </w:tc>
        <w:tc>
          <w:tcPr>
            <w:tcW w:w="626" w:type="dxa"/>
            <w:gridSpan w:val="2"/>
          </w:tcPr>
          <w:p w14:paraId="4DF25468" w14:textId="25E32FDB" w:rsidR="00AB3BC0" w:rsidRDefault="00000000">
            <w:pPr>
              <w:tabs>
                <w:tab w:val="left" w:pos="5400"/>
              </w:tabs>
              <w:rPr>
                <w:rFonts w:eastAsia="宋体"/>
                <w:sz w:val="20"/>
                <w:lang w:val="en-US" w:eastAsia="zh-CN"/>
              </w:rPr>
            </w:pPr>
            <w:r>
              <w:rPr>
                <w:rFonts w:eastAsia="宋体" w:hint="eastAsia"/>
                <w:sz w:val="20"/>
                <w:lang w:val="en-US" w:eastAsia="zh-CN"/>
              </w:rPr>
              <w:t>1</w:t>
            </w:r>
            <w:r w:rsidR="00C51B6A">
              <w:rPr>
                <w:rFonts w:eastAsia="宋体" w:hint="eastAsia"/>
                <w:sz w:val="20"/>
                <w:lang w:val="en-US" w:eastAsia="zh-CN"/>
              </w:rPr>
              <w:t>1</w:t>
            </w:r>
          </w:p>
        </w:tc>
        <w:tc>
          <w:tcPr>
            <w:tcW w:w="7846" w:type="dxa"/>
          </w:tcPr>
          <w:p w14:paraId="649CF7AA" w14:textId="77777777" w:rsidR="00AB3BC0" w:rsidRDefault="00000000">
            <w:pPr>
              <w:tabs>
                <w:tab w:val="left" w:pos="5400"/>
              </w:tabs>
              <w:rPr>
                <w:sz w:val="20"/>
              </w:rPr>
            </w:pPr>
            <w:r>
              <w:rPr>
                <w:rFonts w:eastAsia="宋体"/>
                <w:kern w:val="2"/>
                <w:sz w:val="20"/>
                <w:lang w:val="en-US" w:eastAsia="zh-CN" w:bidi="ar"/>
              </w:rPr>
              <w:t xml:space="preserve">Missingness for baseline variables is shown in </w:t>
            </w:r>
            <w:r>
              <w:rPr>
                <w:rFonts w:eastAsia="宋体"/>
                <w:b/>
                <w:bCs/>
                <w:kern w:val="2"/>
                <w:sz w:val="20"/>
                <w:lang w:val="en-US" w:eastAsia="zh-CN" w:bidi="ar"/>
              </w:rPr>
              <w:t>Supplementary Table S3</w:t>
            </w:r>
            <w:r>
              <w:rPr>
                <w:rFonts w:eastAsia="宋体"/>
                <w:kern w:val="2"/>
                <w:sz w:val="20"/>
                <w:lang w:val="en-US" w:eastAsia="zh-CN" w:bidi="ar"/>
              </w:rPr>
              <w:t>.</w:t>
            </w:r>
          </w:p>
        </w:tc>
      </w:tr>
      <w:tr w:rsidR="00AB3BC0" w14:paraId="2C706B9D" w14:textId="77777777">
        <w:tc>
          <w:tcPr>
            <w:tcW w:w="1521" w:type="dxa"/>
            <w:gridSpan w:val="2"/>
            <w:vMerge/>
          </w:tcPr>
          <w:p w14:paraId="56678DCF" w14:textId="77777777" w:rsidR="00AB3BC0" w:rsidRDefault="00AB3BC0">
            <w:pPr>
              <w:tabs>
                <w:tab w:val="left" w:pos="5400"/>
              </w:tabs>
              <w:rPr>
                <w:bCs/>
                <w:sz w:val="20"/>
              </w:rPr>
            </w:pPr>
            <w:bookmarkStart w:id="70" w:name="italic37" w:colFirst="0" w:colLast="0"/>
            <w:bookmarkStart w:id="71" w:name="bold37" w:colFirst="0" w:colLast="0"/>
            <w:bookmarkEnd w:id="68"/>
            <w:bookmarkEnd w:id="69"/>
          </w:p>
        </w:tc>
        <w:tc>
          <w:tcPr>
            <w:tcW w:w="749" w:type="dxa"/>
            <w:gridSpan w:val="2"/>
            <w:vMerge/>
          </w:tcPr>
          <w:p w14:paraId="5DB820BA" w14:textId="77777777" w:rsidR="00AB3BC0" w:rsidRDefault="00AB3BC0">
            <w:pPr>
              <w:tabs>
                <w:tab w:val="left" w:pos="5400"/>
              </w:tabs>
              <w:jc w:val="center"/>
              <w:rPr>
                <w:sz w:val="20"/>
              </w:rPr>
            </w:pPr>
          </w:p>
        </w:tc>
        <w:tc>
          <w:tcPr>
            <w:tcW w:w="4250" w:type="dxa"/>
          </w:tcPr>
          <w:p w14:paraId="7BCC7A4D" w14:textId="77777777" w:rsidR="00AB3BC0" w:rsidRDefault="00000000">
            <w:pPr>
              <w:tabs>
                <w:tab w:val="left" w:pos="5400"/>
              </w:tabs>
              <w:rPr>
                <w:sz w:val="20"/>
              </w:rPr>
            </w:pPr>
            <w:r>
              <w:rPr>
                <w:sz w:val="20"/>
              </w:rPr>
              <w:t xml:space="preserve">(c) </w:t>
            </w:r>
            <w:r>
              <w:rPr>
                <w:i/>
                <w:sz w:val="20"/>
              </w:rPr>
              <w:t>Cohort study</w:t>
            </w:r>
            <w:r>
              <w:rPr>
                <w:sz w:val="20"/>
              </w:rPr>
              <w:t>—Summarise follow-up time (eg, average and total amount)</w:t>
            </w:r>
          </w:p>
        </w:tc>
        <w:tc>
          <w:tcPr>
            <w:tcW w:w="626" w:type="dxa"/>
            <w:gridSpan w:val="2"/>
          </w:tcPr>
          <w:p w14:paraId="6E7CCA0A" w14:textId="17899B4A" w:rsidR="00AB3BC0" w:rsidRDefault="00000000">
            <w:pPr>
              <w:tabs>
                <w:tab w:val="left" w:pos="5400"/>
              </w:tabs>
              <w:rPr>
                <w:rFonts w:eastAsia="宋体"/>
                <w:sz w:val="20"/>
                <w:lang w:val="en-US" w:eastAsia="zh-CN"/>
              </w:rPr>
            </w:pPr>
            <w:r>
              <w:rPr>
                <w:rFonts w:eastAsia="宋体" w:hint="eastAsia"/>
                <w:sz w:val="20"/>
                <w:lang w:val="en-US" w:eastAsia="zh-CN"/>
              </w:rPr>
              <w:t>1</w:t>
            </w:r>
            <w:r w:rsidR="00C51B6A">
              <w:rPr>
                <w:rFonts w:eastAsia="宋体" w:hint="eastAsia"/>
                <w:sz w:val="20"/>
                <w:lang w:val="en-US" w:eastAsia="zh-CN"/>
              </w:rPr>
              <w:t>1</w:t>
            </w:r>
          </w:p>
        </w:tc>
        <w:tc>
          <w:tcPr>
            <w:tcW w:w="7846" w:type="dxa"/>
          </w:tcPr>
          <w:p w14:paraId="445FDB64" w14:textId="326C686B" w:rsidR="00AB3BC0" w:rsidRDefault="00C51B6A">
            <w:pPr>
              <w:tabs>
                <w:tab w:val="left" w:pos="5400"/>
              </w:tabs>
              <w:rPr>
                <w:sz w:val="20"/>
              </w:rPr>
            </w:pPr>
            <w:r w:rsidRPr="00C51B6A">
              <w:rPr>
                <w:rFonts w:hint="eastAsia"/>
                <w:sz w:val="20"/>
                <w:lang w:val="en-US"/>
              </w:rPr>
              <w:t>Over a median follow-up of 14.7 years (IQR 13.79-15.48),</w:t>
            </w:r>
          </w:p>
        </w:tc>
      </w:tr>
      <w:tr w:rsidR="00AB3BC0" w14:paraId="049BB6EF" w14:textId="77777777">
        <w:trPr>
          <w:trHeight w:val="295"/>
        </w:trPr>
        <w:tc>
          <w:tcPr>
            <w:tcW w:w="1521" w:type="dxa"/>
            <w:gridSpan w:val="2"/>
            <w:vMerge w:val="restart"/>
          </w:tcPr>
          <w:p w14:paraId="6FDD292B" w14:textId="77777777" w:rsidR="00AB3BC0" w:rsidRDefault="00000000">
            <w:pPr>
              <w:tabs>
                <w:tab w:val="left" w:pos="5400"/>
              </w:tabs>
              <w:rPr>
                <w:bCs/>
                <w:sz w:val="20"/>
              </w:rPr>
            </w:pPr>
            <w:bookmarkStart w:id="72" w:name="bold38" w:colFirst="0" w:colLast="0"/>
            <w:bookmarkStart w:id="73" w:name="italic38" w:colFirst="0" w:colLast="0"/>
            <w:bookmarkEnd w:id="70"/>
            <w:bookmarkEnd w:id="71"/>
            <w:r>
              <w:rPr>
                <w:bCs/>
                <w:sz w:val="20"/>
              </w:rPr>
              <w:t>Outcome data</w:t>
            </w:r>
          </w:p>
        </w:tc>
        <w:tc>
          <w:tcPr>
            <w:tcW w:w="749" w:type="dxa"/>
            <w:gridSpan w:val="2"/>
            <w:vMerge w:val="restart"/>
          </w:tcPr>
          <w:p w14:paraId="12814D3C" w14:textId="77777777" w:rsidR="00AB3BC0" w:rsidRDefault="00000000">
            <w:pPr>
              <w:tabs>
                <w:tab w:val="left" w:pos="5400"/>
              </w:tabs>
              <w:jc w:val="center"/>
              <w:rPr>
                <w:sz w:val="20"/>
              </w:rPr>
            </w:pPr>
            <w:r>
              <w:rPr>
                <w:sz w:val="20"/>
              </w:rPr>
              <w:t>15</w:t>
            </w:r>
            <w:bookmarkStart w:id="74" w:name="bold39"/>
            <w:r>
              <w:rPr>
                <w:bCs/>
                <w:sz w:val="20"/>
              </w:rPr>
              <w:t>*</w:t>
            </w:r>
            <w:bookmarkEnd w:id="74"/>
          </w:p>
        </w:tc>
        <w:tc>
          <w:tcPr>
            <w:tcW w:w="4250" w:type="dxa"/>
          </w:tcPr>
          <w:p w14:paraId="057CBEF5" w14:textId="77777777" w:rsidR="00AB3BC0" w:rsidRDefault="00000000">
            <w:pPr>
              <w:tabs>
                <w:tab w:val="left" w:pos="5400"/>
              </w:tabs>
              <w:rPr>
                <w:sz w:val="20"/>
              </w:rPr>
            </w:pPr>
            <w:r>
              <w:rPr>
                <w:i/>
                <w:sz w:val="20"/>
              </w:rPr>
              <w:t>Cohort study</w:t>
            </w:r>
            <w:r>
              <w:rPr>
                <w:sz w:val="20"/>
              </w:rPr>
              <w:t>—Report numbers of outcome events or summary measures over time</w:t>
            </w:r>
          </w:p>
        </w:tc>
        <w:tc>
          <w:tcPr>
            <w:tcW w:w="626" w:type="dxa"/>
            <w:gridSpan w:val="2"/>
          </w:tcPr>
          <w:p w14:paraId="1DB66D69" w14:textId="35792A76" w:rsidR="00AB3BC0" w:rsidRDefault="00000000">
            <w:pPr>
              <w:tabs>
                <w:tab w:val="left" w:pos="5400"/>
              </w:tabs>
              <w:rPr>
                <w:rFonts w:eastAsia="宋体"/>
                <w:i/>
                <w:sz w:val="20"/>
                <w:lang w:val="en-US" w:eastAsia="zh-CN"/>
              </w:rPr>
            </w:pPr>
            <w:r>
              <w:rPr>
                <w:rFonts w:eastAsia="宋体" w:hint="eastAsia"/>
                <w:sz w:val="20"/>
                <w:lang w:val="en-US" w:eastAsia="zh-CN"/>
              </w:rPr>
              <w:t>1</w:t>
            </w:r>
            <w:r w:rsidR="00C51B6A">
              <w:rPr>
                <w:rFonts w:eastAsia="宋体" w:hint="eastAsia"/>
                <w:sz w:val="20"/>
                <w:lang w:val="en-US" w:eastAsia="zh-CN"/>
              </w:rPr>
              <w:t>1</w:t>
            </w:r>
          </w:p>
        </w:tc>
        <w:tc>
          <w:tcPr>
            <w:tcW w:w="7846" w:type="dxa"/>
          </w:tcPr>
          <w:p w14:paraId="7A9015A8" w14:textId="77777777" w:rsidR="00AB3BC0" w:rsidRDefault="00000000">
            <w:pPr>
              <w:tabs>
                <w:tab w:val="left" w:pos="5400"/>
              </w:tabs>
              <w:rPr>
                <w:i/>
                <w:sz w:val="20"/>
              </w:rPr>
            </w:pPr>
            <w:r>
              <w:rPr>
                <w:rFonts w:eastAsia="宋体"/>
                <w:kern w:val="2"/>
                <w:sz w:val="20"/>
                <w:lang w:val="en-US" w:eastAsia="zh-CN" w:bidi="ar"/>
              </w:rPr>
              <w:t>9,948 (7.2%) participants developed LREs.</w:t>
            </w:r>
          </w:p>
        </w:tc>
      </w:tr>
      <w:tr w:rsidR="00AB3BC0" w14:paraId="25917C12" w14:textId="77777777">
        <w:trPr>
          <w:trHeight w:val="294"/>
        </w:trPr>
        <w:tc>
          <w:tcPr>
            <w:tcW w:w="1521" w:type="dxa"/>
            <w:gridSpan w:val="2"/>
            <w:vMerge/>
          </w:tcPr>
          <w:p w14:paraId="64C5ADB0" w14:textId="77777777" w:rsidR="00AB3BC0" w:rsidRDefault="00AB3BC0">
            <w:pPr>
              <w:tabs>
                <w:tab w:val="left" w:pos="5400"/>
              </w:tabs>
              <w:rPr>
                <w:bCs/>
                <w:sz w:val="20"/>
              </w:rPr>
            </w:pPr>
          </w:p>
        </w:tc>
        <w:tc>
          <w:tcPr>
            <w:tcW w:w="749" w:type="dxa"/>
            <w:gridSpan w:val="2"/>
            <w:vMerge/>
          </w:tcPr>
          <w:p w14:paraId="0EA521FE" w14:textId="77777777" w:rsidR="00AB3BC0" w:rsidRDefault="00AB3BC0">
            <w:pPr>
              <w:tabs>
                <w:tab w:val="left" w:pos="5400"/>
              </w:tabs>
              <w:jc w:val="center"/>
              <w:rPr>
                <w:sz w:val="20"/>
              </w:rPr>
            </w:pPr>
          </w:p>
        </w:tc>
        <w:tc>
          <w:tcPr>
            <w:tcW w:w="4250" w:type="dxa"/>
          </w:tcPr>
          <w:p w14:paraId="7015B3B6" w14:textId="77777777" w:rsidR="00AB3BC0" w:rsidRDefault="00000000">
            <w:pPr>
              <w:tabs>
                <w:tab w:val="left" w:pos="5400"/>
              </w:tabs>
              <w:rPr>
                <w:i/>
                <w:sz w:val="20"/>
              </w:rPr>
            </w:pPr>
            <w:r>
              <w:rPr>
                <w:i/>
                <w:sz w:val="20"/>
              </w:rPr>
              <w:t>Case-control study—</w:t>
            </w:r>
            <w:r>
              <w:rPr>
                <w:sz w:val="20"/>
              </w:rPr>
              <w:t>Report numbers in each exposure category, or summary measures of exposure</w:t>
            </w:r>
          </w:p>
        </w:tc>
        <w:tc>
          <w:tcPr>
            <w:tcW w:w="626" w:type="dxa"/>
            <w:gridSpan w:val="2"/>
          </w:tcPr>
          <w:p w14:paraId="0B9C2DEE" w14:textId="77777777" w:rsidR="00AB3BC0" w:rsidRDefault="00AB3BC0">
            <w:pPr>
              <w:tabs>
                <w:tab w:val="left" w:pos="5400"/>
              </w:tabs>
              <w:rPr>
                <w:i/>
                <w:sz w:val="20"/>
              </w:rPr>
            </w:pPr>
          </w:p>
        </w:tc>
        <w:tc>
          <w:tcPr>
            <w:tcW w:w="7846" w:type="dxa"/>
          </w:tcPr>
          <w:p w14:paraId="019AAAA7" w14:textId="77777777" w:rsidR="00AB3BC0" w:rsidRDefault="00AB3BC0">
            <w:pPr>
              <w:tabs>
                <w:tab w:val="left" w:pos="5400"/>
              </w:tabs>
              <w:rPr>
                <w:i/>
                <w:sz w:val="20"/>
              </w:rPr>
            </w:pPr>
          </w:p>
        </w:tc>
      </w:tr>
      <w:tr w:rsidR="00AB3BC0" w14:paraId="4721C305" w14:textId="77777777">
        <w:trPr>
          <w:trHeight w:val="294"/>
        </w:trPr>
        <w:tc>
          <w:tcPr>
            <w:tcW w:w="1521" w:type="dxa"/>
            <w:gridSpan w:val="2"/>
            <w:vMerge/>
          </w:tcPr>
          <w:p w14:paraId="5951893E" w14:textId="77777777" w:rsidR="00AB3BC0" w:rsidRDefault="00AB3BC0">
            <w:pPr>
              <w:tabs>
                <w:tab w:val="left" w:pos="5400"/>
              </w:tabs>
              <w:rPr>
                <w:bCs/>
                <w:sz w:val="20"/>
              </w:rPr>
            </w:pPr>
          </w:p>
        </w:tc>
        <w:tc>
          <w:tcPr>
            <w:tcW w:w="749" w:type="dxa"/>
            <w:gridSpan w:val="2"/>
            <w:vMerge/>
          </w:tcPr>
          <w:p w14:paraId="280AF88A" w14:textId="77777777" w:rsidR="00AB3BC0" w:rsidRDefault="00AB3BC0">
            <w:pPr>
              <w:tabs>
                <w:tab w:val="left" w:pos="5400"/>
              </w:tabs>
              <w:jc w:val="center"/>
              <w:rPr>
                <w:sz w:val="20"/>
              </w:rPr>
            </w:pPr>
          </w:p>
        </w:tc>
        <w:tc>
          <w:tcPr>
            <w:tcW w:w="4250" w:type="dxa"/>
          </w:tcPr>
          <w:p w14:paraId="47ED7C4E" w14:textId="77777777" w:rsidR="00AB3BC0" w:rsidRDefault="00000000">
            <w:pPr>
              <w:tabs>
                <w:tab w:val="left" w:pos="5400"/>
              </w:tabs>
              <w:rPr>
                <w:i/>
                <w:sz w:val="20"/>
              </w:rPr>
            </w:pPr>
            <w:r>
              <w:rPr>
                <w:i/>
                <w:sz w:val="20"/>
              </w:rPr>
              <w:t>Cross-sectional study—</w:t>
            </w:r>
            <w:r>
              <w:rPr>
                <w:sz w:val="20"/>
              </w:rPr>
              <w:t>Report numbers of outcome events or summary measures</w:t>
            </w:r>
          </w:p>
        </w:tc>
        <w:tc>
          <w:tcPr>
            <w:tcW w:w="626" w:type="dxa"/>
            <w:gridSpan w:val="2"/>
          </w:tcPr>
          <w:p w14:paraId="7CC6A2AF" w14:textId="77777777" w:rsidR="00AB3BC0" w:rsidRDefault="00AB3BC0">
            <w:pPr>
              <w:tabs>
                <w:tab w:val="left" w:pos="5400"/>
              </w:tabs>
              <w:rPr>
                <w:i/>
                <w:sz w:val="20"/>
              </w:rPr>
            </w:pPr>
          </w:p>
        </w:tc>
        <w:tc>
          <w:tcPr>
            <w:tcW w:w="7846" w:type="dxa"/>
          </w:tcPr>
          <w:p w14:paraId="6B5C186B" w14:textId="77777777" w:rsidR="00AB3BC0" w:rsidRDefault="00AB3BC0">
            <w:pPr>
              <w:tabs>
                <w:tab w:val="left" w:pos="5400"/>
              </w:tabs>
              <w:rPr>
                <w:i/>
                <w:sz w:val="20"/>
              </w:rPr>
            </w:pPr>
          </w:p>
        </w:tc>
      </w:tr>
      <w:tr w:rsidR="00AB3BC0" w14:paraId="465F1A19" w14:textId="77777777">
        <w:tc>
          <w:tcPr>
            <w:tcW w:w="1521" w:type="dxa"/>
            <w:gridSpan w:val="2"/>
            <w:vMerge w:val="restart"/>
          </w:tcPr>
          <w:p w14:paraId="75438449" w14:textId="77777777" w:rsidR="00AB3BC0" w:rsidRDefault="00000000">
            <w:pPr>
              <w:tabs>
                <w:tab w:val="left" w:pos="5400"/>
              </w:tabs>
              <w:rPr>
                <w:bCs/>
                <w:sz w:val="20"/>
              </w:rPr>
            </w:pPr>
            <w:bookmarkStart w:id="75" w:name="bold41" w:colFirst="0" w:colLast="0"/>
            <w:bookmarkStart w:id="76" w:name="italic40" w:colFirst="0" w:colLast="0"/>
            <w:bookmarkEnd w:id="72"/>
            <w:bookmarkEnd w:id="73"/>
            <w:r>
              <w:rPr>
                <w:bCs/>
                <w:sz w:val="20"/>
              </w:rPr>
              <w:t>Main results</w:t>
            </w:r>
          </w:p>
        </w:tc>
        <w:tc>
          <w:tcPr>
            <w:tcW w:w="749" w:type="dxa"/>
            <w:gridSpan w:val="2"/>
            <w:vMerge w:val="restart"/>
          </w:tcPr>
          <w:p w14:paraId="3A36CCD2" w14:textId="77777777" w:rsidR="00AB3BC0" w:rsidRDefault="00000000">
            <w:pPr>
              <w:tabs>
                <w:tab w:val="left" w:pos="5400"/>
              </w:tabs>
              <w:jc w:val="center"/>
              <w:rPr>
                <w:sz w:val="20"/>
              </w:rPr>
            </w:pPr>
            <w:r>
              <w:rPr>
                <w:sz w:val="20"/>
              </w:rPr>
              <w:t>16</w:t>
            </w:r>
          </w:p>
        </w:tc>
        <w:tc>
          <w:tcPr>
            <w:tcW w:w="4250" w:type="dxa"/>
          </w:tcPr>
          <w:p w14:paraId="635C6822" w14:textId="77777777" w:rsidR="00AB3BC0" w:rsidRDefault="00000000">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626" w:type="dxa"/>
            <w:gridSpan w:val="2"/>
          </w:tcPr>
          <w:p w14:paraId="3F240CF3" w14:textId="5232F219" w:rsidR="00C51B6A" w:rsidRDefault="00C51B6A">
            <w:pPr>
              <w:tabs>
                <w:tab w:val="left" w:pos="5400"/>
              </w:tabs>
              <w:rPr>
                <w:rFonts w:eastAsia="宋体"/>
                <w:sz w:val="20"/>
                <w:lang w:val="en-US" w:eastAsia="zh-CN"/>
              </w:rPr>
            </w:pPr>
            <w:r>
              <w:rPr>
                <w:rFonts w:eastAsia="宋体" w:hint="eastAsia"/>
                <w:sz w:val="20"/>
                <w:lang w:val="en-US" w:eastAsia="zh-CN"/>
              </w:rPr>
              <w:t>14,</w:t>
            </w:r>
          </w:p>
          <w:p w14:paraId="1E1D8AA1" w14:textId="052BE655" w:rsidR="00C51B6A" w:rsidRDefault="00C51B6A">
            <w:pPr>
              <w:tabs>
                <w:tab w:val="left" w:pos="5400"/>
              </w:tabs>
              <w:rPr>
                <w:rFonts w:eastAsia="宋体"/>
                <w:sz w:val="20"/>
                <w:lang w:val="en-US" w:eastAsia="zh-CN"/>
              </w:rPr>
            </w:pPr>
            <w:r>
              <w:rPr>
                <w:rFonts w:eastAsia="宋体" w:hint="eastAsia"/>
                <w:sz w:val="20"/>
                <w:lang w:val="en-US" w:eastAsia="zh-CN"/>
              </w:rPr>
              <w:t>17,</w:t>
            </w:r>
          </w:p>
          <w:p w14:paraId="4CF5B274" w14:textId="11E966BE" w:rsidR="00C51B6A" w:rsidRDefault="00C51B6A">
            <w:pPr>
              <w:tabs>
                <w:tab w:val="left" w:pos="5400"/>
              </w:tabs>
              <w:rPr>
                <w:rFonts w:eastAsia="宋体" w:hint="eastAsia"/>
                <w:sz w:val="20"/>
                <w:lang w:val="en-US" w:eastAsia="zh-CN"/>
              </w:rPr>
            </w:pPr>
            <w:r>
              <w:rPr>
                <w:rFonts w:eastAsia="宋体" w:hint="eastAsia"/>
                <w:sz w:val="20"/>
                <w:lang w:val="en-US" w:eastAsia="zh-CN"/>
              </w:rPr>
              <w:t>19</w:t>
            </w:r>
          </w:p>
          <w:p w14:paraId="727A3693" w14:textId="77777777" w:rsidR="00C51B6A" w:rsidRDefault="00C51B6A">
            <w:pPr>
              <w:tabs>
                <w:tab w:val="left" w:pos="5400"/>
              </w:tabs>
              <w:rPr>
                <w:rFonts w:eastAsia="宋体"/>
                <w:sz w:val="20"/>
                <w:lang w:val="en-US" w:eastAsia="zh-CN"/>
              </w:rPr>
            </w:pPr>
          </w:p>
          <w:p w14:paraId="6B13C401" w14:textId="421752C7" w:rsidR="00AB3BC0" w:rsidRDefault="00AB3BC0">
            <w:pPr>
              <w:tabs>
                <w:tab w:val="left" w:pos="5400"/>
              </w:tabs>
              <w:rPr>
                <w:rFonts w:eastAsia="宋体"/>
                <w:sz w:val="20"/>
                <w:lang w:val="en-US" w:eastAsia="zh-CN"/>
              </w:rPr>
            </w:pPr>
          </w:p>
        </w:tc>
        <w:tc>
          <w:tcPr>
            <w:tcW w:w="7846" w:type="dxa"/>
          </w:tcPr>
          <w:p w14:paraId="70534A87" w14:textId="77777777" w:rsidR="00AB3BC0" w:rsidRDefault="00000000">
            <w:pPr>
              <w:tabs>
                <w:tab w:val="left" w:pos="5400"/>
              </w:tabs>
              <w:rPr>
                <w:sz w:val="20"/>
              </w:rPr>
            </w:pPr>
            <w:r>
              <w:rPr>
                <w:rFonts w:eastAsia="宋体"/>
                <w:kern w:val="2"/>
                <w:sz w:val="20"/>
                <w:lang w:val="en-US" w:eastAsia="zh-CN" w:bidi="ar"/>
              </w:rPr>
              <w:t xml:space="preserve">Compared with participants without comorbidity, those with </w:t>
            </w:r>
            <w:r>
              <w:rPr>
                <w:rFonts w:eastAsia="等线"/>
                <w:color w:val="000000"/>
                <w:kern w:val="2"/>
                <w:sz w:val="20"/>
                <w:lang w:val="en-US" w:eastAsia="zh-CN" w:bidi="ar"/>
              </w:rPr>
              <w:t xml:space="preserve">≥ </w:t>
            </w:r>
            <w:r>
              <w:rPr>
                <w:rFonts w:eastAsia="宋体"/>
                <w:kern w:val="2"/>
                <w:sz w:val="20"/>
                <w:lang w:val="en-US" w:eastAsia="zh-CN" w:bidi="ar"/>
              </w:rPr>
              <w:t>3 comorbidities had a higher risk of LREs in the unadjusted model (HR 2.37, 95% CI 2.23-2.51; P&lt;0.001), which remained significant after full adjustment (HR 1.54, 95% CI 1.43-1.65; P&lt;0.001)</w:t>
            </w:r>
            <w:r>
              <w:rPr>
                <w:rFonts w:eastAsia="宋体"/>
                <w:kern w:val="2"/>
                <w:sz w:val="20"/>
                <w:lang w:val="en-US" w:eastAsia="zh-CN" w:bidi="ar"/>
              </w:rPr>
              <w:br/>
            </w:r>
            <w:r>
              <w:rPr>
                <w:rFonts w:eastAsia="宋体"/>
                <w:kern w:val="2"/>
                <w:sz w:val="20"/>
                <w:lang w:val="en-US" w:eastAsia="zh-CN" w:bidi="ar"/>
              </w:rPr>
              <w:br/>
            </w:r>
            <w:bookmarkStart w:id="77" w:name="OLE_LINK2"/>
            <w:r>
              <w:rPr>
                <w:rFonts w:eastAsia="宋体"/>
                <w:kern w:val="2"/>
                <w:sz w:val="20"/>
                <w:lang w:val="en-US" w:eastAsia="zh-CN" w:bidi="ar"/>
              </w:rPr>
              <w:t xml:space="preserve">Participants in the highest CCI tertile had a higher risk of LRE compared with those in the lowest tertile in the unadjusted model (HR 2.01, </w:t>
            </w:r>
            <w:bookmarkEnd w:id="77"/>
            <w:r>
              <w:rPr>
                <w:rFonts w:eastAsia="宋体"/>
                <w:kern w:val="2"/>
                <w:sz w:val="20"/>
                <w:lang w:val="en-US" w:eastAsia="zh-CN" w:bidi="ar"/>
              </w:rPr>
              <w:t>95% CI 1.92-2.12) (</w:t>
            </w:r>
            <w:r>
              <w:rPr>
                <w:rFonts w:eastAsia="宋体"/>
                <w:b/>
                <w:bCs/>
                <w:kern w:val="2"/>
                <w:sz w:val="20"/>
                <w:lang w:val="en-US" w:eastAsia="zh-CN" w:bidi="ar"/>
              </w:rPr>
              <w:t>Table 2</w:t>
            </w:r>
            <w:r>
              <w:rPr>
                <w:rFonts w:eastAsia="宋体"/>
                <w:kern w:val="2"/>
                <w:sz w:val="20"/>
                <w:lang w:val="en-US" w:eastAsia="zh-CN" w:bidi="ar"/>
              </w:rPr>
              <w:t>). This association remained significant after adjustment for demographic factors in model 2 (HR 1.63, 95% CI 1.52-1.75), further adjustment for BMI, WC and smoking on model 3 (HR 1.55, 95% CI 1.45-1.66), and full adjustment in model 5 (HR 1.41, 95% CI 1.31-1.51).</w:t>
            </w:r>
          </w:p>
        </w:tc>
      </w:tr>
      <w:tr w:rsidR="00AB3BC0" w14:paraId="4F99CFE4" w14:textId="77777777">
        <w:tc>
          <w:tcPr>
            <w:tcW w:w="1521" w:type="dxa"/>
            <w:gridSpan w:val="2"/>
            <w:vMerge/>
          </w:tcPr>
          <w:p w14:paraId="49791111" w14:textId="77777777" w:rsidR="00AB3BC0" w:rsidRDefault="00AB3BC0">
            <w:pPr>
              <w:tabs>
                <w:tab w:val="left" w:pos="5400"/>
              </w:tabs>
              <w:rPr>
                <w:bCs/>
                <w:sz w:val="20"/>
              </w:rPr>
            </w:pPr>
            <w:bookmarkStart w:id="78" w:name="italic41" w:colFirst="0" w:colLast="0"/>
            <w:bookmarkStart w:id="79" w:name="bold42" w:colFirst="0" w:colLast="0"/>
            <w:bookmarkEnd w:id="75"/>
            <w:bookmarkEnd w:id="76"/>
          </w:p>
        </w:tc>
        <w:tc>
          <w:tcPr>
            <w:tcW w:w="749" w:type="dxa"/>
            <w:gridSpan w:val="2"/>
            <w:vMerge/>
          </w:tcPr>
          <w:p w14:paraId="449086CD" w14:textId="77777777" w:rsidR="00AB3BC0" w:rsidRDefault="00AB3BC0">
            <w:pPr>
              <w:tabs>
                <w:tab w:val="left" w:pos="5400"/>
              </w:tabs>
              <w:jc w:val="center"/>
              <w:rPr>
                <w:sz w:val="20"/>
              </w:rPr>
            </w:pPr>
          </w:p>
        </w:tc>
        <w:tc>
          <w:tcPr>
            <w:tcW w:w="4250" w:type="dxa"/>
          </w:tcPr>
          <w:p w14:paraId="77904734" w14:textId="77777777" w:rsidR="00AB3BC0" w:rsidRDefault="00000000">
            <w:pPr>
              <w:tabs>
                <w:tab w:val="left" w:pos="5400"/>
              </w:tabs>
              <w:rPr>
                <w:sz w:val="20"/>
              </w:rPr>
            </w:pPr>
            <w:r>
              <w:rPr>
                <w:sz w:val="20"/>
              </w:rPr>
              <w:t>(</w:t>
            </w:r>
            <w:r>
              <w:rPr>
                <w:i/>
                <w:sz w:val="20"/>
              </w:rPr>
              <w:t>b</w:t>
            </w:r>
            <w:r>
              <w:rPr>
                <w:sz w:val="20"/>
              </w:rPr>
              <w:t>) Report category boundaries when continuous variables were categorized</w:t>
            </w:r>
          </w:p>
        </w:tc>
        <w:tc>
          <w:tcPr>
            <w:tcW w:w="626" w:type="dxa"/>
            <w:gridSpan w:val="2"/>
          </w:tcPr>
          <w:p w14:paraId="750882D5" w14:textId="616524C0" w:rsidR="00AB3BC0" w:rsidRDefault="00000000">
            <w:pPr>
              <w:tabs>
                <w:tab w:val="left" w:pos="5400"/>
              </w:tabs>
              <w:rPr>
                <w:rFonts w:eastAsia="宋体"/>
                <w:sz w:val="20"/>
                <w:lang w:val="en-US" w:eastAsia="zh-CN"/>
              </w:rPr>
            </w:pPr>
            <w:r>
              <w:rPr>
                <w:rFonts w:eastAsia="宋体" w:hint="eastAsia"/>
                <w:sz w:val="20"/>
                <w:lang w:val="en-US" w:eastAsia="zh-CN"/>
              </w:rPr>
              <w:t>1</w:t>
            </w:r>
            <w:r w:rsidR="00C51B6A">
              <w:rPr>
                <w:rFonts w:eastAsia="宋体" w:hint="eastAsia"/>
                <w:sz w:val="20"/>
                <w:lang w:val="en-US" w:eastAsia="zh-CN"/>
              </w:rPr>
              <w:t>5</w:t>
            </w:r>
          </w:p>
        </w:tc>
        <w:tc>
          <w:tcPr>
            <w:tcW w:w="7846" w:type="dxa"/>
          </w:tcPr>
          <w:p w14:paraId="629029A0" w14:textId="77777777" w:rsidR="00AB3BC0" w:rsidRDefault="00000000">
            <w:pPr>
              <w:tabs>
                <w:tab w:val="left" w:pos="5400"/>
              </w:tabs>
              <w:rPr>
                <w:rFonts w:eastAsia="宋体"/>
                <w:sz w:val="20"/>
                <w:lang w:val="en-US" w:eastAsia="zh-CN"/>
              </w:rPr>
            </w:pPr>
            <w:r>
              <w:rPr>
                <w:sz w:val="20"/>
                <w:lang w:val="en-US" w:eastAsia="zh-CN"/>
              </w:rPr>
              <w:t xml:space="preserve">* </w:t>
            </w:r>
            <w:r>
              <w:rPr>
                <w:sz w:val="20"/>
              </w:rPr>
              <w:t>CCI was categorized into tertiles using cut points of 1 and 2, corresponding to scores of 0</w:t>
            </w:r>
            <w:r>
              <w:rPr>
                <w:sz w:val="20"/>
                <w:lang w:val="en-US" w:eastAsia="zh-CN"/>
              </w:rPr>
              <w:t>-</w:t>
            </w:r>
            <w:r>
              <w:rPr>
                <w:sz w:val="20"/>
              </w:rPr>
              <w:t>1, 2, and ≥3, respectively.</w:t>
            </w:r>
          </w:p>
        </w:tc>
      </w:tr>
      <w:tr w:rsidR="00AB3BC0" w14:paraId="63425780" w14:textId="77777777">
        <w:tc>
          <w:tcPr>
            <w:tcW w:w="1521" w:type="dxa"/>
            <w:gridSpan w:val="2"/>
            <w:vMerge/>
          </w:tcPr>
          <w:p w14:paraId="5AC945D4" w14:textId="77777777" w:rsidR="00AB3BC0" w:rsidRDefault="00AB3BC0">
            <w:pPr>
              <w:tabs>
                <w:tab w:val="left" w:pos="5400"/>
              </w:tabs>
              <w:rPr>
                <w:bCs/>
                <w:sz w:val="20"/>
              </w:rPr>
            </w:pPr>
            <w:bookmarkStart w:id="80" w:name="italic42" w:colFirst="0" w:colLast="0"/>
            <w:bookmarkStart w:id="81" w:name="bold43" w:colFirst="0" w:colLast="0"/>
            <w:bookmarkEnd w:id="78"/>
            <w:bookmarkEnd w:id="79"/>
          </w:p>
        </w:tc>
        <w:tc>
          <w:tcPr>
            <w:tcW w:w="749" w:type="dxa"/>
            <w:gridSpan w:val="2"/>
            <w:vMerge/>
          </w:tcPr>
          <w:p w14:paraId="7688B459" w14:textId="77777777" w:rsidR="00AB3BC0" w:rsidRDefault="00AB3BC0">
            <w:pPr>
              <w:tabs>
                <w:tab w:val="left" w:pos="5400"/>
              </w:tabs>
              <w:jc w:val="center"/>
              <w:rPr>
                <w:sz w:val="20"/>
              </w:rPr>
            </w:pPr>
          </w:p>
        </w:tc>
        <w:tc>
          <w:tcPr>
            <w:tcW w:w="4250" w:type="dxa"/>
          </w:tcPr>
          <w:p w14:paraId="757BAE78" w14:textId="77777777" w:rsidR="00AB3BC0" w:rsidRDefault="00000000">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626" w:type="dxa"/>
            <w:gridSpan w:val="2"/>
          </w:tcPr>
          <w:p w14:paraId="24E12044" w14:textId="77777777" w:rsidR="00AB3BC0" w:rsidRDefault="00AB3BC0">
            <w:pPr>
              <w:tabs>
                <w:tab w:val="left" w:pos="5400"/>
              </w:tabs>
              <w:rPr>
                <w:sz w:val="20"/>
              </w:rPr>
            </w:pPr>
          </w:p>
        </w:tc>
        <w:tc>
          <w:tcPr>
            <w:tcW w:w="7846" w:type="dxa"/>
          </w:tcPr>
          <w:p w14:paraId="6B9F8F1E" w14:textId="77777777" w:rsidR="00AB3BC0" w:rsidRDefault="00AB3BC0">
            <w:pPr>
              <w:tabs>
                <w:tab w:val="left" w:pos="5400"/>
              </w:tabs>
              <w:rPr>
                <w:sz w:val="20"/>
                <w:lang w:val="en-US"/>
              </w:rPr>
            </w:pPr>
          </w:p>
        </w:tc>
      </w:tr>
    </w:tbl>
    <w:p w14:paraId="0323AF08" w14:textId="77777777" w:rsidR="00AB3BC0" w:rsidRDefault="00000000">
      <w:bookmarkStart w:id="82" w:name="italic43"/>
      <w:bookmarkStart w:id="83" w:name="bold44"/>
      <w:bookmarkEnd w:id="80"/>
      <w:bookmarkEnd w:id="81"/>
      <w:r>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4A0" w:firstRow="1" w:lastRow="0" w:firstColumn="1" w:lastColumn="0" w:noHBand="0" w:noVBand="1"/>
      </w:tblPr>
      <w:tblGrid>
        <w:gridCol w:w="1494"/>
        <w:gridCol w:w="416"/>
        <w:gridCol w:w="4590"/>
        <w:gridCol w:w="658"/>
        <w:gridCol w:w="7834"/>
      </w:tblGrid>
      <w:tr w:rsidR="00AB3BC0" w14:paraId="142359D6" w14:textId="77777777">
        <w:tc>
          <w:tcPr>
            <w:tcW w:w="0" w:type="auto"/>
          </w:tcPr>
          <w:p w14:paraId="0AFE7E1B" w14:textId="77777777" w:rsidR="00AB3BC0" w:rsidRDefault="00000000">
            <w:pPr>
              <w:tabs>
                <w:tab w:val="left" w:pos="5400"/>
              </w:tabs>
              <w:rPr>
                <w:bCs/>
                <w:sz w:val="20"/>
              </w:rPr>
            </w:pPr>
            <w:r>
              <w:rPr>
                <w:bCs/>
                <w:sz w:val="20"/>
              </w:rPr>
              <w:lastRenderedPageBreak/>
              <w:t>Other analyses</w:t>
            </w:r>
            <w:bookmarkEnd w:id="82"/>
            <w:bookmarkEnd w:id="83"/>
          </w:p>
        </w:tc>
        <w:tc>
          <w:tcPr>
            <w:tcW w:w="0" w:type="auto"/>
          </w:tcPr>
          <w:p w14:paraId="60388E20" w14:textId="77777777" w:rsidR="00AB3BC0" w:rsidRDefault="00000000">
            <w:pPr>
              <w:tabs>
                <w:tab w:val="left" w:pos="5400"/>
              </w:tabs>
              <w:jc w:val="center"/>
              <w:rPr>
                <w:sz w:val="20"/>
              </w:rPr>
            </w:pPr>
            <w:r>
              <w:rPr>
                <w:sz w:val="20"/>
              </w:rPr>
              <w:t>17</w:t>
            </w:r>
          </w:p>
        </w:tc>
        <w:tc>
          <w:tcPr>
            <w:tcW w:w="4590" w:type="dxa"/>
          </w:tcPr>
          <w:p w14:paraId="74B15AEC" w14:textId="77777777" w:rsidR="00AB3BC0" w:rsidRDefault="00000000">
            <w:pPr>
              <w:tabs>
                <w:tab w:val="left" w:pos="5400"/>
              </w:tabs>
              <w:rPr>
                <w:sz w:val="20"/>
              </w:rPr>
            </w:pPr>
            <w:r>
              <w:rPr>
                <w:sz w:val="20"/>
              </w:rPr>
              <w:t>Report other analyses done—eg analyses of subgroups and interactions, and sensitivity analyses</w:t>
            </w:r>
          </w:p>
        </w:tc>
        <w:tc>
          <w:tcPr>
            <w:tcW w:w="658" w:type="dxa"/>
          </w:tcPr>
          <w:p w14:paraId="52FA0393" w14:textId="09D1F3FE" w:rsidR="00AB3BC0" w:rsidRPr="00C51B6A" w:rsidRDefault="00C51B6A">
            <w:pPr>
              <w:tabs>
                <w:tab w:val="left" w:pos="5400"/>
              </w:tabs>
              <w:rPr>
                <w:rFonts w:eastAsiaTheme="minorEastAsia" w:hint="eastAsia"/>
                <w:sz w:val="20"/>
                <w:lang w:eastAsia="zh-CN"/>
              </w:rPr>
            </w:pPr>
            <w:r>
              <w:rPr>
                <w:rFonts w:eastAsiaTheme="minorEastAsia" w:hint="eastAsia"/>
                <w:sz w:val="20"/>
                <w:lang w:eastAsia="zh-CN"/>
              </w:rPr>
              <w:t>8, 10</w:t>
            </w:r>
          </w:p>
        </w:tc>
        <w:tc>
          <w:tcPr>
            <w:tcW w:w="7834" w:type="dxa"/>
          </w:tcPr>
          <w:p w14:paraId="5C67F132" w14:textId="77777777" w:rsidR="00AB3BC0" w:rsidRDefault="00000000">
            <w:pPr>
              <w:spacing w:line="360" w:lineRule="auto"/>
              <w:rPr>
                <w:rFonts w:eastAsia="Helvetica"/>
                <w:color w:val="000000"/>
                <w:sz w:val="20"/>
                <w:lang w:bidi="ar"/>
              </w:rPr>
            </w:pPr>
            <w:r>
              <w:rPr>
                <w:sz w:val="20"/>
              </w:rPr>
              <w:t xml:space="preserve">For sensitivity analysis, comorbidity count and CCI with LREs were also re-evaluated in the complete-case dataset. </w:t>
            </w:r>
          </w:p>
          <w:p w14:paraId="1A9D005B" w14:textId="77777777" w:rsidR="00AB3BC0" w:rsidRDefault="00000000">
            <w:pPr>
              <w:spacing w:line="360" w:lineRule="auto"/>
              <w:rPr>
                <w:sz w:val="20"/>
              </w:rPr>
            </w:pPr>
            <w:r>
              <w:rPr>
                <w:rFonts w:eastAsia="Helvetica"/>
                <w:color w:val="000000"/>
                <w:sz w:val="20"/>
                <w:lang w:bidi="ar"/>
              </w:rPr>
              <w:t>To evaluate the robustness of the</w:t>
            </w:r>
            <w:r>
              <w:rPr>
                <w:color w:val="000000"/>
                <w:sz w:val="20"/>
                <w:lang w:bidi="ar"/>
              </w:rPr>
              <w:t xml:space="preserve"> identified </w:t>
            </w:r>
            <w:r>
              <w:rPr>
                <w:rFonts w:eastAsia="Helvetica"/>
                <w:color w:val="000000"/>
                <w:sz w:val="20"/>
                <w:lang w:bidi="ar"/>
              </w:rPr>
              <w:t>comorbidity patterns, LCA was conducted in male and female.</w:t>
            </w:r>
            <w:r>
              <w:rPr>
                <w:color w:val="000000"/>
                <w:sz w:val="20"/>
                <w:lang w:bidi="ar"/>
              </w:rPr>
              <w:t xml:space="preserve"> </w:t>
            </w:r>
            <w:r>
              <w:rPr>
                <w:color w:val="000000"/>
                <w:sz w:val="20"/>
                <w:lang w:bidi="ar"/>
              </w:rPr>
              <w:br/>
              <w:t>LCA was repeated using a lower prevalence threshold of 1% for indicator selection.</w:t>
            </w:r>
          </w:p>
        </w:tc>
      </w:tr>
      <w:tr w:rsidR="00AB3BC0" w14:paraId="6DC7D6A0" w14:textId="77777777">
        <w:tc>
          <w:tcPr>
            <w:tcW w:w="14992" w:type="dxa"/>
            <w:gridSpan w:val="5"/>
          </w:tcPr>
          <w:p w14:paraId="2B3A11C1" w14:textId="77777777" w:rsidR="00AB3BC0" w:rsidRDefault="00000000">
            <w:pPr>
              <w:pStyle w:val="TableSubHead"/>
              <w:tabs>
                <w:tab w:val="left" w:pos="5400"/>
              </w:tabs>
              <w:rPr>
                <w:sz w:val="20"/>
              </w:rPr>
            </w:pPr>
            <w:bookmarkStart w:id="84" w:name="italic44"/>
            <w:bookmarkStart w:id="85" w:name="bold45"/>
            <w:r>
              <w:rPr>
                <w:sz w:val="20"/>
              </w:rPr>
              <w:t>Discussion</w:t>
            </w:r>
            <w:bookmarkEnd w:id="84"/>
            <w:bookmarkEnd w:id="85"/>
          </w:p>
        </w:tc>
      </w:tr>
      <w:tr w:rsidR="00AB3BC0" w14:paraId="45E05331" w14:textId="77777777">
        <w:tc>
          <w:tcPr>
            <w:tcW w:w="0" w:type="auto"/>
          </w:tcPr>
          <w:p w14:paraId="2681BD33" w14:textId="77777777" w:rsidR="00AB3BC0" w:rsidRDefault="00000000">
            <w:pPr>
              <w:tabs>
                <w:tab w:val="left" w:pos="5400"/>
              </w:tabs>
              <w:rPr>
                <w:bCs/>
                <w:sz w:val="20"/>
              </w:rPr>
            </w:pPr>
            <w:bookmarkStart w:id="86" w:name="bold46" w:colFirst="0" w:colLast="0"/>
            <w:bookmarkStart w:id="87" w:name="italic45" w:colFirst="0" w:colLast="0"/>
            <w:r>
              <w:rPr>
                <w:bCs/>
                <w:sz w:val="20"/>
              </w:rPr>
              <w:t>Key results</w:t>
            </w:r>
          </w:p>
        </w:tc>
        <w:tc>
          <w:tcPr>
            <w:tcW w:w="0" w:type="auto"/>
          </w:tcPr>
          <w:p w14:paraId="5A4417C8" w14:textId="77777777" w:rsidR="00AB3BC0" w:rsidRDefault="00000000">
            <w:pPr>
              <w:tabs>
                <w:tab w:val="left" w:pos="5400"/>
              </w:tabs>
              <w:jc w:val="center"/>
              <w:rPr>
                <w:sz w:val="20"/>
              </w:rPr>
            </w:pPr>
            <w:r>
              <w:rPr>
                <w:sz w:val="20"/>
              </w:rPr>
              <w:t>18</w:t>
            </w:r>
          </w:p>
        </w:tc>
        <w:tc>
          <w:tcPr>
            <w:tcW w:w="4590" w:type="dxa"/>
          </w:tcPr>
          <w:p w14:paraId="01512DB9" w14:textId="77777777" w:rsidR="00AB3BC0" w:rsidRDefault="00000000">
            <w:pPr>
              <w:tabs>
                <w:tab w:val="left" w:pos="5400"/>
              </w:tabs>
              <w:rPr>
                <w:sz w:val="20"/>
              </w:rPr>
            </w:pPr>
            <w:r>
              <w:rPr>
                <w:sz w:val="20"/>
              </w:rPr>
              <w:t>Summarise key results with reference to study objectives</w:t>
            </w:r>
          </w:p>
        </w:tc>
        <w:tc>
          <w:tcPr>
            <w:tcW w:w="658" w:type="dxa"/>
          </w:tcPr>
          <w:p w14:paraId="2253D26C" w14:textId="24E3B3C8" w:rsidR="00AB3BC0" w:rsidRDefault="00000000">
            <w:pPr>
              <w:tabs>
                <w:tab w:val="left" w:pos="5400"/>
              </w:tabs>
              <w:rPr>
                <w:rFonts w:eastAsia="宋体"/>
                <w:sz w:val="20"/>
                <w:lang w:val="en-US" w:eastAsia="zh-CN"/>
              </w:rPr>
            </w:pPr>
            <w:r>
              <w:rPr>
                <w:rFonts w:eastAsia="宋体" w:hint="eastAsia"/>
                <w:sz w:val="20"/>
                <w:lang w:val="en-US" w:eastAsia="zh-CN"/>
              </w:rPr>
              <w:t>2</w:t>
            </w:r>
            <w:r w:rsidR="00C51B6A">
              <w:rPr>
                <w:rFonts w:eastAsia="宋体" w:hint="eastAsia"/>
                <w:sz w:val="20"/>
                <w:lang w:val="en-US" w:eastAsia="zh-CN"/>
              </w:rPr>
              <w:t>2</w:t>
            </w:r>
          </w:p>
        </w:tc>
        <w:tc>
          <w:tcPr>
            <w:tcW w:w="7834" w:type="dxa"/>
          </w:tcPr>
          <w:p w14:paraId="04BC4644" w14:textId="77777777" w:rsidR="00AB3BC0" w:rsidRDefault="00000000">
            <w:pPr>
              <w:tabs>
                <w:tab w:val="left" w:pos="5400"/>
              </w:tabs>
              <w:rPr>
                <w:sz w:val="20"/>
              </w:rPr>
            </w:pPr>
            <w:r>
              <w:rPr>
                <w:rFonts w:eastAsia="宋体"/>
                <w:kern w:val="2"/>
                <w:sz w:val="20"/>
                <w:lang w:val="en-US" w:eastAsia="zh-CN" w:bidi="ar"/>
              </w:rPr>
              <w:t>To our knowledge, this is the first study of comprehensively characterizing the prognostic landscape of comorbidity in MASLD through the systematic evaluation of 51 individual comorbidities, pairwise disease combinations, and latent comorbidity patterns. Our findings demonstrate that the prognostic significance of comorbidities in patients with MASLD is shaped not only by their cumulative burden, but also by how conditions co-occur and cluster within individuals. Although both comorbidity count and CCI were positively associated with LRE risk, comorbidity patterns captured additional prognostic heterogeneity beyond conventional aggregate measures.</w:t>
            </w:r>
          </w:p>
        </w:tc>
      </w:tr>
      <w:tr w:rsidR="00AB3BC0" w14:paraId="1D39DD19" w14:textId="77777777">
        <w:tc>
          <w:tcPr>
            <w:tcW w:w="0" w:type="auto"/>
          </w:tcPr>
          <w:p w14:paraId="49E44EA3" w14:textId="77777777" w:rsidR="00AB3BC0" w:rsidRDefault="00000000">
            <w:pPr>
              <w:tabs>
                <w:tab w:val="left" w:pos="5400"/>
              </w:tabs>
              <w:rPr>
                <w:bCs/>
                <w:sz w:val="20"/>
              </w:rPr>
            </w:pPr>
            <w:bookmarkStart w:id="88" w:name="bold47" w:colFirst="0" w:colLast="0"/>
            <w:bookmarkStart w:id="89" w:name="italic46" w:colFirst="0" w:colLast="0"/>
            <w:bookmarkEnd w:id="86"/>
            <w:bookmarkEnd w:id="87"/>
            <w:r>
              <w:rPr>
                <w:bCs/>
                <w:sz w:val="20"/>
              </w:rPr>
              <w:t>Limitations</w:t>
            </w:r>
          </w:p>
        </w:tc>
        <w:tc>
          <w:tcPr>
            <w:tcW w:w="0" w:type="auto"/>
          </w:tcPr>
          <w:p w14:paraId="56A99E8D" w14:textId="77777777" w:rsidR="00AB3BC0" w:rsidRDefault="00000000">
            <w:pPr>
              <w:tabs>
                <w:tab w:val="left" w:pos="5400"/>
              </w:tabs>
              <w:jc w:val="center"/>
              <w:rPr>
                <w:sz w:val="20"/>
              </w:rPr>
            </w:pPr>
            <w:r>
              <w:rPr>
                <w:sz w:val="20"/>
              </w:rPr>
              <w:t>19</w:t>
            </w:r>
          </w:p>
        </w:tc>
        <w:tc>
          <w:tcPr>
            <w:tcW w:w="4590" w:type="dxa"/>
          </w:tcPr>
          <w:p w14:paraId="4434712C" w14:textId="77777777" w:rsidR="00AB3BC0" w:rsidRDefault="00000000">
            <w:pPr>
              <w:tabs>
                <w:tab w:val="left" w:pos="5400"/>
              </w:tabs>
              <w:rPr>
                <w:sz w:val="20"/>
              </w:rPr>
            </w:pPr>
            <w:r>
              <w:rPr>
                <w:sz w:val="20"/>
              </w:rPr>
              <w:t>Discuss limitations of the study, taking into account sources of potential bias or imprecision. Discuss both direction and magnitude of any potential bias</w:t>
            </w:r>
          </w:p>
        </w:tc>
        <w:tc>
          <w:tcPr>
            <w:tcW w:w="658" w:type="dxa"/>
          </w:tcPr>
          <w:p w14:paraId="2AE678AE" w14:textId="65201D92" w:rsidR="00AB3BC0" w:rsidRDefault="00C51B6A">
            <w:pPr>
              <w:tabs>
                <w:tab w:val="left" w:pos="5400"/>
              </w:tabs>
              <w:rPr>
                <w:rFonts w:eastAsia="宋体" w:hint="eastAsia"/>
                <w:sz w:val="20"/>
                <w:lang w:val="en-US" w:eastAsia="zh-CN"/>
              </w:rPr>
            </w:pPr>
            <w:r>
              <w:rPr>
                <w:rFonts w:eastAsia="宋体" w:hint="eastAsia"/>
                <w:sz w:val="20"/>
                <w:lang w:val="en-US" w:eastAsia="zh-CN"/>
              </w:rPr>
              <w:t>26, 27</w:t>
            </w:r>
          </w:p>
        </w:tc>
        <w:tc>
          <w:tcPr>
            <w:tcW w:w="7834" w:type="dxa"/>
          </w:tcPr>
          <w:p w14:paraId="66B080ED" w14:textId="77777777" w:rsidR="00AB3BC0" w:rsidRDefault="00000000" w:rsidP="003C4A2A">
            <w:pPr>
              <w:tabs>
                <w:tab w:val="left" w:pos="1290"/>
              </w:tabs>
              <w:spacing w:line="360" w:lineRule="auto"/>
              <w:rPr>
                <w:sz w:val="20"/>
              </w:rPr>
            </w:pPr>
            <w:r>
              <w:rPr>
                <w:sz w:val="20"/>
              </w:rPr>
              <w:t xml:space="preserve">However, several limitations should be acknowledged. First, participants were derived from the UK Biobank, single-country cohort with evidence of a healthy volunteer selection effect, which may limit the generalizability of the findings. Second, hepatic steatosis was ascertained using the fatty liver index rather than imaging or biopsy, which may have led to misclassification of MASLD status. Third, comorbidities and latent class membership were assessed at baseline and treated as time-fixed. Incident conditions, changes in disease severity, transitions between comorbidity patterns during follow-up were therefore not captured. Fourth, as an observational study, residual confounding and unmeasured bias cannot be fully excluded despite extensive multivariable adjustment. Therefore, the observed associations should not be interpreted as causal. Fifth, the proportional hazards assumption was not satisfied for the main exposure variables. The reported hazard ratios should be interpreted as average effects over the follow-up period. Finally, competing risks were not formally modelled. Because death may preclude the occurrence of an LRE, cumulative incidence may have been overestimated, although the cause-specific hazard estimates remain interpretable as etiological associations </w:t>
            </w:r>
            <w:r>
              <w:rPr>
                <w:sz w:val="20"/>
              </w:rPr>
              <w:lastRenderedPageBreak/>
              <w:t>under the assumptions of the Cox model.</w:t>
            </w:r>
          </w:p>
          <w:p w14:paraId="1C4EFC83" w14:textId="77777777" w:rsidR="00AB3BC0" w:rsidRDefault="00AB3BC0">
            <w:pPr>
              <w:tabs>
                <w:tab w:val="left" w:pos="5400"/>
              </w:tabs>
              <w:rPr>
                <w:sz w:val="20"/>
              </w:rPr>
            </w:pPr>
          </w:p>
        </w:tc>
      </w:tr>
      <w:tr w:rsidR="00AB3BC0" w14:paraId="7A27749B" w14:textId="77777777">
        <w:tc>
          <w:tcPr>
            <w:tcW w:w="0" w:type="auto"/>
          </w:tcPr>
          <w:p w14:paraId="4FE3C1B4" w14:textId="77777777" w:rsidR="00AB3BC0" w:rsidRDefault="00000000">
            <w:pPr>
              <w:tabs>
                <w:tab w:val="left" w:pos="5400"/>
              </w:tabs>
              <w:rPr>
                <w:bCs/>
                <w:sz w:val="20"/>
              </w:rPr>
            </w:pPr>
            <w:bookmarkStart w:id="90" w:name="bold48" w:colFirst="0" w:colLast="0"/>
            <w:bookmarkStart w:id="91" w:name="italic47" w:colFirst="0" w:colLast="0"/>
            <w:bookmarkEnd w:id="88"/>
            <w:bookmarkEnd w:id="89"/>
            <w:r>
              <w:rPr>
                <w:bCs/>
                <w:sz w:val="20"/>
              </w:rPr>
              <w:lastRenderedPageBreak/>
              <w:t>Interpretation</w:t>
            </w:r>
          </w:p>
        </w:tc>
        <w:tc>
          <w:tcPr>
            <w:tcW w:w="0" w:type="auto"/>
          </w:tcPr>
          <w:p w14:paraId="6F8AE404" w14:textId="77777777" w:rsidR="00AB3BC0" w:rsidRDefault="00000000">
            <w:pPr>
              <w:tabs>
                <w:tab w:val="left" w:pos="5400"/>
              </w:tabs>
              <w:jc w:val="center"/>
              <w:rPr>
                <w:sz w:val="20"/>
              </w:rPr>
            </w:pPr>
            <w:r>
              <w:rPr>
                <w:sz w:val="20"/>
              </w:rPr>
              <w:t>20</w:t>
            </w:r>
          </w:p>
        </w:tc>
        <w:tc>
          <w:tcPr>
            <w:tcW w:w="4590" w:type="dxa"/>
          </w:tcPr>
          <w:p w14:paraId="3E5A4E30" w14:textId="77777777" w:rsidR="00AB3BC0" w:rsidRDefault="00000000">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658" w:type="dxa"/>
          </w:tcPr>
          <w:p w14:paraId="29764E19" w14:textId="2B2DCD60" w:rsidR="00AB3BC0" w:rsidRDefault="00000000">
            <w:pPr>
              <w:tabs>
                <w:tab w:val="left" w:pos="5400"/>
              </w:tabs>
              <w:rPr>
                <w:rFonts w:eastAsia="宋体"/>
                <w:sz w:val="20"/>
                <w:lang w:val="en-US" w:eastAsia="zh-CN"/>
              </w:rPr>
            </w:pPr>
            <w:r>
              <w:rPr>
                <w:rFonts w:eastAsia="宋体" w:hint="eastAsia"/>
                <w:sz w:val="20"/>
                <w:lang w:val="en-US" w:eastAsia="zh-CN"/>
              </w:rPr>
              <w:t>2</w:t>
            </w:r>
            <w:r w:rsidR="00C51B6A">
              <w:rPr>
                <w:rFonts w:eastAsia="宋体" w:hint="eastAsia"/>
                <w:sz w:val="20"/>
                <w:lang w:val="en-US" w:eastAsia="zh-CN"/>
              </w:rPr>
              <w:t>2</w:t>
            </w:r>
          </w:p>
        </w:tc>
        <w:tc>
          <w:tcPr>
            <w:tcW w:w="7834" w:type="dxa"/>
          </w:tcPr>
          <w:p w14:paraId="3A9ED393" w14:textId="77777777" w:rsidR="00AB3BC0" w:rsidRDefault="00000000">
            <w:pPr>
              <w:tabs>
                <w:tab w:val="left" w:pos="5400"/>
              </w:tabs>
              <w:rPr>
                <w:sz w:val="20"/>
              </w:rPr>
            </w:pPr>
            <w:r>
              <w:rPr>
                <w:sz w:val="21"/>
                <w:szCs w:val="16"/>
              </w:rPr>
              <w:t>A prior study reported that each additional long-term condition was associated with a 30% higher risk of mortality in patients with MASLD (HR 1.30, 95% CI 1.29-1.32).</w:t>
            </w:r>
            <w:r>
              <w:rPr>
                <w:sz w:val="21"/>
                <w:szCs w:val="16"/>
              </w:rPr>
              <w:fldChar w:fldCharType="begin"/>
            </w:r>
            <w:r>
              <w:rPr>
                <w:sz w:val="21"/>
                <w:szCs w:val="16"/>
              </w:rPr>
              <w:instrText xml:space="preserve"> ADDIN ZOTERO_ITEM CSL_CITATION {"citationID":"LokLLgZA","properties":{"unsorted":false,"formattedCitation":"\\super 21\\nosupersub{}","plainCitation":"21","noteIndex":0},"citationItems":[{"id":5851,"uris":["http://zotero.org/users/9834796/items/CTN4TY8G"],"itemData":{"id":5851,"type":"article-journal","abstract":"Context\nMetabolic dysfunction–associated steatotic liver disease (MASLD) affects one third of the world's population, but its associations with extrahepatic multimorbidity and mortality remain unclear.\n\nObjective\nThis study aimed to estimate the impact of MASLD, with and without multimorbidity, on all-cause mortality.\n\nMethods\nWe analyzed data from the UK Biobank. MASLD was identified as a fatty liver index ≥60 and presence of cardiometabolic risk factors. Multimorbidity was defined as ≥2 of the long-term conditions (LTCs) in a prespecified list of 47 extrahepatic conditions. Hazard ratios (HRs) from adjusted Cox models quantified the association between MASLD, multimorbidity and all-cause mortality.\n\nResults\nOf the 438 840 participants, 131 020 (29.9%) had MASLD at baseline. The participants with MASLD at baseline had a higher prevalence of multimorbidity than those without (21.3% vs 14.4%). In addition to cardiometabolic risk factors, MASLD was strongly associated with several LTCs, particularly metabolic, cardiovascular, cancers, kidney, mental/behavioral, and respiratory diseases. During a median follow-up of 13 years, MASLD was associated with higher mortality (HR 1.16; 95% CI 1.13, 1.19), with stronger associations in females and in those with low LTC counts (≤3 LTCs). Each additional LTC at baseline was associated with 30% and 38% higher mortality in MASLD (HR 1.30; 1.29, 1.32) and non-MASLD (HR 1.38; 1.37, 1.40) populations, respectively. Among the 47 LTCs, 16 were associated with increased mortality in people with MASLD.\n\nConclusion\nThose with MASLD exhibited a higher prevalence of extrahepatic multimorbidity and a 16% higher rate of mortality than those without, underscoring the impact of liver steatosis on mortality and highlighting the need to target LTCs to improve outcomes and reduce health care burdens.","citation-key":"fengRelationshipsMASLDExtrahepatic2025","container-title":"The Journal of Clinical Endocrinology and Metabolism","DOI":"10.1210/clinem/dgaf342","ISSN":"0021-972X","issue":"1","journalAbbreviation":"J Clin Endocrinol Metab","page":"e58-e69","PMID":"40493745","PMCID":"PMC12712988","source":"PubMed Central","title":"The Relationships Between MASLD, Extrahepatic Multimorbidity, and All-Cause Mortality in the UK Biobank Cohort","volume":"111","author":[{"family":"Feng","given":"Qi"},{"family":"Izzi-Engbeaya","given":"Chioma N"},{"family":"Branch","given":"Andrea D"},{"family":"Mullish","given":"Benjamin H"},{"family":"Manousou","given":"Pinelopi"},{"family":"Woodward","given":"Mark"}],"issued":{"date-parts":[["2025",6,10]]}}}],"schema":"https://github.com/citation-style-language/schema/raw/master/csl-citation.json"} </w:instrText>
            </w:r>
            <w:r>
              <w:rPr>
                <w:sz w:val="21"/>
                <w:szCs w:val="16"/>
              </w:rPr>
              <w:fldChar w:fldCharType="separate"/>
            </w:r>
            <w:r>
              <w:rPr>
                <w:sz w:val="21"/>
                <w:szCs w:val="16"/>
                <w:vertAlign w:val="superscript"/>
              </w:rPr>
              <w:t>21</w:t>
            </w:r>
            <w:r>
              <w:rPr>
                <w:sz w:val="21"/>
                <w:szCs w:val="16"/>
              </w:rPr>
              <w:fldChar w:fldCharType="end"/>
            </w:r>
            <w:r>
              <w:rPr>
                <w:sz w:val="21"/>
                <w:szCs w:val="16"/>
              </w:rPr>
              <w:t xml:space="preserve"> Similarly, each 1-point increase in CCI was associated with a 32% increase in all-cause mortality among patients with NAFLD.</w:t>
            </w:r>
            <w:r>
              <w:rPr>
                <w:sz w:val="21"/>
                <w:szCs w:val="16"/>
              </w:rPr>
              <w:fldChar w:fldCharType="begin"/>
            </w:r>
            <w:r>
              <w:rPr>
                <w:sz w:val="21"/>
                <w:szCs w:val="16"/>
              </w:rPr>
              <w:instrText xml:space="preserve"> ADDIN ZOTERO_ITEM CSL_CITATION {"citationID":"a25824ljjdp","properties":{"unsorted":false,"formattedCitation":"\\super 28\\nosupersub{}","plainCitation":"28","noteIndex":0},"citationItems":[{"id":6287,"uris":["http://zotero.org/users/9834796/items/V2QBIURN"],"itemData":{"id":6287,"type":"article-journal","abstract":"Background and aims\nProgressive liver fibrosis related to non-alcoholic fatty liver disease (NAFLD) is associated with all-cause and liver-related mortality. We assessed vibration-controlled transie...","citation-key":"braudeLiverStiffnessFibroscan","DOI":"10.1111/liv.15415","language":"en","source":"onlinelibrary.wiley.com","title":"Liver stiffness (Fibroscan®) is a predictor of all‐cause mortality in people with non‐alcoholic fatty liver disease","URL":"https://onlinelibrary.wiley.com/doi/10.1111/liv.15415","author":[{"family":"Braude","given":"Michael"},{"family":"Roberts","given":"Stuart"},{"family":"Majeed","given":"Ammar"},{"family":"Lubel","given":"John"},{"family":"Prompen","given":"Jirayut"},{"family":"Dev","given":"Anouk"},{"family":"Sievert","given":"William"},{"family":"Bloom","given":"Stephen"},{"family":"Gow","given":"Paul"},{"family":"Kemp","given":"William"}],"accessed":{"date-parts":[["2026",5,20]]}}}],"schema":"https://github.com/citation-style-language/schema/raw/master/csl-citation.json"} </w:instrText>
            </w:r>
            <w:r>
              <w:rPr>
                <w:sz w:val="21"/>
                <w:szCs w:val="16"/>
              </w:rPr>
              <w:fldChar w:fldCharType="separate"/>
            </w:r>
            <w:r>
              <w:rPr>
                <w:sz w:val="21"/>
                <w:szCs w:val="16"/>
                <w:vertAlign w:val="superscript"/>
              </w:rPr>
              <w:t>28</w:t>
            </w:r>
            <w:r>
              <w:rPr>
                <w:sz w:val="21"/>
                <w:szCs w:val="16"/>
              </w:rPr>
              <w:fldChar w:fldCharType="end"/>
            </w:r>
          </w:p>
        </w:tc>
      </w:tr>
      <w:tr w:rsidR="00AB3BC0" w14:paraId="715DEDC7" w14:textId="77777777">
        <w:tc>
          <w:tcPr>
            <w:tcW w:w="0" w:type="auto"/>
          </w:tcPr>
          <w:p w14:paraId="56B16614" w14:textId="77777777" w:rsidR="00AB3BC0" w:rsidRDefault="00000000">
            <w:pPr>
              <w:tabs>
                <w:tab w:val="left" w:pos="5400"/>
              </w:tabs>
              <w:rPr>
                <w:bCs/>
                <w:sz w:val="20"/>
              </w:rPr>
            </w:pPr>
            <w:bookmarkStart w:id="92" w:name="bold49" w:colFirst="0" w:colLast="0"/>
            <w:bookmarkStart w:id="93" w:name="italic48" w:colFirst="0" w:colLast="0"/>
            <w:bookmarkEnd w:id="90"/>
            <w:bookmarkEnd w:id="91"/>
            <w:r>
              <w:rPr>
                <w:bCs/>
                <w:sz w:val="20"/>
              </w:rPr>
              <w:t>Generalisability</w:t>
            </w:r>
          </w:p>
        </w:tc>
        <w:tc>
          <w:tcPr>
            <w:tcW w:w="0" w:type="auto"/>
          </w:tcPr>
          <w:p w14:paraId="6EA5EC32" w14:textId="77777777" w:rsidR="00AB3BC0" w:rsidRDefault="00000000">
            <w:pPr>
              <w:tabs>
                <w:tab w:val="left" w:pos="5400"/>
              </w:tabs>
              <w:jc w:val="center"/>
              <w:rPr>
                <w:sz w:val="20"/>
              </w:rPr>
            </w:pPr>
            <w:r>
              <w:rPr>
                <w:sz w:val="20"/>
              </w:rPr>
              <w:t>21</w:t>
            </w:r>
          </w:p>
        </w:tc>
        <w:tc>
          <w:tcPr>
            <w:tcW w:w="4590" w:type="dxa"/>
          </w:tcPr>
          <w:p w14:paraId="6E633FAF" w14:textId="77777777" w:rsidR="00AB3BC0" w:rsidRDefault="00000000">
            <w:pPr>
              <w:tabs>
                <w:tab w:val="left" w:pos="5400"/>
              </w:tabs>
              <w:rPr>
                <w:sz w:val="20"/>
              </w:rPr>
            </w:pPr>
            <w:r>
              <w:rPr>
                <w:sz w:val="20"/>
              </w:rPr>
              <w:t>Discuss the generalisability (external validity) of the study results</w:t>
            </w:r>
          </w:p>
        </w:tc>
        <w:tc>
          <w:tcPr>
            <w:tcW w:w="658" w:type="dxa"/>
          </w:tcPr>
          <w:p w14:paraId="708F10A3" w14:textId="73B4EF1A" w:rsidR="00AB3BC0" w:rsidRDefault="00000000">
            <w:pPr>
              <w:tabs>
                <w:tab w:val="left" w:pos="5400"/>
              </w:tabs>
              <w:rPr>
                <w:sz w:val="20"/>
              </w:rPr>
            </w:pPr>
            <w:r>
              <w:rPr>
                <w:rFonts w:eastAsia="宋体" w:hint="eastAsia"/>
                <w:sz w:val="20"/>
                <w:lang w:val="en-US" w:eastAsia="zh-CN"/>
              </w:rPr>
              <w:t>2</w:t>
            </w:r>
            <w:r w:rsidR="00C51B6A">
              <w:rPr>
                <w:rFonts w:eastAsia="宋体" w:hint="eastAsia"/>
                <w:sz w:val="20"/>
                <w:lang w:val="en-US" w:eastAsia="zh-CN"/>
              </w:rPr>
              <w:t>6</w:t>
            </w:r>
          </w:p>
        </w:tc>
        <w:tc>
          <w:tcPr>
            <w:tcW w:w="7834" w:type="dxa"/>
          </w:tcPr>
          <w:p w14:paraId="3B7E24FE" w14:textId="77777777" w:rsidR="00AB3BC0" w:rsidRDefault="00000000">
            <w:pPr>
              <w:tabs>
                <w:tab w:val="left" w:pos="5400"/>
              </w:tabs>
              <w:rPr>
                <w:sz w:val="20"/>
              </w:rPr>
            </w:pPr>
            <w:r>
              <w:rPr>
                <w:sz w:val="20"/>
              </w:rPr>
              <w:t>First, participants were derived from the UK Biobank, single-country cohort</w:t>
            </w:r>
            <w:r>
              <w:rPr>
                <w:rFonts w:hint="eastAsia"/>
                <w:sz w:val="20"/>
              </w:rPr>
              <w:t xml:space="preserve"> with evidence of a healthy volunteer selection effect</w:t>
            </w:r>
            <w:r>
              <w:rPr>
                <w:sz w:val="20"/>
              </w:rPr>
              <w:t xml:space="preserve">, which may limit the generalizability of </w:t>
            </w:r>
            <w:r>
              <w:rPr>
                <w:rFonts w:hint="eastAsia"/>
                <w:sz w:val="20"/>
              </w:rPr>
              <w:t>the</w:t>
            </w:r>
            <w:r>
              <w:rPr>
                <w:sz w:val="20"/>
              </w:rPr>
              <w:t xml:space="preserve"> findings</w:t>
            </w:r>
          </w:p>
        </w:tc>
      </w:tr>
      <w:tr w:rsidR="00AB3BC0" w14:paraId="7A748DF6" w14:textId="77777777">
        <w:tc>
          <w:tcPr>
            <w:tcW w:w="1910" w:type="dxa"/>
            <w:gridSpan w:val="2"/>
          </w:tcPr>
          <w:p w14:paraId="3B77CC67" w14:textId="77777777" w:rsidR="00AB3BC0" w:rsidRDefault="00000000">
            <w:pPr>
              <w:pStyle w:val="TableSubHead"/>
              <w:tabs>
                <w:tab w:val="left" w:pos="5400"/>
              </w:tabs>
              <w:rPr>
                <w:sz w:val="20"/>
              </w:rPr>
            </w:pPr>
            <w:bookmarkStart w:id="94" w:name="italic49"/>
            <w:bookmarkStart w:id="95" w:name="bold50"/>
            <w:bookmarkEnd w:id="92"/>
            <w:bookmarkEnd w:id="93"/>
            <w:r>
              <w:rPr>
                <w:sz w:val="20"/>
              </w:rPr>
              <w:t>Other information</w:t>
            </w:r>
          </w:p>
        </w:tc>
        <w:bookmarkEnd w:id="94"/>
        <w:bookmarkEnd w:id="95"/>
        <w:tc>
          <w:tcPr>
            <w:tcW w:w="13082" w:type="dxa"/>
            <w:gridSpan w:val="3"/>
          </w:tcPr>
          <w:p w14:paraId="7DE94E7A" w14:textId="77777777" w:rsidR="00AB3BC0" w:rsidRDefault="00AB3BC0">
            <w:pPr>
              <w:pStyle w:val="TableSubHead"/>
              <w:tabs>
                <w:tab w:val="left" w:pos="5400"/>
              </w:tabs>
              <w:rPr>
                <w:sz w:val="20"/>
              </w:rPr>
            </w:pPr>
          </w:p>
        </w:tc>
      </w:tr>
      <w:tr w:rsidR="00AB3BC0" w14:paraId="23E835BD" w14:textId="77777777" w:rsidTr="003C4A2A">
        <w:trPr>
          <w:trHeight w:val="1970"/>
        </w:trPr>
        <w:tc>
          <w:tcPr>
            <w:tcW w:w="0" w:type="auto"/>
          </w:tcPr>
          <w:p w14:paraId="647708EE" w14:textId="77777777" w:rsidR="00AB3BC0" w:rsidRDefault="00000000">
            <w:pPr>
              <w:tabs>
                <w:tab w:val="left" w:pos="5400"/>
              </w:tabs>
              <w:rPr>
                <w:bCs/>
                <w:sz w:val="20"/>
              </w:rPr>
            </w:pPr>
            <w:bookmarkStart w:id="96" w:name="italic50" w:colFirst="0" w:colLast="0"/>
            <w:bookmarkStart w:id="97" w:name="bold51" w:colFirst="0" w:colLast="0"/>
            <w:r>
              <w:rPr>
                <w:bCs/>
                <w:sz w:val="20"/>
              </w:rPr>
              <w:t>Funding</w:t>
            </w:r>
          </w:p>
        </w:tc>
        <w:tc>
          <w:tcPr>
            <w:tcW w:w="0" w:type="auto"/>
          </w:tcPr>
          <w:p w14:paraId="459E8853" w14:textId="77777777" w:rsidR="00AB3BC0" w:rsidRDefault="00000000">
            <w:pPr>
              <w:tabs>
                <w:tab w:val="left" w:pos="5400"/>
              </w:tabs>
              <w:jc w:val="center"/>
              <w:rPr>
                <w:sz w:val="20"/>
              </w:rPr>
            </w:pPr>
            <w:r>
              <w:rPr>
                <w:sz w:val="20"/>
              </w:rPr>
              <w:t>22</w:t>
            </w:r>
          </w:p>
        </w:tc>
        <w:tc>
          <w:tcPr>
            <w:tcW w:w="4590" w:type="dxa"/>
          </w:tcPr>
          <w:p w14:paraId="6DE0A746" w14:textId="77777777" w:rsidR="00AB3BC0" w:rsidRDefault="00000000">
            <w:pPr>
              <w:tabs>
                <w:tab w:val="left" w:pos="5400"/>
              </w:tabs>
              <w:rPr>
                <w:sz w:val="20"/>
              </w:rPr>
            </w:pPr>
            <w:r>
              <w:rPr>
                <w:sz w:val="20"/>
              </w:rPr>
              <w:t>Give the source of funding and the role of the funders for the present study and, if applicable, for the original study on which the present article is based</w:t>
            </w:r>
          </w:p>
        </w:tc>
        <w:tc>
          <w:tcPr>
            <w:tcW w:w="658" w:type="dxa"/>
          </w:tcPr>
          <w:p w14:paraId="5E7E2170" w14:textId="77777777" w:rsidR="00AB3BC0" w:rsidRDefault="00000000">
            <w:pPr>
              <w:tabs>
                <w:tab w:val="left" w:pos="5400"/>
              </w:tabs>
              <w:rPr>
                <w:rFonts w:eastAsia="宋体"/>
                <w:sz w:val="20"/>
                <w:lang w:val="en-US" w:eastAsia="zh-CN"/>
              </w:rPr>
            </w:pPr>
            <w:r>
              <w:rPr>
                <w:rFonts w:eastAsia="宋体" w:hint="eastAsia"/>
                <w:sz w:val="20"/>
                <w:lang w:val="en-US" w:eastAsia="zh-CN"/>
              </w:rPr>
              <w:t>2</w:t>
            </w:r>
          </w:p>
        </w:tc>
        <w:tc>
          <w:tcPr>
            <w:tcW w:w="7834" w:type="dxa"/>
          </w:tcPr>
          <w:p w14:paraId="27D5AD04" w14:textId="77777777" w:rsidR="00AB3BC0" w:rsidRPr="00C51B6A" w:rsidRDefault="00000000" w:rsidP="00C51B6A">
            <w:pPr>
              <w:spacing w:line="276" w:lineRule="auto"/>
              <w:rPr>
                <w:sz w:val="20"/>
              </w:rPr>
            </w:pPr>
            <w:r w:rsidRPr="00C51B6A">
              <w:rPr>
                <w:sz w:val="20"/>
              </w:rPr>
              <w:t>Financial support and sponsorship</w:t>
            </w:r>
          </w:p>
          <w:p w14:paraId="0590ED31" w14:textId="28AC4083" w:rsidR="00AB3BC0" w:rsidRPr="00C51B6A" w:rsidRDefault="00000000" w:rsidP="00C51B6A">
            <w:pPr>
              <w:spacing w:after="240" w:line="276" w:lineRule="auto"/>
              <w:rPr>
                <w:rFonts w:eastAsiaTheme="minorEastAsia" w:hint="eastAsia"/>
                <w:sz w:val="20"/>
                <w:lang w:eastAsia="zh-CN"/>
              </w:rPr>
            </w:pPr>
            <w:r w:rsidRPr="00C51B6A">
              <w:rPr>
                <w:sz w:val="20"/>
              </w:rPr>
              <w:t>This work was supported by the University of Hong Kong Seed Fund for New Staff Basic Research (No. 103034014) and University of Hong Kong Daniel and Mayce Yu Medical Development Fund for Research Start-Up (No. 200010837), and General Program Sponsored by Shenzhen Natural Science Foundation Basic Research General Program Fund (JCYJ20250604180810014).</w:t>
            </w:r>
          </w:p>
        </w:tc>
      </w:tr>
      <w:bookmarkEnd w:id="96"/>
      <w:bookmarkEnd w:id="97"/>
    </w:tbl>
    <w:p w14:paraId="1E624B56" w14:textId="77777777" w:rsidR="00AB3BC0" w:rsidRDefault="00AB3BC0">
      <w:pPr>
        <w:pStyle w:val="TableNote"/>
        <w:tabs>
          <w:tab w:val="left" w:pos="5400"/>
        </w:tabs>
        <w:rPr>
          <w:bCs/>
          <w:sz w:val="20"/>
        </w:rPr>
      </w:pPr>
    </w:p>
    <w:p w14:paraId="3BF0D425" w14:textId="77777777" w:rsidR="00AB3BC0" w:rsidRDefault="00000000">
      <w:pPr>
        <w:pStyle w:val="TableNote"/>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14:paraId="2107683C" w14:textId="77777777" w:rsidR="00AB3BC0" w:rsidRDefault="00AB3BC0">
      <w:pPr>
        <w:pStyle w:val="TableNote"/>
        <w:tabs>
          <w:tab w:val="left" w:pos="5400"/>
        </w:tabs>
        <w:rPr>
          <w:sz w:val="20"/>
        </w:rPr>
      </w:pPr>
    </w:p>
    <w:p w14:paraId="343682A4" w14:textId="77777777" w:rsidR="00AB3BC0" w:rsidRDefault="00000000">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AB3BC0">
      <w:footerReference w:type="even" r:id="rId9"/>
      <w:footerReference w:type="default" r:id="rId10"/>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5E791" w14:textId="77777777" w:rsidR="008E3C5F" w:rsidRDefault="008E3C5F">
      <w:pPr>
        <w:spacing w:line="240" w:lineRule="auto"/>
      </w:pPr>
      <w:r>
        <w:separator/>
      </w:r>
    </w:p>
  </w:endnote>
  <w:endnote w:type="continuationSeparator" w:id="0">
    <w:p w14:paraId="1BEAC3ED" w14:textId="77777777" w:rsidR="008E3C5F" w:rsidRDefault="008E3C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761D" w14:textId="77777777" w:rsidR="00AB3BC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A31ADD" w14:textId="77777777" w:rsidR="00AB3BC0" w:rsidRDefault="00AB3B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530F2" w14:textId="77777777" w:rsidR="00AB3BC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690369EF" w14:textId="77777777" w:rsidR="00AB3BC0" w:rsidRDefault="00AB3B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4F01E" w14:textId="77777777" w:rsidR="008E3C5F" w:rsidRDefault="008E3C5F">
      <w:pPr>
        <w:spacing w:line="240" w:lineRule="auto"/>
      </w:pPr>
      <w:r>
        <w:separator/>
      </w:r>
    </w:p>
  </w:footnote>
  <w:footnote w:type="continuationSeparator" w:id="0">
    <w:p w14:paraId="69663B76" w14:textId="77777777" w:rsidR="008E3C5F" w:rsidRDefault="008E3C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ListNumber5"/>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0" w15:restartNumberingAfterBreak="0">
    <w:nsid w:val="019D1C5B"/>
    <w:multiLevelType w:val="multilevel"/>
    <w:tmpl w:val="019D1C5B"/>
    <w:lvl w:ilvl="0">
      <w:start w:val="1"/>
      <w:numFmt w:val="none"/>
      <w:pStyle w:val="Figure"/>
      <w:lvlText w:val="Fig Name - "/>
      <w:lvlJc w:val="left"/>
      <w:pPr>
        <w:tabs>
          <w:tab w:val="left" w:pos="2160"/>
        </w:tabs>
        <w:ind w:left="720" w:hanging="36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3AC26C30"/>
    <w:multiLevelType w:val="multilevel"/>
    <w:tmpl w:val="3AC26C30"/>
    <w:lvl w:ilvl="0">
      <w:start w:val="1"/>
      <w:numFmt w:val="none"/>
      <w:suff w:val="space"/>
      <w:lvlText w:val="Accepted:"/>
      <w:lvlJc w:val="left"/>
      <w:pPr>
        <w:ind w:left="0" w:firstLine="0"/>
      </w:pPr>
    </w:lvl>
    <w:lvl w:ilvl="1">
      <w:start w:val="1"/>
      <w:numFmt w:val="upperLetter"/>
      <w:pStyle w:val="Heading2"/>
      <w:lvlText w:val="%2."/>
      <w:lvlJc w:val="left"/>
      <w:pPr>
        <w:tabs>
          <w:tab w:val="left" w:pos="1080"/>
        </w:tabs>
        <w:ind w:left="720" w:firstLine="0"/>
      </w:pPr>
    </w:lvl>
    <w:lvl w:ilvl="2">
      <w:start w:val="1"/>
      <w:numFmt w:val="decimal"/>
      <w:pStyle w:val="Heading3"/>
      <w:lvlText w:val="%3."/>
      <w:lvlJc w:val="left"/>
      <w:pPr>
        <w:tabs>
          <w:tab w:val="left" w:pos="1800"/>
        </w:tabs>
        <w:ind w:left="1440" w:firstLine="0"/>
      </w:pPr>
    </w:lvl>
    <w:lvl w:ilvl="3">
      <w:start w:val="1"/>
      <w:numFmt w:val="lowerLetter"/>
      <w:pStyle w:val="Heading4"/>
      <w:lvlText w:val="%4)"/>
      <w:lvlJc w:val="left"/>
      <w:pPr>
        <w:tabs>
          <w:tab w:val="left" w:pos="2520"/>
        </w:tabs>
        <w:ind w:left="2160" w:firstLine="0"/>
      </w:pPr>
    </w:lvl>
    <w:lvl w:ilvl="4">
      <w:start w:val="1"/>
      <w:numFmt w:val="decimal"/>
      <w:pStyle w:val="Heading5"/>
      <w:lvlText w:val="(%5)"/>
      <w:lvlJc w:val="left"/>
      <w:pPr>
        <w:tabs>
          <w:tab w:val="left" w:pos="3240"/>
        </w:tabs>
        <w:ind w:left="2880" w:firstLine="0"/>
      </w:pPr>
    </w:lvl>
    <w:lvl w:ilvl="5">
      <w:start w:val="1"/>
      <w:numFmt w:val="lowerLetter"/>
      <w:pStyle w:val="Heading6"/>
      <w:lvlText w:val="(%6)"/>
      <w:lvlJc w:val="left"/>
      <w:pPr>
        <w:tabs>
          <w:tab w:val="left" w:pos="3960"/>
        </w:tabs>
        <w:ind w:left="3600" w:firstLine="0"/>
      </w:pPr>
    </w:lvl>
    <w:lvl w:ilvl="6">
      <w:start w:val="1"/>
      <w:numFmt w:val="lowerRoman"/>
      <w:pStyle w:val="Heading7"/>
      <w:lvlText w:val="(%7)"/>
      <w:lvlJc w:val="left"/>
      <w:pPr>
        <w:tabs>
          <w:tab w:val="left" w:pos="4680"/>
        </w:tabs>
        <w:ind w:left="4320" w:firstLine="0"/>
      </w:pPr>
    </w:lvl>
    <w:lvl w:ilvl="7">
      <w:start w:val="1"/>
      <w:numFmt w:val="lowerLetter"/>
      <w:pStyle w:val="Heading8"/>
      <w:lvlText w:val="(%8)"/>
      <w:lvlJc w:val="left"/>
      <w:pPr>
        <w:tabs>
          <w:tab w:val="left" w:pos="5400"/>
        </w:tabs>
        <w:ind w:left="5040" w:firstLine="0"/>
      </w:pPr>
    </w:lvl>
    <w:lvl w:ilvl="8">
      <w:start w:val="1"/>
      <w:numFmt w:val="lowerRoman"/>
      <w:pStyle w:val="Heading9"/>
      <w:lvlText w:val="(%9)"/>
      <w:lvlJc w:val="left"/>
      <w:pPr>
        <w:tabs>
          <w:tab w:val="left" w:pos="6120"/>
        </w:tabs>
        <w:ind w:left="5760" w:firstLine="0"/>
      </w:pPr>
    </w:lvl>
  </w:abstractNum>
  <w:abstractNum w:abstractNumId="12" w15:restartNumberingAfterBreak="0">
    <w:nsid w:val="3BE331A9"/>
    <w:multiLevelType w:val="multilevel"/>
    <w:tmpl w:val="3BE331A9"/>
    <w:lvl w:ilvl="0">
      <w:start w:val="1"/>
      <w:numFmt w:val="decimal"/>
      <w:pStyle w:val="WebRef"/>
      <w:lvlText w:val="w%1."/>
      <w:lvlJc w:val="left"/>
      <w:pPr>
        <w:tabs>
          <w:tab w:val="left" w:pos="1800"/>
        </w:tabs>
        <w:ind w:left="1440" w:hanging="360"/>
      </w:pPr>
      <w:rPr>
        <w:rFonts w:hint="default"/>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13" w15:restartNumberingAfterBreak="0">
    <w:nsid w:val="56A360E7"/>
    <w:multiLevelType w:val="multilevel"/>
    <w:tmpl w:val="56A360E7"/>
    <w:lvl w:ilvl="0">
      <w:start w:val="1"/>
      <w:numFmt w:val="decimal"/>
      <w:pStyle w:val="Reference"/>
      <w:lvlText w:val="%1."/>
      <w:lvlJc w:val="right"/>
      <w:pPr>
        <w:tabs>
          <w:tab w:val="left" w:pos="454"/>
        </w:tabs>
        <w:ind w:left="454" w:hanging="170"/>
      </w:pPr>
      <w:rPr>
        <w:rFonts w:hint="default"/>
      </w:rPr>
    </w:lvl>
    <w:lvl w:ilvl="1">
      <w:start w:val="1"/>
      <w:numFmt w:val="lowerLetter"/>
      <w:lvlText w:val="%2."/>
      <w:lvlJc w:val="left"/>
      <w:pPr>
        <w:tabs>
          <w:tab w:val="left" w:pos="1080"/>
        </w:tabs>
        <w:ind w:left="1080" w:hanging="360"/>
      </w:pPr>
      <w:rPr>
        <w:rFonts w:hint="default"/>
      </w:rPr>
    </w:lvl>
    <w:lvl w:ilvl="2">
      <w:start w:val="1"/>
      <w:numFmt w:val="lowerRoman"/>
      <w:lvlText w:val="%3."/>
      <w:lvlJc w:val="right"/>
      <w:pPr>
        <w:tabs>
          <w:tab w:val="left" w:pos="1800"/>
        </w:tabs>
        <w:ind w:left="1800" w:hanging="180"/>
      </w:pPr>
      <w:rPr>
        <w:rFonts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rPr>
        <w:rFonts w:hint="default"/>
      </w:rPr>
    </w:lvl>
    <w:lvl w:ilvl="5">
      <w:start w:val="1"/>
      <w:numFmt w:val="lowerRoman"/>
      <w:lvlText w:val="%6."/>
      <w:lvlJc w:val="right"/>
      <w:pPr>
        <w:tabs>
          <w:tab w:val="left" w:pos="3960"/>
        </w:tabs>
        <w:ind w:left="3960" w:hanging="180"/>
      </w:pPr>
      <w:rPr>
        <w:rFonts w:hint="default"/>
      </w:rPr>
    </w:lvl>
    <w:lvl w:ilvl="6">
      <w:start w:val="1"/>
      <w:numFmt w:val="decimal"/>
      <w:lvlText w:val="%7."/>
      <w:lvlJc w:val="left"/>
      <w:pPr>
        <w:tabs>
          <w:tab w:val="left" w:pos="4680"/>
        </w:tabs>
        <w:ind w:left="4680" w:hanging="360"/>
      </w:pPr>
      <w:rPr>
        <w:rFonts w:hint="default"/>
      </w:rPr>
    </w:lvl>
    <w:lvl w:ilvl="7">
      <w:start w:val="1"/>
      <w:numFmt w:val="lowerLetter"/>
      <w:lvlText w:val="%8."/>
      <w:lvlJc w:val="left"/>
      <w:pPr>
        <w:tabs>
          <w:tab w:val="left" w:pos="5400"/>
        </w:tabs>
        <w:ind w:left="5400" w:hanging="360"/>
      </w:pPr>
      <w:rPr>
        <w:rFonts w:hint="default"/>
      </w:rPr>
    </w:lvl>
    <w:lvl w:ilvl="8">
      <w:start w:val="1"/>
      <w:numFmt w:val="lowerRoman"/>
      <w:lvlText w:val="%9."/>
      <w:lvlJc w:val="right"/>
      <w:pPr>
        <w:tabs>
          <w:tab w:val="left" w:pos="6120"/>
        </w:tabs>
        <w:ind w:left="6120" w:hanging="180"/>
      </w:pPr>
      <w:rPr>
        <w:rFonts w:hint="default"/>
      </w:rPr>
    </w:lvl>
  </w:abstractNum>
  <w:abstractNum w:abstractNumId="14" w15:restartNumberingAfterBreak="0">
    <w:nsid w:val="6160701F"/>
    <w:multiLevelType w:val="multilevel"/>
    <w:tmpl w:val="6160701F"/>
    <w:lvl w:ilvl="0">
      <w:start w:val="1"/>
      <w:numFmt w:val="decimal"/>
      <w:pStyle w:val="Table"/>
      <w:lvlText w:val="Table %1 - "/>
      <w:lvlJc w:val="left"/>
      <w:pPr>
        <w:tabs>
          <w:tab w:val="left" w:pos="1440"/>
        </w:tabs>
        <w:ind w:left="0" w:firstLine="0"/>
      </w:pPr>
      <w:rPr>
        <w:rFonts w:hint="default"/>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3507495">
    <w:abstractNumId w:val="11"/>
  </w:num>
  <w:num w:numId="2" w16cid:durableId="173964093">
    <w:abstractNumId w:val="3"/>
  </w:num>
  <w:num w:numId="3" w16cid:durableId="355812157">
    <w:abstractNumId w:val="5"/>
  </w:num>
  <w:num w:numId="4" w16cid:durableId="345906003">
    <w:abstractNumId w:val="8"/>
  </w:num>
  <w:num w:numId="5" w16cid:durableId="1384478350">
    <w:abstractNumId w:val="9"/>
  </w:num>
  <w:num w:numId="6" w16cid:durableId="100616291">
    <w:abstractNumId w:val="6"/>
  </w:num>
  <w:num w:numId="7" w16cid:durableId="1741519741">
    <w:abstractNumId w:val="2"/>
  </w:num>
  <w:num w:numId="8" w16cid:durableId="1186288022">
    <w:abstractNumId w:val="7"/>
  </w:num>
  <w:num w:numId="9" w16cid:durableId="472452778">
    <w:abstractNumId w:val="4"/>
  </w:num>
  <w:num w:numId="10" w16cid:durableId="332874759">
    <w:abstractNumId w:val="1"/>
  </w:num>
  <w:num w:numId="11" w16cid:durableId="265118244">
    <w:abstractNumId w:val="0"/>
  </w:num>
  <w:num w:numId="12" w16cid:durableId="282270070">
    <w:abstractNumId w:val="10"/>
  </w:num>
  <w:num w:numId="13" w16cid:durableId="2114738065">
    <w:abstractNumId w:val="13"/>
  </w:num>
  <w:num w:numId="14" w16cid:durableId="1743484684">
    <w:abstractNumId w:val="14"/>
  </w:num>
  <w:num w:numId="15" w16cid:durableId="428501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3C2E39"/>
    <w:rsid w:val="003C4A2A"/>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9385E"/>
    <w:rsid w:val="007C72F6"/>
    <w:rsid w:val="007F7FA0"/>
    <w:rsid w:val="00816966"/>
    <w:rsid w:val="00817D26"/>
    <w:rsid w:val="00821CD4"/>
    <w:rsid w:val="008423A7"/>
    <w:rsid w:val="008440CC"/>
    <w:rsid w:val="0089107E"/>
    <w:rsid w:val="00891604"/>
    <w:rsid w:val="008D225B"/>
    <w:rsid w:val="008E3C5F"/>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3BC0"/>
    <w:rsid w:val="00AB52D9"/>
    <w:rsid w:val="00AB7BC4"/>
    <w:rsid w:val="00AE23EB"/>
    <w:rsid w:val="00AE2C57"/>
    <w:rsid w:val="00AF4615"/>
    <w:rsid w:val="00B50DF8"/>
    <w:rsid w:val="00B54EA0"/>
    <w:rsid w:val="00B60EFB"/>
    <w:rsid w:val="00B65366"/>
    <w:rsid w:val="00B77807"/>
    <w:rsid w:val="00B940E9"/>
    <w:rsid w:val="00BA1206"/>
    <w:rsid w:val="00BC7FE6"/>
    <w:rsid w:val="00BE3709"/>
    <w:rsid w:val="00C51B6A"/>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00FF246F"/>
    <w:rsid w:val="408D6263"/>
    <w:rsid w:val="68454D8C"/>
    <w:rsid w:val="74376A66"/>
    <w:rsid w:val="7A1C64E4"/>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18DE3"/>
  <w15:docId w15:val="{2C8FEE9C-CD5E-EE4F-8604-6325B530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Normal Indent" w:qFormat="1"/>
    <w:lsdException w:name="footnote text" w:semiHidden="1" w:qFormat="1"/>
    <w:lsdException w:name="annotation text" w:semiHidden="1" w:qFormat="1"/>
    <w:lsdException w:name="header" w:qFormat="1"/>
    <w:lsdException w:name="footer" w:qFormat="1"/>
    <w:lsdException w:name="index heading" w:semiHidden="1" w:qFormat="1"/>
    <w:lsdException w:name="caption" w:qFormat="1"/>
    <w:lsdException w:name="envelope address" w:qFormat="1"/>
    <w:lsdException w:name="envelope return" w:qFormat="1"/>
    <w:lsdException w:name="footnote reference" w:semiHidden="1" w:qFormat="1"/>
    <w:lsdException w:name="annotation reference" w:semiHidden="1" w:qFormat="1"/>
    <w:lsdException w:name="line number" w:qFormat="1"/>
    <w:lsdException w:name="page number" w:qFormat="1"/>
    <w:lsdException w:name="endnote reference" w:semiHidden="1" w:qFormat="1"/>
    <w:lsdException w:name="endnote text" w:semiHidden="1" w:qFormat="1"/>
    <w:lsdException w:name="macro" w:semiHidden="1"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00" w:lineRule="exact"/>
    </w:pPr>
    <w:rPr>
      <w:rFonts w:eastAsia="Times New Roman"/>
      <w:sz w:val="24"/>
      <w:lang w:val="en-GB" w:eastAsia="en-US"/>
    </w:rPr>
  </w:style>
  <w:style w:type="paragraph" w:styleId="Heading1">
    <w:name w:val="heading 1"/>
    <w:basedOn w:val="Normal"/>
    <w:next w:val="Normal"/>
    <w:qFormat/>
    <w:pPr>
      <w:keepNext/>
      <w:spacing w:before="240" w:after="60"/>
      <w:outlineLvl w:val="0"/>
    </w:pPr>
    <w:rPr>
      <w:rFonts w:ascii="Arial" w:hAnsi="Arial"/>
      <w:b/>
      <w:bCs/>
      <w:kern w:val="32"/>
      <w:sz w:val="32"/>
      <w:szCs w:val="32"/>
    </w:rPr>
  </w:style>
  <w:style w:type="paragraph" w:styleId="Heading2">
    <w:name w:val="heading 2"/>
    <w:basedOn w:val="Normal"/>
    <w:next w:val="Normal"/>
    <w:qFormat/>
    <w:pPr>
      <w:keepNext/>
      <w:numPr>
        <w:ilvl w:val="1"/>
        <w:numId w:val="1"/>
      </w:numPr>
      <w:spacing w:before="240" w:after="60" w:line="240" w:lineRule="auto"/>
      <w:outlineLvl w:val="1"/>
    </w:pPr>
    <w:rPr>
      <w:rFonts w:ascii="Arial" w:hAnsi="Arial"/>
      <w:b/>
      <w:i/>
    </w:rPr>
  </w:style>
  <w:style w:type="paragraph" w:styleId="Heading3">
    <w:name w:val="heading 3"/>
    <w:basedOn w:val="Normal"/>
    <w:next w:val="Normal"/>
    <w:qFormat/>
    <w:pPr>
      <w:keepNext/>
      <w:numPr>
        <w:ilvl w:val="2"/>
        <w:numId w:val="1"/>
      </w:numPr>
      <w:spacing w:before="240" w:after="60" w:line="240" w:lineRule="auto"/>
      <w:outlineLvl w:val="2"/>
    </w:pPr>
    <w:rPr>
      <w:rFonts w:ascii="Arial" w:hAnsi="Arial"/>
    </w:rPr>
  </w:style>
  <w:style w:type="paragraph" w:styleId="Heading4">
    <w:name w:val="heading 4"/>
    <w:basedOn w:val="Normal"/>
    <w:next w:val="Normal"/>
    <w:qFormat/>
    <w:pPr>
      <w:keepNext/>
      <w:numPr>
        <w:ilvl w:val="3"/>
        <w:numId w:val="1"/>
      </w:numPr>
      <w:spacing w:before="240" w:after="60" w:line="240" w:lineRule="auto"/>
      <w:outlineLvl w:val="3"/>
    </w:pPr>
    <w:rPr>
      <w:rFonts w:ascii="Arial" w:hAnsi="Arial"/>
      <w:b/>
    </w:rPr>
  </w:style>
  <w:style w:type="paragraph" w:styleId="Heading5">
    <w:name w:val="heading 5"/>
    <w:basedOn w:val="Normal"/>
    <w:next w:val="Normal"/>
    <w:qFormat/>
    <w:pPr>
      <w:numPr>
        <w:ilvl w:val="4"/>
        <w:numId w:val="1"/>
      </w:numPr>
      <w:spacing w:before="240" w:after="60" w:line="240" w:lineRule="auto"/>
      <w:outlineLvl w:val="4"/>
    </w:pPr>
    <w:rPr>
      <w:sz w:val="22"/>
    </w:rPr>
  </w:style>
  <w:style w:type="paragraph" w:styleId="Heading6">
    <w:name w:val="heading 6"/>
    <w:basedOn w:val="Normal"/>
    <w:next w:val="Normal"/>
    <w:qFormat/>
    <w:pPr>
      <w:numPr>
        <w:ilvl w:val="5"/>
        <w:numId w:val="1"/>
      </w:numPr>
      <w:spacing w:before="240" w:after="60" w:line="240" w:lineRule="auto"/>
      <w:outlineLvl w:val="5"/>
    </w:pPr>
    <w:rPr>
      <w:i/>
      <w:sz w:val="22"/>
    </w:rPr>
  </w:style>
  <w:style w:type="paragraph" w:styleId="Heading7">
    <w:name w:val="heading 7"/>
    <w:basedOn w:val="Normal"/>
    <w:next w:val="Normal"/>
    <w:qFormat/>
    <w:pPr>
      <w:numPr>
        <w:ilvl w:val="6"/>
        <w:numId w:val="1"/>
      </w:numPr>
      <w:spacing w:before="240" w:after="60" w:line="240" w:lineRule="auto"/>
      <w:outlineLvl w:val="6"/>
    </w:pPr>
    <w:rPr>
      <w:rFonts w:ascii="Arial" w:hAnsi="Arial"/>
      <w:sz w:val="20"/>
    </w:rPr>
  </w:style>
  <w:style w:type="paragraph" w:styleId="Heading8">
    <w:name w:val="heading 8"/>
    <w:basedOn w:val="Normal"/>
    <w:next w:val="Normal"/>
    <w:qFormat/>
    <w:pPr>
      <w:numPr>
        <w:ilvl w:val="7"/>
        <w:numId w:val="1"/>
      </w:numPr>
      <w:spacing w:before="240" w:after="60" w:line="240" w:lineRule="auto"/>
      <w:outlineLvl w:val="7"/>
    </w:pPr>
    <w:rPr>
      <w:rFonts w:ascii="Arial" w:hAnsi="Arial"/>
      <w:i/>
      <w:sz w:val="20"/>
    </w:rPr>
  </w:style>
  <w:style w:type="paragraph" w:styleId="Heading9">
    <w:name w:val="heading 9"/>
    <w:basedOn w:val="Normal"/>
    <w:next w:val="Normal"/>
    <w:qFormat/>
    <w:pPr>
      <w:numPr>
        <w:ilvl w:val="8"/>
        <w:numId w:val="1"/>
      </w:numPr>
      <w:spacing w:before="240" w:after="60" w:line="240" w:lineRule="auto"/>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paragraph" w:styleId="List3">
    <w:name w:val="List 3"/>
    <w:basedOn w:val="Normal"/>
    <w:qFormat/>
    <w:pPr>
      <w:ind w:left="849" w:hanging="283"/>
    </w:pPr>
  </w:style>
  <w:style w:type="paragraph" w:styleId="ListNumber2">
    <w:name w:val="List Number 2"/>
    <w:basedOn w:val="Normal"/>
    <w:qFormat/>
    <w:pPr>
      <w:numPr>
        <w:numId w:val="2"/>
      </w:numPr>
    </w:pPr>
  </w:style>
  <w:style w:type="paragraph" w:styleId="NoteHeading">
    <w:name w:val="Note Heading"/>
    <w:basedOn w:val="Normal"/>
    <w:next w:val="Normal"/>
    <w:qFormat/>
  </w:style>
  <w:style w:type="paragraph" w:styleId="ListBullet4">
    <w:name w:val="List Bullet 4"/>
    <w:basedOn w:val="Normal"/>
    <w:autoRedefine/>
    <w:qFormat/>
    <w:pPr>
      <w:numPr>
        <w:numId w:val="3"/>
      </w:numPr>
    </w:pPr>
  </w:style>
  <w:style w:type="paragraph" w:styleId="Index8">
    <w:name w:val="index 8"/>
    <w:basedOn w:val="Normal"/>
    <w:next w:val="Normal"/>
    <w:autoRedefine/>
    <w:semiHidden/>
    <w:qFormat/>
    <w:pPr>
      <w:ind w:left="1920" w:hanging="240"/>
    </w:pPr>
  </w:style>
  <w:style w:type="paragraph" w:styleId="EmailSignature">
    <w:name w:val="E-mail Signature"/>
    <w:basedOn w:val="Normal"/>
    <w:qFormat/>
  </w:style>
  <w:style w:type="paragraph" w:styleId="ListNumber">
    <w:name w:val="List Number"/>
    <w:basedOn w:val="Normal"/>
    <w:qFormat/>
    <w:pPr>
      <w:numPr>
        <w:numId w:val="4"/>
      </w:numPr>
    </w:pPr>
  </w:style>
  <w:style w:type="paragraph" w:styleId="NormalIndent">
    <w:name w:val="Normal Indent"/>
    <w:basedOn w:val="Normal"/>
    <w:qFormat/>
    <w:pPr>
      <w:ind w:left="720"/>
    </w:pPr>
  </w:style>
  <w:style w:type="paragraph" w:styleId="Caption">
    <w:name w:val="caption"/>
    <w:basedOn w:val="Normal"/>
    <w:next w:val="Normal"/>
    <w:qFormat/>
    <w:pPr>
      <w:spacing w:before="120" w:after="120" w:line="240" w:lineRule="auto"/>
    </w:pPr>
    <w:rPr>
      <w:b/>
      <w:sz w:val="20"/>
    </w:rPr>
  </w:style>
  <w:style w:type="paragraph" w:styleId="Index5">
    <w:name w:val="index 5"/>
    <w:basedOn w:val="Normal"/>
    <w:next w:val="Normal"/>
    <w:autoRedefine/>
    <w:semiHidden/>
    <w:qFormat/>
    <w:pPr>
      <w:ind w:left="1200" w:hanging="240"/>
    </w:pPr>
  </w:style>
  <w:style w:type="paragraph" w:styleId="ListBullet">
    <w:name w:val="List Bullet"/>
    <w:basedOn w:val="Normal"/>
    <w:autoRedefine/>
    <w:qFormat/>
    <w:pPr>
      <w:numPr>
        <w:numId w:val="5"/>
      </w:numPr>
      <w:spacing w:line="240" w:lineRule="auto"/>
    </w:pPr>
  </w:style>
  <w:style w:type="paragraph" w:styleId="EnvelopeAddress">
    <w:name w:val="envelope address"/>
    <w:basedOn w:val="Normal"/>
    <w:qFormat/>
    <w:pPr>
      <w:framePr w:w="7920" w:h="1980" w:hRule="exact" w:hSpace="180" w:wrap="auto" w:hAnchor="page" w:xAlign="center" w:yAlign="bottom"/>
      <w:ind w:left="2880"/>
    </w:pPr>
    <w:rPr>
      <w:rFonts w:ascii="Arial" w:hAnsi="Arial"/>
      <w:szCs w:val="24"/>
    </w:rPr>
  </w:style>
  <w:style w:type="paragraph" w:styleId="DocumentMap">
    <w:name w:val="Document Map"/>
    <w:basedOn w:val="Normal"/>
    <w:semiHidden/>
    <w:qFormat/>
    <w:pPr>
      <w:shd w:val="clear" w:color="auto" w:fill="000080"/>
    </w:pPr>
    <w:rPr>
      <w:rFonts w:ascii="Tahoma" w:hAnsi="Tahoma" w:cs="Tahoma"/>
    </w:rPr>
  </w:style>
  <w:style w:type="paragraph" w:styleId="CommentText">
    <w:name w:val="annotation text"/>
    <w:basedOn w:val="Normal"/>
    <w:semiHidden/>
    <w:qFormat/>
    <w:pPr>
      <w:spacing w:line="240" w:lineRule="auto"/>
    </w:pPr>
    <w:rPr>
      <w:sz w:val="20"/>
    </w:rPr>
  </w:style>
  <w:style w:type="paragraph" w:styleId="Index6">
    <w:name w:val="index 6"/>
    <w:basedOn w:val="Normal"/>
    <w:next w:val="Normal"/>
    <w:autoRedefine/>
    <w:semiHidden/>
    <w:qFormat/>
    <w:pPr>
      <w:ind w:left="1440" w:hanging="240"/>
    </w:pPr>
  </w:style>
  <w:style w:type="paragraph" w:styleId="Salutation">
    <w:name w:val="Salutation"/>
    <w:basedOn w:val="Normal"/>
    <w:next w:val="Normal"/>
    <w:qFormat/>
  </w:style>
  <w:style w:type="paragraph" w:styleId="BodyText3">
    <w:name w:val="Body Text 3"/>
    <w:basedOn w:val="Normal"/>
    <w:qFormat/>
    <w:pPr>
      <w:spacing w:after="120"/>
    </w:pPr>
    <w:rPr>
      <w:sz w:val="16"/>
      <w:szCs w:val="16"/>
    </w:rPr>
  </w:style>
  <w:style w:type="paragraph" w:styleId="Closing">
    <w:name w:val="Closing"/>
    <w:basedOn w:val="Normal"/>
    <w:qFormat/>
    <w:pPr>
      <w:ind w:left="4252"/>
    </w:pPr>
  </w:style>
  <w:style w:type="paragraph" w:styleId="ListBullet3">
    <w:name w:val="List Bullet 3"/>
    <w:basedOn w:val="Normal"/>
    <w:autoRedefine/>
    <w:qFormat/>
    <w:pPr>
      <w:numPr>
        <w:numId w:val="6"/>
      </w:numPr>
    </w:pPr>
  </w:style>
  <w:style w:type="paragraph" w:styleId="BodyText">
    <w:name w:val="Body Text"/>
    <w:basedOn w:val="Normal"/>
    <w:qFormat/>
    <w:pPr>
      <w:spacing w:after="120"/>
    </w:pPr>
  </w:style>
  <w:style w:type="paragraph" w:styleId="BodyTextIndent">
    <w:name w:val="Body Text Indent"/>
    <w:basedOn w:val="Normal"/>
    <w:qFormat/>
    <w:pPr>
      <w:spacing w:after="120"/>
      <w:ind w:left="283"/>
    </w:pPr>
  </w:style>
  <w:style w:type="paragraph" w:styleId="ListNumber3">
    <w:name w:val="List Number 3"/>
    <w:basedOn w:val="Normal"/>
    <w:qFormat/>
    <w:pPr>
      <w:numPr>
        <w:numId w:val="7"/>
      </w:numPr>
    </w:pPr>
  </w:style>
  <w:style w:type="paragraph" w:styleId="List2">
    <w:name w:val="List 2"/>
    <w:basedOn w:val="Normal"/>
    <w:qFormat/>
    <w:pPr>
      <w:ind w:left="566" w:hanging="283"/>
    </w:pPr>
  </w:style>
  <w:style w:type="paragraph" w:styleId="ListContinue">
    <w:name w:val="List Continue"/>
    <w:basedOn w:val="Normal"/>
    <w:qFormat/>
    <w:pPr>
      <w:spacing w:after="120"/>
      <w:ind w:left="283"/>
    </w:pPr>
  </w:style>
  <w:style w:type="paragraph" w:styleId="BlockText">
    <w:name w:val="Block Text"/>
    <w:basedOn w:val="Normal"/>
    <w:qFormat/>
    <w:pPr>
      <w:spacing w:after="120"/>
      <w:ind w:left="1440" w:right="1440"/>
    </w:pPr>
  </w:style>
  <w:style w:type="paragraph" w:styleId="ListBullet2">
    <w:name w:val="List Bullet 2"/>
    <w:basedOn w:val="Normal"/>
    <w:autoRedefine/>
    <w:qFormat/>
    <w:pPr>
      <w:numPr>
        <w:numId w:val="8"/>
      </w:numPr>
    </w:pPr>
  </w:style>
  <w:style w:type="paragraph" w:styleId="HTMLAddress">
    <w:name w:val="HTML Address"/>
    <w:basedOn w:val="Normal"/>
    <w:qFormat/>
    <w:rPr>
      <w:i/>
      <w:iCs/>
    </w:rPr>
  </w:style>
  <w:style w:type="paragraph" w:styleId="Index4">
    <w:name w:val="index 4"/>
    <w:basedOn w:val="Normal"/>
    <w:next w:val="Normal"/>
    <w:autoRedefine/>
    <w:semiHidden/>
    <w:qFormat/>
    <w:pPr>
      <w:ind w:left="960" w:hanging="240"/>
    </w:pPr>
  </w:style>
  <w:style w:type="paragraph" w:styleId="PlainText">
    <w:name w:val="Plain Text"/>
    <w:basedOn w:val="Normal"/>
    <w:qFormat/>
    <w:rPr>
      <w:rFonts w:ascii="Courier New" w:hAnsi="Courier New"/>
      <w:sz w:val="20"/>
    </w:rPr>
  </w:style>
  <w:style w:type="paragraph" w:styleId="ListBullet5">
    <w:name w:val="List Bullet 5"/>
    <w:basedOn w:val="Normal"/>
    <w:autoRedefine/>
    <w:qFormat/>
    <w:pPr>
      <w:numPr>
        <w:numId w:val="9"/>
      </w:numPr>
    </w:pPr>
  </w:style>
  <w:style w:type="paragraph" w:styleId="ListNumber4">
    <w:name w:val="List Number 4"/>
    <w:basedOn w:val="Normal"/>
    <w:qFormat/>
    <w:pPr>
      <w:numPr>
        <w:numId w:val="10"/>
      </w:numPr>
    </w:pPr>
  </w:style>
  <w:style w:type="paragraph" w:styleId="Index3">
    <w:name w:val="index 3"/>
    <w:basedOn w:val="Normal"/>
    <w:next w:val="Normal"/>
    <w:autoRedefine/>
    <w:semiHidden/>
    <w:qFormat/>
    <w:pPr>
      <w:ind w:left="720" w:hanging="240"/>
    </w:pPr>
  </w:style>
  <w:style w:type="paragraph" w:styleId="Date">
    <w:name w:val="Date"/>
    <w:basedOn w:val="Normal"/>
    <w:next w:val="Normal"/>
    <w:qFormat/>
    <w:pPr>
      <w:spacing w:line="240" w:lineRule="auto"/>
    </w:pPr>
  </w:style>
  <w:style w:type="paragraph" w:styleId="BodyTextIndent2">
    <w:name w:val="Body Text Indent 2"/>
    <w:basedOn w:val="Normal"/>
    <w:qFormat/>
    <w:pPr>
      <w:spacing w:after="120" w:line="480" w:lineRule="auto"/>
      <w:ind w:left="283"/>
    </w:pPr>
  </w:style>
  <w:style w:type="paragraph" w:styleId="EndnoteText">
    <w:name w:val="endnote text"/>
    <w:basedOn w:val="Normal"/>
    <w:semiHidden/>
    <w:qFormat/>
    <w:pPr>
      <w:spacing w:line="240" w:lineRule="auto"/>
    </w:pPr>
    <w:rPr>
      <w:sz w:val="20"/>
    </w:rPr>
  </w:style>
  <w:style w:type="paragraph" w:styleId="ListContinue5">
    <w:name w:val="List Continue 5"/>
    <w:basedOn w:val="Normal"/>
    <w:qFormat/>
    <w:pPr>
      <w:spacing w:after="120"/>
      <w:ind w:left="1415"/>
    </w:pPr>
  </w:style>
  <w:style w:type="paragraph" w:styleId="BalloonText">
    <w:name w:val="Balloon Text"/>
    <w:basedOn w:val="Normal"/>
    <w:semiHidden/>
    <w:qFormat/>
    <w:rPr>
      <w:rFonts w:ascii="Tahoma" w:hAnsi="Tahoma" w:cs="Tahoma"/>
      <w:sz w:val="16"/>
      <w:szCs w:val="16"/>
    </w:rPr>
  </w:style>
  <w:style w:type="paragraph" w:styleId="Footer">
    <w:name w:val="footer"/>
    <w:basedOn w:val="Normal"/>
    <w:qFormat/>
    <w:pPr>
      <w:tabs>
        <w:tab w:val="center" w:pos="4153"/>
        <w:tab w:val="right" w:pos="8306"/>
      </w:tabs>
      <w:spacing w:line="240" w:lineRule="auto"/>
    </w:pPr>
    <w:rPr>
      <w:rFonts w:ascii="Arial" w:hAnsi="Arial"/>
      <w:sz w:val="20"/>
    </w:rPr>
  </w:style>
  <w:style w:type="paragraph" w:styleId="EnvelopeReturn">
    <w:name w:val="envelope return"/>
    <w:basedOn w:val="Normal"/>
    <w:qFormat/>
    <w:rPr>
      <w:rFonts w:ascii="Arial" w:hAnsi="Arial"/>
      <w:sz w:val="20"/>
    </w:rPr>
  </w:style>
  <w:style w:type="paragraph" w:styleId="Header">
    <w:name w:val="header"/>
    <w:basedOn w:val="Normal"/>
    <w:qFormat/>
    <w:pPr>
      <w:tabs>
        <w:tab w:val="center" w:pos="4153"/>
        <w:tab w:val="right" w:pos="8306"/>
      </w:tabs>
      <w:spacing w:line="240" w:lineRule="auto"/>
    </w:pPr>
    <w:rPr>
      <w:sz w:val="18"/>
    </w:rPr>
  </w:style>
  <w:style w:type="paragraph" w:styleId="ListContinue4">
    <w:name w:val="List Continue 4"/>
    <w:basedOn w:val="Normal"/>
    <w:qFormat/>
    <w:pPr>
      <w:spacing w:after="120"/>
      <w:ind w:left="1132"/>
    </w:pPr>
  </w:style>
  <w:style w:type="paragraph" w:styleId="IndexHeading">
    <w:name w:val="index heading"/>
    <w:basedOn w:val="Normal"/>
    <w:next w:val="Index1"/>
    <w:semiHidden/>
    <w:qFormat/>
    <w:rPr>
      <w:rFonts w:ascii="Arial" w:hAnsi="Arial"/>
      <w:b/>
      <w:bCs/>
    </w:rPr>
  </w:style>
  <w:style w:type="paragraph" w:styleId="Index1">
    <w:name w:val="index 1"/>
    <w:basedOn w:val="Normal"/>
    <w:next w:val="Normal"/>
    <w:autoRedefine/>
    <w:semiHidden/>
    <w:qFormat/>
    <w:pPr>
      <w:ind w:left="240" w:hanging="240"/>
    </w:pPr>
  </w:style>
  <w:style w:type="paragraph" w:styleId="Subtitle">
    <w:name w:val="Subtitle"/>
    <w:basedOn w:val="Normal"/>
    <w:qFormat/>
    <w:pPr>
      <w:spacing w:after="60"/>
      <w:outlineLvl w:val="1"/>
    </w:pPr>
    <w:rPr>
      <w:i/>
    </w:rPr>
  </w:style>
  <w:style w:type="paragraph" w:styleId="ListNumber5">
    <w:name w:val="List Number 5"/>
    <w:basedOn w:val="Normal"/>
    <w:qFormat/>
    <w:pPr>
      <w:numPr>
        <w:numId w:val="11"/>
      </w:numPr>
    </w:pPr>
  </w:style>
  <w:style w:type="paragraph" w:styleId="List">
    <w:name w:val="List"/>
    <w:basedOn w:val="Normal"/>
    <w:qFormat/>
    <w:pPr>
      <w:ind w:left="283" w:hanging="283"/>
    </w:pPr>
  </w:style>
  <w:style w:type="paragraph" w:styleId="FootnoteText">
    <w:name w:val="footnote text"/>
    <w:basedOn w:val="Normal"/>
    <w:semiHidden/>
    <w:qFormat/>
    <w:pPr>
      <w:spacing w:line="240" w:lineRule="auto"/>
    </w:pPr>
    <w:rPr>
      <w:sz w:val="20"/>
    </w:rPr>
  </w:style>
  <w:style w:type="paragraph" w:styleId="List5">
    <w:name w:val="List 5"/>
    <w:basedOn w:val="Normal"/>
    <w:qFormat/>
    <w:pPr>
      <w:ind w:left="1415" w:hanging="283"/>
    </w:pPr>
  </w:style>
  <w:style w:type="paragraph" w:styleId="BodyTextIndent3">
    <w:name w:val="Body Text Indent 3"/>
    <w:basedOn w:val="Normal"/>
    <w:qFormat/>
    <w:pPr>
      <w:spacing w:after="120"/>
      <w:ind w:left="283"/>
    </w:pPr>
    <w:rPr>
      <w:sz w:val="16"/>
      <w:szCs w:val="16"/>
    </w:rPr>
  </w:style>
  <w:style w:type="paragraph" w:styleId="Index7">
    <w:name w:val="index 7"/>
    <w:basedOn w:val="Normal"/>
    <w:next w:val="Normal"/>
    <w:autoRedefine/>
    <w:semiHidden/>
    <w:qFormat/>
    <w:pPr>
      <w:ind w:left="1680" w:hanging="240"/>
    </w:pPr>
  </w:style>
  <w:style w:type="paragraph" w:styleId="Index9">
    <w:name w:val="index 9"/>
    <w:basedOn w:val="Normal"/>
    <w:next w:val="Normal"/>
    <w:autoRedefine/>
    <w:semiHidden/>
    <w:qFormat/>
    <w:pPr>
      <w:ind w:left="2160" w:hanging="240"/>
    </w:pPr>
  </w:style>
  <w:style w:type="paragraph" w:styleId="BodyText2">
    <w:name w:val="Body Text 2"/>
    <w:basedOn w:val="Normal"/>
    <w:qFormat/>
    <w:pPr>
      <w:spacing w:after="120" w:line="480" w:lineRule="auto"/>
    </w:pPr>
  </w:style>
  <w:style w:type="paragraph" w:styleId="List4">
    <w:name w:val="List 4"/>
    <w:basedOn w:val="Normal"/>
    <w:qFormat/>
    <w:pPr>
      <w:ind w:left="1132" w:hanging="283"/>
    </w:pPr>
  </w:style>
  <w:style w:type="paragraph" w:styleId="ListContinue2">
    <w:name w:val="List Continue 2"/>
    <w:basedOn w:val="Normal"/>
    <w:qFormat/>
    <w:pPr>
      <w:spacing w:after="120"/>
      <w:ind w:left="566"/>
    </w:p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HTMLPreformatted">
    <w:name w:val="HTML Preformatted"/>
    <w:basedOn w:val="Normal"/>
    <w:qFormat/>
    <w:rPr>
      <w:rFonts w:ascii="Courier New" w:hAnsi="Courier New"/>
      <w:sz w:val="20"/>
    </w:rPr>
  </w:style>
  <w:style w:type="paragraph" w:styleId="NormalWeb">
    <w:name w:val="Normal (Web)"/>
    <w:basedOn w:val="Normal"/>
    <w:qFormat/>
    <w:rPr>
      <w:szCs w:val="24"/>
    </w:rPr>
  </w:style>
  <w:style w:type="paragraph" w:styleId="ListContinue3">
    <w:name w:val="List Continue 3"/>
    <w:basedOn w:val="Normal"/>
    <w:qFormat/>
    <w:pPr>
      <w:spacing w:after="120"/>
      <w:ind w:left="849"/>
    </w:pPr>
  </w:style>
  <w:style w:type="paragraph" w:styleId="Index2">
    <w:name w:val="index 2"/>
    <w:basedOn w:val="Normal"/>
    <w:next w:val="Normal"/>
    <w:autoRedefine/>
    <w:semiHidden/>
    <w:qFormat/>
    <w:pPr>
      <w:ind w:left="480" w:hanging="240"/>
    </w:pPr>
  </w:style>
  <w:style w:type="paragraph" w:styleId="Title">
    <w:name w:val="Title"/>
    <w:basedOn w:val="Normal"/>
    <w:qFormat/>
    <w:pPr>
      <w:spacing w:before="60" w:after="60"/>
      <w:outlineLvl w:val="0"/>
    </w:pPr>
    <w:rPr>
      <w:b/>
      <w:sz w:val="28"/>
    </w:rPr>
  </w:style>
  <w:style w:type="paragraph" w:styleId="CommentSubject">
    <w:name w:val="annotation subject"/>
    <w:basedOn w:val="CommentText"/>
    <w:next w:val="CommentText"/>
    <w:semiHidden/>
    <w:qFormat/>
    <w:pPr>
      <w:spacing w:line="300" w:lineRule="exact"/>
    </w:pPr>
    <w:rPr>
      <w:b/>
      <w:bCs/>
    </w:rPr>
  </w:style>
  <w:style w:type="paragraph" w:styleId="BodyTextFirstIndent">
    <w:name w:val="Body Text First Indent"/>
    <w:basedOn w:val="BodyText"/>
    <w:qFormat/>
    <w:pPr>
      <w:ind w:firstLine="210"/>
    </w:pPr>
  </w:style>
  <w:style w:type="paragraph" w:styleId="BodyTextFirstIndent2">
    <w:name w:val="Body Text First Indent 2"/>
    <w:basedOn w:val="BodyTextIndent"/>
    <w:qFormat/>
    <w:pPr>
      <w:ind w:firstLine="210"/>
    </w:pPr>
  </w:style>
  <w:style w:type="character" w:styleId="EndnoteReference">
    <w:name w:val="endnote reference"/>
    <w:basedOn w:val="DefaultParagraphFont"/>
    <w:semiHidden/>
    <w:qFormat/>
    <w:rPr>
      <w:vertAlign w:val="superscript"/>
    </w:rPr>
  </w:style>
  <w:style w:type="character" w:styleId="PageNumber">
    <w:name w:val="page number"/>
    <w:basedOn w:val="DefaultParagraphFont"/>
    <w:qFormat/>
  </w:style>
  <w:style w:type="character" w:styleId="FollowedHyperlink">
    <w:name w:val="FollowedHyperlink"/>
    <w:basedOn w:val="DefaultParagraphFont"/>
    <w:qFormat/>
    <w:rPr>
      <w:color w:val="800080"/>
      <w:u w:val="single"/>
    </w:rPr>
  </w:style>
  <w:style w:type="character" w:styleId="Emphasis">
    <w:name w:val="Emphasis"/>
    <w:basedOn w:val="DefaultParagraphFont"/>
    <w:qFormat/>
    <w:rPr>
      <w:i/>
      <w:iCs/>
    </w:rPr>
  </w:style>
  <w:style w:type="character" w:styleId="LineNumber">
    <w:name w:val="line number"/>
    <w:basedOn w:val="DefaultParagraphFont"/>
    <w:qFormat/>
  </w:style>
  <w:style w:type="character" w:styleId="HTMLDefinition">
    <w:name w:val="HTML Definition"/>
    <w:basedOn w:val="DefaultParagraphFont"/>
    <w:qFormat/>
    <w:rPr>
      <w:i/>
      <w:iCs/>
    </w:rPr>
  </w:style>
  <w:style w:type="character" w:styleId="HTMLTypewriter">
    <w:name w:val="HTML Typewriter"/>
    <w:basedOn w:val="DefaultParagraphFont"/>
    <w:qFormat/>
    <w:rPr>
      <w:rFonts w:ascii="Courier New" w:hAnsi="Courier New"/>
      <w:sz w:val="20"/>
      <w:szCs w:val="20"/>
    </w:rPr>
  </w:style>
  <w:style w:type="character" w:styleId="HTMLAcronym">
    <w:name w:val="HTML Acronym"/>
    <w:basedOn w:val="DefaultParagraphFont"/>
    <w:qFormat/>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character" w:styleId="HTMLCode">
    <w:name w:val="HTML Code"/>
    <w:basedOn w:val="DefaultParagraphFont"/>
    <w:qFormat/>
    <w:rPr>
      <w:rFonts w:ascii="Courier New" w:hAnsi="Courier New"/>
      <w:sz w:val="20"/>
      <w:szCs w:val="20"/>
    </w:rPr>
  </w:style>
  <w:style w:type="character" w:styleId="CommentReference">
    <w:name w:val="annotation reference"/>
    <w:basedOn w:val="DefaultParagraphFont"/>
    <w:semiHidden/>
    <w:qFormat/>
    <w:rPr>
      <w:sz w:val="16"/>
    </w:rPr>
  </w:style>
  <w:style w:type="character" w:styleId="HTMLCite">
    <w:name w:val="HTML Cite"/>
    <w:basedOn w:val="DefaultParagraphFont"/>
    <w:qFormat/>
    <w:rPr>
      <w:i/>
      <w:iCs/>
    </w:rPr>
  </w:style>
  <w:style w:type="character" w:styleId="FootnoteReference">
    <w:name w:val="footnote reference"/>
    <w:basedOn w:val="DefaultParagraphFont"/>
    <w:semiHidden/>
    <w:qFormat/>
    <w:rPr>
      <w:vertAlign w:val="superscript"/>
    </w:rPr>
  </w:style>
  <w:style w:type="character" w:styleId="HTMLKeyboard">
    <w:name w:val="HTML Keyboard"/>
    <w:basedOn w:val="DefaultParagraphFont"/>
    <w:qFormat/>
    <w:rPr>
      <w:rFonts w:ascii="Courier New" w:hAnsi="Courier New"/>
      <w:sz w:val="20"/>
      <w:szCs w:val="20"/>
    </w:rPr>
  </w:style>
  <w:style w:type="character" w:styleId="HTMLSample">
    <w:name w:val="HTML Sample"/>
    <w:basedOn w:val="DefaultParagraphFont"/>
    <w:qFormat/>
    <w:rPr>
      <w:rFonts w:ascii="Courier New" w:hAnsi="Courier New"/>
    </w:rPr>
  </w:style>
  <w:style w:type="paragraph" w:customStyle="1" w:styleId="AmendmentNote">
    <w:name w:val="AmendmentNote"/>
    <w:basedOn w:val="MoreInfo"/>
    <w:qFormat/>
  </w:style>
  <w:style w:type="paragraph" w:customStyle="1" w:styleId="MoreInfo">
    <w:name w:val="MoreInfo"/>
    <w:basedOn w:val="Normal"/>
    <w:qFormat/>
    <w:pPr>
      <w:spacing w:before="120" w:line="240" w:lineRule="auto"/>
    </w:pPr>
  </w:style>
  <w:style w:type="paragraph" w:customStyle="1" w:styleId="Abbreviations">
    <w:name w:val="Abbreviations"/>
    <w:basedOn w:val="Normal"/>
    <w:qFormat/>
    <w:pPr>
      <w:spacing w:line="240" w:lineRule="auto"/>
    </w:pPr>
  </w:style>
  <w:style w:type="paragraph" w:customStyle="1" w:styleId="AbstractPara">
    <w:name w:val="AbstractPara"/>
    <w:basedOn w:val="Normal"/>
    <w:qFormat/>
    <w:pPr>
      <w:spacing w:line="240" w:lineRule="auto"/>
    </w:pPr>
  </w:style>
  <w:style w:type="paragraph" w:customStyle="1" w:styleId="AbstractTitle">
    <w:name w:val="AbstractTitle"/>
    <w:basedOn w:val="Normal"/>
    <w:next w:val="AbstractPara"/>
    <w:qFormat/>
    <w:pPr>
      <w:spacing w:before="120" w:line="240" w:lineRule="exact"/>
      <w:outlineLvl w:val="1"/>
    </w:pPr>
    <w:rPr>
      <w:b/>
      <w:sz w:val="26"/>
    </w:rPr>
  </w:style>
  <w:style w:type="paragraph" w:customStyle="1" w:styleId="Accepted">
    <w:name w:val="Accepted"/>
    <w:basedOn w:val="Normal"/>
    <w:qFormat/>
    <w:pPr>
      <w:spacing w:before="120" w:line="240" w:lineRule="exact"/>
    </w:pPr>
  </w:style>
  <w:style w:type="paragraph" w:customStyle="1" w:styleId="Acknowledge">
    <w:name w:val="Acknowledge"/>
    <w:basedOn w:val="Normal"/>
    <w:qFormat/>
    <w:pPr>
      <w:spacing w:line="240" w:lineRule="auto"/>
    </w:pPr>
  </w:style>
  <w:style w:type="paragraph" w:customStyle="1" w:styleId="Address">
    <w:name w:val="Address"/>
    <w:basedOn w:val="Normal"/>
    <w:qFormat/>
    <w:pPr>
      <w:spacing w:before="80" w:line="240" w:lineRule="auto"/>
    </w:pPr>
    <w:rPr>
      <w:b/>
    </w:rPr>
  </w:style>
  <w:style w:type="paragraph" w:customStyle="1" w:styleId="Author">
    <w:name w:val="Author"/>
    <w:basedOn w:val="Normal"/>
    <w:next w:val="Normal"/>
    <w:qFormat/>
    <w:pPr>
      <w:spacing w:before="80" w:line="240" w:lineRule="auto"/>
    </w:pPr>
  </w:style>
  <w:style w:type="paragraph" w:customStyle="1" w:styleId="AuthoredBy">
    <w:name w:val="AuthoredBy"/>
    <w:basedOn w:val="Normal"/>
    <w:qFormat/>
    <w:pPr>
      <w:spacing w:line="240" w:lineRule="auto"/>
    </w:pPr>
  </w:style>
  <w:style w:type="paragraph" w:customStyle="1" w:styleId="Banner">
    <w:name w:val="Banner"/>
    <w:basedOn w:val="Normal"/>
    <w:qFormat/>
    <w:pPr>
      <w:spacing w:before="120" w:line="280" w:lineRule="exact"/>
    </w:pPr>
    <w:rPr>
      <w:i/>
      <w:sz w:val="28"/>
    </w:rPr>
  </w:style>
  <w:style w:type="paragraph" w:customStyle="1" w:styleId="BoxEnd">
    <w:name w:val="BoxEnd"/>
    <w:basedOn w:val="Normal"/>
    <w:qFormat/>
    <w:pPr>
      <w:pBdr>
        <w:bottom w:val="single" w:sz="12" w:space="1" w:color="auto"/>
        <w:right w:val="single" w:sz="12" w:space="1" w:color="auto"/>
      </w:pBdr>
      <w:spacing w:after="120" w:line="240" w:lineRule="auto"/>
    </w:pPr>
  </w:style>
  <w:style w:type="paragraph" w:customStyle="1" w:styleId="BoxStart1">
    <w:name w:val="BoxStart1"/>
    <w:basedOn w:val="Normal"/>
    <w:qFormat/>
    <w:pPr>
      <w:pBdr>
        <w:top w:val="single" w:sz="12" w:space="1" w:color="auto"/>
        <w:left w:val="single" w:sz="12" w:space="1" w:color="auto"/>
      </w:pBdr>
      <w:spacing w:line="240" w:lineRule="auto"/>
    </w:pPr>
  </w:style>
  <w:style w:type="paragraph" w:customStyle="1" w:styleId="BoxStart2">
    <w:name w:val="BoxStart2"/>
    <w:basedOn w:val="BoxStart1"/>
    <w:qFormat/>
  </w:style>
  <w:style w:type="paragraph" w:customStyle="1" w:styleId="BoxStart3">
    <w:name w:val="BoxStart3"/>
    <w:basedOn w:val="BoxStart1"/>
    <w:qFormat/>
  </w:style>
  <w:style w:type="paragraph" w:customStyle="1" w:styleId="Conflict">
    <w:name w:val="Conflict"/>
    <w:basedOn w:val="Normal"/>
    <w:qFormat/>
    <w:pPr>
      <w:spacing w:before="120" w:after="120" w:line="240" w:lineRule="auto"/>
    </w:pPr>
  </w:style>
  <w:style w:type="paragraph" w:customStyle="1" w:styleId="Correspdent">
    <w:name w:val="Correspdent"/>
    <w:basedOn w:val="Normal"/>
    <w:qFormat/>
    <w:pPr>
      <w:spacing w:line="240" w:lineRule="auto"/>
    </w:pPr>
  </w:style>
  <w:style w:type="paragraph" w:customStyle="1" w:styleId="Credit">
    <w:name w:val="Credit"/>
    <w:basedOn w:val="Caption"/>
    <w:qFormat/>
    <w:rPr>
      <w:sz w:val="18"/>
    </w:rPr>
  </w:style>
  <w:style w:type="paragraph" w:customStyle="1" w:styleId="Article">
    <w:name w:val="Article"/>
    <w:basedOn w:val="Normal"/>
    <w:qFormat/>
    <w:pPr>
      <w:keepNext/>
      <w:suppressAutoHyphens/>
      <w:spacing w:before="120" w:after="60" w:line="240" w:lineRule="auto"/>
    </w:pPr>
    <w:rPr>
      <w:rFonts w:ascii="Arial" w:hAnsi="Arial"/>
      <w:b/>
      <w:sz w:val="18"/>
    </w:rPr>
  </w:style>
  <w:style w:type="paragraph" w:customStyle="1" w:styleId="Para">
    <w:name w:val="Para"/>
    <w:basedOn w:val="Normal"/>
    <w:qFormat/>
    <w:pPr>
      <w:spacing w:line="360" w:lineRule="auto"/>
      <w:ind w:firstLine="288"/>
    </w:pPr>
  </w:style>
  <w:style w:type="paragraph" w:customStyle="1" w:styleId="EdFtNote">
    <w:name w:val="EdFtNote"/>
    <w:basedOn w:val="Para"/>
    <w:qFormat/>
    <w:pPr>
      <w:spacing w:before="60"/>
      <w:ind w:firstLine="0"/>
    </w:pPr>
  </w:style>
  <w:style w:type="paragraph" w:customStyle="1" w:styleId="IndentQuote">
    <w:name w:val="IndentQuote"/>
    <w:basedOn w:val="Normal"/>
    <w:qFormat/>
    <w:pPr>
      <w:spacing w:before="60" w:line="240" w:lineRule="exact"/>
      <w:ind w:left="288" w:right="288"/>
    </w:pPr>
  </w:style>
  <w:style w:type="paragraph" w:customStyle="1" w:styleId="Epigraph">
    <w:name w:val="Epigraph"/>
    <w:basedOn w:val="IndentQuote"/>
    <w:qFormat/>
  </w:style>
  <w:style w:type="paragraph" w:customStyle="1" w:styleId="Equation">
    <w:name w:val="Equation"/>
    <w:basedOn w:val="Normal"/>
    <w:qFormat/>
    <w:pPr>
      <w:spacing w:line="240" w:lineRule="auto"/>
    </w:pPr>
    <w:rPr>
      <w:b/>
      <w:i/>
    </w:rPr>
  </w:style>
  <w:style w:type="paragraph" w:customStyle="1" w:styleId="FigLeg">
    <w:name w:val="FigLeg"/>
    <w:basedOn w:val="Normal"/>
    <w:qFormat/>
    <w:pPr>
      <w:spacing w:line="240" w:lineRule="auto"/>
    </w:pPr>
  </w:style>
  <w:style w:type="paragraph" w:customStyle="1" w:styleId="Figure">
    <w:name w:val="Figure"/>
    <w:basedOn w:val="Normal"/>
    <w:qFormat/>
    <w:pPr>
      <w:numPr>
        <w:numId w:val="12"/>
      </w:numPr>
      <w:tabs>
        <w:tab w:val="clear" w:pos="2160"/>
        <w:tab w:val="left" w:pos="720"/>
      </w:tabs>
      <w:ind w:left="0" w:firstLine="0"/>
    </w:pPr>
    <w:rPr>
      <w:b/>
    </w:rPr>
  </w:style>
  <w:style w:type="character" w:customStyle="1" w:styleId="FigureRef">
    <w:name w:val="FigureRef"/>
    <w:basedOn w:val="DefaultParagraphFont"/>
    <w:qFormat/>
    <w:rPr>
      <w:color w:val="0000FF"/>
      <w:vertAlign w:val="superscript"/>
    </w:rPr>
  </w:style>
  <w:style w:type="character" w:customStyle="1" w:styleId="FnoteRef">
    <w:name w:val="FnoteRef"/>
    <w:basedOn w:val="DefaultParagraphFont"/>
    <w:qFormat/>
    <w:rPr>
      <w:color w:val="FF0000"/>
      <w:vertAlign w:val="superscript"/>
    </w:rPr>
  </w:style>
  <w:style w:type="paragraph" w:customStyle="1" w:styleId="Footnote">
    <w:name w:val="Footnote"/>
    <w:basedOn w:val="Normal"/>
    <w:qFormat/>
    <w:pPr>
      <w:spacing w:line="240" w:lineRule="auto"/>
    </w:pPr>
  </w:style>
  <w:style w:type="paragraph" w:customStyle="1" w:styleId="Funding">
    <w:name w:val="Funding"/>
    <w:basedOn w:val="Normal"/>
    <w:qFormat/>
    <w:pPr>
      <w:spacing w:after="120" w:line="240" w:lineRule="auto"/>
    </w:pPr>
  </w:style>
  <w:style w:type="paragraph" w:customStyle="1" w:styleId="GroupTitle">
    <w:name w:val="GroupTitle"/>
    <w:basedOn w:val="Title"/>
    <w:next w:val="Title"/>
    <w:qFormat/>
  </w:style>
  <w:style w:type="paragraph" w:customStyle="1" w:styleId="HeadA">
    <w:name w:val="HeadA"/>
    <w:basedOn w:val="Normal"/>
    <w:qFormat/>
    <w:pPr>
      <w:keepNext/>
      <w:suppressAutoHyphens/>
      <w:spacing w:before="120" w:line="280" w:lineRule="exact"/>
      <w:outlineLvl w:val="1"/>
    </w:pPr>
    <w:rPr>
      <w:b/>
    </w:rPr>
  </w:style>
  <w:style w:type="paragraph" w:customStyle="1" w:styleId="HeadB">
    <w:name w:val="HeadB"/>
    <w:basedOn w:val="Normal"/>
    <w:qFormat/>
    <w:pPr>
      <w:keepNext/>
      <w:suppressAutoHyphens/>
      <w:spacing w:before="60" w:line="280" w:lineRule="exact"/>
      <w:outlineLvl w:val="2"/>
    </w:pPr>
    <w:rPr>
      <w:b/>
      <w:sz w:val="20"/>
    </w:rPr>
  </w:style>
  <w:style w:type="paragraph" w:customStyle="1" w:styleId="HeadC">
    <w:name w:val="HeadC"/>
    <w:basedOn w:val="Normal"/>
    <w:qFormat/>
    <w:pPr>
      <w:keepNext/>
      <w:suppressAutoHyphens/>
      <w:spacing w:before="60" w:line="280" w:lineRule="exact"/>
      <w:outlineLvl w:val="3"/>
    </w:pPr>
    <w:rPr>
      <w:i/>
      <w:sz w:val="20"/>
    </w:rPr>
  </w:style>
  <w:style w:type="paragraph" w:customStyle="1" w:styleId="Keywords">
    <w:name w:val="Keywords"/>
    <w:basedOn w:val="Normal"/>
    <w:qFormat/>
    <w:pPr>
      <w:spacing w:line="240" w:lineRule="auto"/>
    </w:pPr>
  </w:style>
  <w:style w:type="paragraph" w:customStyle="1" w:styleId="List1">
    <w:name w:val="List1"/>
    <w:basedOn w:val="Normal"/>
    <w:qFormat/>
    <w:pPr>
      <w:spacing w:before="40" w:after="120" w:line="240" w:lineRule="exact"/>
    </w:pPr>
  </w:style>
  <w:style w:type="paragraph" w:customStyle="1" w:styleId="List20">
    <w:name w:val="List2"/>
    <w:basedOn w:val="Normal"/>
    <w:qFormat/>
    <w:pPr>
      <w:spacing w:before="40" w:line="240" w:lineRule="exact"/>
      <w:ind w:left="720"/>
    </w:pPr>
  </w:style>
  <w:style w:type="paragraph" w:customStyle="1" w:styleId="ListPara">
    <w:name w:val="ListPara"/>
    <w:basedOn w:val="Normal"/>
    <w:qFormat/>
    <w:pPr>
      <w:spacing w:line="240" w:lineRule="auto"/>
      <w:ind w:left="720"/>
    </w:pPr>
  </w:style>
  <w:style w:type="paragraph" w:customStyle="1" w:styleId="Miscellaneous">
    <w:name w:val="Miscellaneous"/>
    <w:basedOn w:val="Normal"/>
    <w:qFormat/>
    <w:pPr>
      <w:spacing w:before="120" w:line="240" w:lineRule="exact"/>
    </w:pPr>
  </w:style>
  <w:style w:type="paragraph" w:customStyle="1" w:styleId="MoreInfoWeb">
    <w:name w:val="MoreInfoWeb"/>
    <w:basedOn w:val="Normal"/>
    <w:qFormat/>
    <w:pPr>
      <w:spacing w:before="120" w:line="240" w:lineRule="exact"/>
    </w:pPr>
  </w:style>
  <w:style w:type="character" w:customStyle="1" w:styleId="Noindex">
    <w:name w:val="Noindex"/>
    <w:qFormat/>
    <w:rPr>
      <w:color w:val="FF6600"/>
    </w:rPr>
  </w:style>
  <w:style w:type="paragraph" w:customStyle="1" w:styleId="ParaCont">
    <w:name w:val="ParaCont"/>
    <w:basedOn w:val="Normal"/>
    <w:qFormat/>
    <w:pPr>
      <w:spacing w:line="360" w:lineRule="auto"/>
    </w:pPr>
  </w:style>
  <w:style w:type="paragraph" w:customStyle="1" w:styleId="HeadE">
    <w:name w:val="HeadE"/>
    <w:basedOn w:val="HeadD"/>
    <w:qFormat/>
    <w:rPr>
      <w:b w:val="0"/>
      <w:i/>
    </w:rPr>
  </w:style>
  <w:style w:type="paragraph" w:customStyle="1" w:styleId="HeadD">
    <w:name w:val="HeadD"/>
    <w:basedOn w:val="HeadB"/>
    <w:next w:val="Normal"/>
    <w:qFormat/>
    <w:pPr>
      <w:outlineLvl w:val="4"/>
    </w:pPr>
    <w:rPr>
      <w:sz w:val="16"/>
    </w:rPr>
  </w:style>
  <w:style w:type="paragraph" w:customStyle="1" w:styleId="Participators">
    <w:name w:val="Participators"/>
    <w:basedOn w:val="Normal"/>
    <w:qFormat/>
    <w:pPr>
      <w:spacing w:before="120" w:after="120"/>
    </w:pPr>
  </w:style>
  <w:style w:type="paragraph" w:customStyle="1" w:styleId="GroupAuthor">
    <w:name w:val="GroupAuthor"/>
    <w:basedOn w:val="Author"/>
    <w:qFormat/>
    <w:rPr>
      <w:b/>
      <w:i/>
    </w:rPr>
  </w:style>
  <w:style w:type="paragraph" w:customStyle="1" w:styleId="Position">
    <w:name w:val="Position"/>
    <w:basedOn w:val="Normal"/>
    <w:next w:val="Normal"/>
    <w:qFormat/>
    <w:pPr>
      <w:spacing w:line="240" w:lineRule="auto"/>
    </w:pPr>
    <w:rPr>
      <w:i/>
    </w:rPr>
  </w:style>
  <w:style w:type="paragraph" w:customStyle="1" w:styleId="ProductAuth">
    <w:name w:val="ProductAuth"/>
    <w:basedOn w:val="Address"/>
    <w:qFormat/>
  </w:style>
  <w:style w:type="paragraph" w:customStyle="1" w:styleId="ProductDetails">
    <w:name w:val="ProductDetails"/>
    <w:basedOn w:val="Para"/>
    <w:qFormat/>
  </w:style>
  <w:style w:type="paragraph" w:customStyle="1" w:styleId="QuoteRef">
    <w:name w:val="QuoteRef"/>
    <w:basedOn w:val="Normal"/>
    <w:qFormat/>
    <w:pPr>
      <w:spacing w:after="60"/>
    </w:pPr>
  </w:style>
  <w:style w:type="paragraph" w:customStyle="1" w:styleId="Rating">
    <w:name w:val="Rating"/>
    <w:basedOn w:val="Para"/>
    <w:qFormat/>
    <w:pPr>
      <w:ind w:firstLine="0"/>
    </w:pPr>
  </w:style>
  <w:style w:type="paragraph" w:customStyle="1" w:styleId="Reference">
    <w:name w:val="Reference"/>
    <w:basedOn w:val="Normal"/>
    <w:qFormat/>
    <w:pPr>
      <w:numPr>
        <w:numId w:val="13"/>
      </w:numPr>
      <w:spacing w:before="40" w:line="360" w:lineRule="auto"/>
      <w:ind w:left="461" w:hanging="173"/>
    </w:pPr>
  </w:style>
  <w:style w:type="paragraph" w:customStyle="1" w:styleId="RelatedTo">
    <w:name w:val="RelatedTo"/>
    <w:basedOn w:val="Normal"/>
    <w:qFormat/>
  </w:style>
  <w:style w:type="paragraph" w:customStyle="1" w:styleId="RelatedToWeb">
    <w:name w:val="RelatedToWeb"/>
    <w:basedOn w:val="Normal"/>
    <w:qFormat/>
  </w:style>
  <w:style w:type="paragraph" w:customStyle="1" w:styleId="Reviewed">
    <w:name w:val="Reviewed"/>
    <w:basedOn w:val="ParaCont"/>
    <w:qFormat/>
  </w:style>
  <w:style w:type="paragraph" w:customStyle="1" w:styleId="ShortAuthor">
    <w:name w:val="ShortAuthor"/>
    <w:basedOn w:val="Normal"/>
    <w:qFormat/>
    <w:rPr>
      <w:i/>
    </w:rPr>
  </w:style>
  <w:style w:type="paragraph" w:customStyle="1" w:styleId="ShortTitle">
    <w:name w:val="ShortTitle"/>
    <w:basedOn w:val="Normal"/>
    <w:qFormat/>
    <w:rPr>
      <w:rFonts w:ascii="Arial" w:hAnsi="Arial"/>
      <w:i/>
      <w:sz w:val="20"/>
    </w:rPr>
  </w:style>
  <w:style w:type="paragraph" w:customStyle="1" w:styleId="SourceRef">
    <w:name w:val="SourceRef"/>
    <w:basedOn w:val="Para"/>
    <w:qFormat/>
    <w:pPr>
      <w:ind w:firstLine="0"/>
    </w:pPr>
  </w:style>
  <w:style w:type="paragraph" w:customStyle="1" w:styleId="Standfirst">
    <w:name w:val="Standfirst"/>
    <w:basedOn w:val="Accepted"/>
    <w:qFormat/>
  </w:style>
  <w:style w:type="paragraph" w:customStyle="1" w:styleId="Subtitle1">
    <w:name w:val="Subtitle1"/>
    <w:basedOn w:val="Subtitle"/>
    <w:qFormat/>
  </w:style>
  <w:style w:type="paragraph" w:customStyle="1" w:styleId="Table">
    <w:name w:val="Table"/>
    <w:basedOn w:val="Normal"/>
    <w:qFormat/>
    <w:pPr>
      <w:numPr>
        <w:numId w:val="14"/>
      </w:numPr>
      <w:tabs>
        <w:tab w:val="clear" w:pos="1440"/>
        <w:tab w:val="left" w:pos="1021"/>
      </w:tabs>
    </w:pPr>
    <w:rPr>
      <w:i/>
    </w:rPr>
  </w:style>
  <w:style w:type="paragraph" w:customStyle="1" w:styleId="TableNote">
    <w:name w:val="TableNote"/>
    <w:basedOn w:val="Normal"/>
    <w:qFormat/>
  </w:style>
  <w:style w:type="character" w:customStyle="1" w:styleId="TableRef">
    <w:name w:val="TableRef"/>
    <w:basedOn w:val="DefaultParagraphFont"/>
    <w:qFormat/>
    <w:rPr>
      <w:color w:val="0000FF"/>
      <w:vertAlign w:val="superscript"/>
    </w:rPr>
  </w:style>
  <w:style w:type="paragraph" w:customStyle="1" w:styleId="TableTitle">
    <w:name w:val="TableTitle"/>
    <w:basedOn w:val="Normal"/>
    <w:qFormat/>
  </w:style>
  <w:style w:type="paragraph" w:customStyle="1" w:styleId="Topic">
    <w:name w:val="Topic"/>
    <w:basedOn w:val="Normal"/>
    <w:qFormat/>
    <w:pPr>
      <w:spacing w:before="40" w:line="260" w:lineRule="exact"/>
    </w:pPr>
    <w:rPr>
      <w:i/>
      <w:color w:val="0000FF"/>
    </w:rPr>
  </w:style>
  <w:style w:type="character" w:customStyle="1" w:styleId="URL">
    <w:name w:val="URL"/>
    <w:basedOn w:val="DefaultParagraphFont"/>
    <w:qFormat/>
    <w:rPr>
      <w:color w:val="666699"/>
    </w:rPr>
  </w:style>
  <w:style w:type="paragraph" w:customStyle="1" w:styleId="WebRef">
    <w:name w:val="WebRef"/>
    <w:basedOn w:val="Normal"/>
    <w:qFormat/>
    <w:pPr>
      <w:numPr>
        <w:numId w:val="15"/>
      </w:numPr>
      <w:tabs>
        <w:tab w:val="clear" w:pos="1800"/>
        <w:tab w:val="left" w:pos="720"/>
      </w:tabs>
      <w:ind w:left="360"/>
    </w:pPr>
  </w:style>
  <w:style w:type="character" w:customStyle="1" w:styleId="XRef">
    <w:name w:val="XRef"/>
    <w:basedOn w:val="DefaultParagraphFont"/>
    <w:qFormat/>
    <w:rPr>
      <w:color w:val="0000FF"/>
      <w:vertAlign w:val="superscript"/>
    </w:rPr>
  </w:style>
  <w:style w:type="character" w:customStyle="1" w:styleId="wXRef">
    <w:name w:val="wXRef"/>
    <w:basedOn w:val="XRef"/>
    <w:qFormat/>
    <w:rPr>
      <w:color w:val="0000FF"/>
      <w:vertAlign w:val="superscript"/>
    </w:rPr>
  </w:style>
  <w:style w:type="character" w:customStyle="1" w:styleId="email">
    <w:name w:val="email"/>
    <w:basedOn w:val="URL"/>
    <w:qFormat/>
    <w:rPr>
      <w:color w:val="666699"/>
    </w:rPr>
  </w:style>
  <w:style w:type="paragraph" w:customStyle="1" w:styleId="BoxStartx">
    <w:name w:val="BoxStartx"/>
    <w:basedOn w:val="BoxStart1"/>
    <w:qFormat/>
  </w:style>
  <w:style w:type="character" w:customStyle="1" w:styleId="ParaHead">
    <w:name w:val="ParaHead"/>
    <w:basedOn w:val="DefaultParagraphFont"/>
    <w:qFormat/>
    <w:rPr>
      <w:color w:val="999999"/>
      <w:shd w:val="clear" w:color="auto" w:fill="auto"/>
    </w:rPr>
  </w:style>
  <w:style w:type="paragraph" w:customStyle="1" w:styleId="ObitBiog">
    <w:name w:val="ObitBiog"/>
    <w:basedOn w:val="Para"/>
    <w:qFormat/>
    <w:pPr>
      <w:spacing w:before="120" w:line="260" w:lineRule="exact"/>
      <w:ind w:firstLine="0"/>
    </w:pPr>
    <w:rPr>
      <w:b/>
      <w:i/>
      <w:sz w:val="22"/>
    </w:rPr>
  </w:style>
  <w:style w:type="paragraph" w:customStyle="1" w:styleId="TableHeader">
    <w:name w:val="TableHeader"/>
    <w:basedOn w:val="Para"/>
    <w:qFormat/>
    <w:pPr>
      <w:spacing w:before="120" w:line="240" w:lineRule="auto"/>
      <w:ind w:firstLine="0"/>
    </w:pPr>
    <w:rPr>
      <w:b/>
    </w:rPr>
  </w:style>
  <w:style w:type="character" w:customStyle="1" w:styleId="Image">
    <w:name w:val="Image"/>
    <w:basedOn w:val="Noindex"/>
    <w:qFormat/>
    <w:rPr>
      <w:b/>
      <w:color w:val="00FF00"/>
    </w:rPr>
  </w:style>
  <w:style w:type="paragraph" w:customStyle="1" w:styleId="TableSubHead">
    <w:name w:val="TableSubHead"/>
    <w:basedOn w:val="TableHeader"/>
    <w:qFormat/>
  </w:style>
  <w:style w:type="paragraph" w:customStyle="1" w:styleId="ArtGroup">
    <w:name w:val="ArtGroup"/>
    <w:basedOn w:val="Article"/>
    <w:qFormat/>
    <w:rPr>
      <w:sz w:val="22"/>
    </w:rPr>
  </w:style>
  <w:style w:type="paragraph" w:customStyle="1" w:styleId="Biog">
    <w:name w:val="Biog"/>
    <w:basedOn w:val="MoreInfo"/>
    <w:qFormat/>
  </w:style>
  <w:style w:type="paragraph" w:customStyle="1" w:styleId="SearchInfo">
    <w:name w:val="SearchInfo"/>
    <w:basedOn w:val="Normal"/>
    <w:qFormat/>
    <w:pPr>
      <w:spacing w:before="120" w:line="240" w:lineRule="exact"/>
    </w:pPr>
  </w:style>
  <w:style w:type="paragraph" w:customStyle="1" w:styleId="SeriesInfo">
    <w:name w:val="SeriesInfo"/>
    <w:basedOn w:val="Normal"/>
    <w:qFormat/>
    <w:pPr>
      <w:spacing w:before="120" w:line="240" w:lineRule="exact"/>
    </w:pPr>
  </w:style>
  <w:style w:type="paragraph" w:customStyle="1" w:styleId="Remark">
    <w:name w:val="Remark"/>
    <w:basedOn w:val="Normal"/>
    <w:qFormat/>
    <w:rPr>
      <w:color w:val="FF0000"/>
    </w:rPr>
  </w:style>
  <w:style w:type="paragraph" w:customStyle="1" w:styleId="BoxStart4">
    <w:name w:val="BoxStart4"/>
    <w:basedOn w:val="BoxStart3"/>
    <w:qFormat/>
  </w:style>
  <w:style w:type="paragraph" w:customStyle="1" w:styleId="Bibliography1">
    <w:name w:val="Bibliography1"/>
    <w:basedOn w:val="Reference"/>
    <w:qFormat/>
    <w:pPr>
      <w:numPr>
        <w:numId w:val="0"/>
      </w:numPr>
    </w:pPr>
  </w:style>
  <w:style w:type="paragraph" w:customStyle="1" w:styleId="PullQuote">
    <w:name w:val="PullQuote"/>
    <w:basedOn w:val="IndentQuote"/>
    <w:qFormat/>
  </w:style>
  <w:style w:type="paragraph" w:customStyle="1" w:styleId="AncillHead">
    <w:name w:val="AncillHead"/>
    <w:basedOn w:val="HeadB"/>
    <w:qFormat/>
  </w:style>
  <w:style w:type="paragraph" w:customStyle="1" w:styleId="RefHead">
    <w:name w:val="RefHead"/>
    <w:basedOn w:val="HeadB"/>
    <w:qFormat/>
  </w:style>
  <w:style w:type="paragraph" w:customStyle="1" w:styleId="FlushQuote">
    <w:name w:val="FlushQuote"/>
    <w:basedOn w:val="IndentQuote"/>
    <w:qFormat/>
    <w:pPr>
      <w:ind w:left="0" w:right="0"/>
    </w:pPr>
    <w:rPr>
      <w:sz w:val="22"/>
    </w:rPr>
  </w:style>
  <w:style w:type="paragraph" w:customStyle="1" w:styleId="ProductTitle">
    <w:name w:val="ProductTitle"/>
    <w:basedOn w:val="Normal"/>
    <w:next w:val="ProductAuth"/>
    <w:qFormat/>
    <w:rPr>
      <w:b/>
      <w:sz w:val="28"/>
    </w:rPr>
  </w:style>
  <w:style w:type="paragraph" w:customStyle="1" w:styleId="EthicalApproval">
    <w:name w:val="EthicalApproval"/>
    <w:basedOn w:val="Participators"/>
    <w:qFormat/>
  </w:style>
  <w:style w:type="paragraph" w:customStyle="1" w:styleId="Abrv-Title">
    <w:name w:val="Abrv-Title"/>
    <w:basedOn w:val="Normal"/>
    <w:autoRedefine/>
    <w:qFormat/>
  </w:style>
  <w:style w:type="paragraph" w:customStyle="1" w:styleId="Weblogo">
    <w:name w:val="Web logo"/>
    <w:basedOn w:val="Normal"/>
    <w:qFormat/>
  </w:style>
  <w:style w:type="character" w:customStyle="1" w:styleId="Preformatted">
    <w:name w:val="Preformatted"/>
    <w:basedOn w:val="DefaultParagraphFont"/>
    <w:qFormat/>
  </w:style>
  <w:style w:type="paragraph" w:customStyle="1" w:styleId="AuxillaryNumber">
    <w:name w:val="Auxillary Number"/>
    <w:basedOn w:val="Normal"/>
    <w:autoRedefine/>
    <w:qFormat/>
  </w:style>
  <w:style w:type="paragraph" w:customStyle="1" w:styleId="DOI">
    <w:name w:val="DOI"/>
    <w:basedOn w:val="Normal"/>
    <w:autoRedefine/>
    <w:qFormat/>
  </w:style>
  <w:style w:type="paragraph" w:customStyle="1" w:styleId="Unit-ID">
    <w:name w:val="Unit-ID"/>
    <w:basedOn w:val="Normal"/>
    <w:autoRedefine/>
    <w:qFormat/>
  </w:style>
  <w:style w:type="paragraph" w:customStyle="1" w:styleId="Abbreviation">
    <w:name w:val="Abbreviation"/>
    <w:basedOn w:val="Normal"/>
    <w:qFormat/>
  </w:style>
  <w:style w:type="paragraph" w:customStyle="1" w:styleId="Appendix">
    <w:name w:val="Appendix"/>
    <w:basedOn w:val="Normal"/>
    <w:qFormat/>
    <w:rPr>
      <w:b/>
    </w:rPr>
  </w:style>
  <w:style w:type="paragraph" w:customStyle="1" w:styleId="Authoredby0">
    <w:name w:val="Authored by"/>
    <w:basedOn w:val="Normal"/>
    <w:qFormat/>
    <w:rPr>
      <w:b/>
      <w:sz w:val="28"/>
    </w:rPr>
  </w:style>
  <w:style w:type="paragraph" w:customStyle="1" w:styleId="BookDetails">
    <w:name w:val="BookDetails"/>
    <w:basedOn w:val="Normal"/>
    <w:qFormat/>
  </w:style>
  <w:style w:type="paragraph" w:customStyle="1" w:styleId="BoxStart">
    <w:name w:val="BoxStart"/>
    <w:basedOn w:val="Normal"/>
    <w:qFormat/>
  </w:style>
  <w:style w:type="paragraph" w:customStyle="1" w:styleId="Citation">
    <w:name w:val="Citation"/>
    <w:basedOn w:val="Normal"/>
    <w:autoRedefine/>
    <w:qFormat/>
  </w:style>
  <w:style w:type="paragraph" w:customStyle="1" w:styleId="Correspondent">
    <w:name w:val="Correspondent"/>
    <w:basedOn w:val="Normal"/>
    <w:autoRedefine/>
    <w:qFormat/>
  </w:style>
  <w:style w:type="paragraph" w:customStyle="1" w:styleId="EquationText">
    <w:name w:val="EquationText"/>
    <w:basedOn w:val="Normal"/>
    <w:autoRedefine/>
    <w:qFormat/>
  </w:style>
  <w:style w:type="paragraph" w:customStyle="1" w:styleId="Footnotes">
    <w:name w:val="Footnotes"/>
    <w:basedOn w:val="Normal"/>
    <w:qFormat/>
  </w:style>
  <w:style w:type="paragraph" w:customStyle="1" w:styleId="KeyWords0">
    <w:name w:val="KeyWords"/>
    <w:basedOn w:val="Normal"/>
    <w:autoRedefine/>
    <w:qFormat/>
  </w:style>
  <w:style w:type="paragraph" w:customStyle="1" w:styleId="ListParaMore">
    <w:name w:val="ListParaMore"/>
    <w:basedOn w:val="Normal"/>
    <w:autoRedefine/>
    <w:qFormat/>
  </w:style>
  <w:style w:type="paragraph" w:customStyle="1" w:styleId="Onlinefirst">
    <w:name w:val="Onlinefirst"/>
    <w:basedOn w:val="Normal"/>
    <w:qFormat/>
  </w:style>
  <w:style w:type="paragraph" w:styleId="Quote">
    <w:name w:val="Quote"/>
    <w:basedOn w:val="Normal"/>
    <w:autoRedefine/>
    <w:qFormat/>
    <w:pPr>
      <w:ind w:left="737"/>
    </w:pPr>
    <w:rPr>
      <w:sz w:val="28"/>
    </w:rPr>
  </w:style>
  <w:style w:type="paragraph" w:customStyle="1" w:styleId="Received">
    <w:name w:val="Received"/>
    <w:basedOn w:val="Normal"/>
    <w:autoRedefine/>
    <w:qFormat/>
  </w:style>
  <w:style w:type="paragraph" w:customStyle="1" w:styleId="Related">
    <w:name w:val="Related"/>
    <w:basedOn w:val="Normal"/>
    <w:qFormat/>
    <w:rPr>
      <w:b/>
      <w:i/>
    </w:rPr>
  </w:style>
  <w:style w:type="paragraph" w:customStyle="1" w:styleId="RespTitle">
    <w:name w:val="RespTitle"/>
    <w:basedOn w:val="Normal"/>
    <w:autoRedefine/>
    <w:qFormat/>
    <w:rPr>
      <w:b/>
    </w:rPr>
  </w:style>
  <w:style w:type="paragraph" w:customStyle="1" w:styleId="ShortAuthors">
    <w:name w:val="ShortAuthors"/>
    <w:basedOn w:val="Normal"/>
    <w:autoRedefine/>
    <w:qFormat/>
  </w:style>
  <w:style w:type="paragraph" w:customStyle="1" w:styleId="TableFootnote">
    <w:name w:val="Table Footnote"/>
    <w:basedOn w:val="Normal"/>
    <w:qFormat/>
    <w:rPr>
      <w:rFonts w:ascii="Arial" w:hAnsi="Arial"/>
      <w:sz w:val="22"/>
    </w:rPr>
  </w:style>
  <w:style w:type="paragraph" w:customStyle="1" w:styleId="Topics">
    <w:name w:val="Topic(s)"/>
    <w:basedOn w:val="Normal"/>
    <w:autoRedefine/>
    <w:qFormat/>
    <w:rPr>
      <w:i/>
    </w:rPr>
  </w:style>
  <w:style w:type="paragraph" w:customStyle="1" w:styleId="Revised">
    <w:name w:val="Revised"/>
    <w:basedOn w:val="Normal"/>
    <w:autoRedefine/>
    <w:qFormat/>
  </w:style>
  <w:style w:type="paragraph" w:customStyle="1" w:styleId="TableWidth">
    <w:name w:val="Table Width"/>
    <w:basedOn w:val="Normal"/>
    <w:qFormat/>
  </w:style>
  <w:style w:type="paragraph" w:customStyle="1" w:styleId="TableFont">
    <w:name w:val="Table Font"/>
    <w:basedOn w:val="Normal"/>
    <w:qFormat/>
  </w:style>
  <w:style w:type="paragraph" w:customStyle="1" w:styleId="ArticleTitle">
    <w:name w:val="Article Title"/>
    <w:basedOn w:val="Normal"/>
    <w:qFormat/>
    <w:rPr>
      <w:rFonts w:ascii="Arial" w:hAnsi="Arial"/>
      <w:b/>
      <w:sz w:val="36"/>
    </w:rPr>
  </w:style>
  <w:style w:type="paragraph" w:customStyle="1" w:styleId="BNFNumber">
    <w:name w:val="BNF Number"/>
    <w:basedOn w:val="Normal"/>
    <w:qFormat/>
    <w:rPr>
      <w:rFonts w:ascii="Arial" w:hAnsi="Arial"/>
      <w:b/>
      <w:sz w:val="22"/>
    </w:rPr>
  </w:style>
  <w:style w:type="paragraph" w:customStyle="1" w:styleId="Introduction">
    <w:name w:val="Introduction"/>
    <w:basedOn w:val="Normal"/>
    <w:qFormat/>
    <w:rPr>
      <w:rFonts w:ascii="Arial" w:hAnsi="Arial"/>
      <w:sz w:val="22"/>
    </w:rPr>
  </w:style>
  <w:style w:type="paragraph" w:customStyle="1" w:styleId="Paragraph">
    <w:name w:val="Paragraph"/>
    <w:basedOn w:val="Normal"/>
    <w:qFormat/>
    <w:rPr>
      <w:rFonts w:ascii="Arial" w:hAnsi="Arial"/>
      <w:sz w:val="22"/>
    </w:rPr>
  </w:style>
  <w:style w:type="paragraph" w:customStyle="1" w:styleId="TableHead">
    <w:name w:val="Table Head"/>
    <w:basedOn w:val="Normal"/>
    <w:qFormat/>
    <w:rPr>
      <w:rFonts w:ascii="Arial" w:hAnsi="Arial"/>
      <w:b/>
      <w:sz w:val="22"/>
    </w:rPr>
  </w:style>
  <w:style w:type="paragraph" w:customStyle="1" w:styleId="TableBody">
    <w:name w:val="Table Body"/>
    <w:basedOn w:val="Normal"/>
    <w:qFormat/>
    <w:rPr>
      <w:rFonts w:ascii="Arial" w:hAnsi="Arial"/>
      <w:sz w:val="22"/>
    </w:rPr>
  </w:style>
  <w:style w:type="paragraph" w:customStyle="1" w:styleId="FigureCaption">
    <w:name w:val="Figure Caption"/>
    <w:basedOn w:val="Normal"/>
    <w:qFormat/>
    <w:rPr>
      <w:rFonts w:ascii="Arial" w:hAnsi="Arial"/>
      <w:sz w:val="22"/>
    </w:rPr>
  </w:style>
  <w:style w:type="paragraph" w:customStyle="1" w:styleId="References">
    <w:name w:val="References"/>
    <w:basedOn w:val="Normal"/>
    <w:qFormat/>
    <w:rPr>
      <w:rFonts w:ascii="Arial" w:hAnsi="Arial"/>
      <w:sz w:val="20"/>
    </w:rPr>
  </w:style>
  <w:style w:type="table" w:customStyle="1" w:styleId="TableNormal1">
    <w:name w:val="Table Normal1"/>
    <w:basedOn w:val="TableNormal"/>
    <w:semiHidden/>
    <w:qFormat/>
    <w:tblPr/>
  </w:style>
  <w:style w:type="character" w:customStyle="1" w:styleId="Heading3Char">
    <w:name w:val="Heading 3 Char"/>
    <w:basedOn w:val="DefaultParagraphFont"/>
    <w:qFormat/>
    <w:rPr>
      <w:rFonts w:ascii="Calibri" w:eastAsia="宋体" w:hAnsi="Calibri" w:cs="Arial" w:hint="default"/>
      <w:b/>
      <w:kern w:val="2"/>
      <w:sz w:val="3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13</TotalTime>
  <Pages>12</Pages>
  <Words>22597</Words>
  <Characters>128803</Characters>
  <Application>Microsoft Office Word</Application>
  <DocSecurity>0</DocSecurity>
  <Lines>1073</Lines>
  <Paragraphs>302</Paragraphs>
  <ScaleCrop>false</ScaleCrop>
  <Company>irisq</Company>
  <LinksUpToDate>false</LinksUpToDate>
  <CharactersWithSpaces>151098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YBQ</cp:lastModifiedBy>
  <cp:revision>6</cp:revision>
  <cp:lastPrinted>2014-09-01T08:36:00Z</cp:lastPrinted>
  <dcterms:created xsi:type="dcterms:W3CDTF">2014-09-01T14:20:00Z</dcterms:created>
  <dcterms:modified xsi:type="dcterms:W3CDTF">2026-07-27T08:29:00Z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ProductBuildVer">
    <vt:lpwstr>2052-12.1.0.24034</vt:lpwstr>
  </property>
  <property fmtid="{D5CDD505-2E9C-101B-9397-08002B2CF9AE}" pid="8" name="ICV">
    <vt:lpwstr>77C389AF2E074955A31D08DA6EC8AB6B_13</vt:lpwstr>
  </property>
  <property fmtid="{D5CDD505-2E9C-101B-9397-08002B2CF9AE}" pid="9" name="KSOTemplateDocerSaveRecord">
    <vt:lpwstr>eyJoZGlkIjoiNmRiMDk4ZTU5MWIyZmZiZThlODE2MWMzOWQ5MmZmMTAiLCJ1c2VySWQiOiIyNDQyNTc5MTIifQ==</vt:lpwstr>
  </property>
</Properties>
</file>