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0FE437" w14:textId="77777777" w:rsidR="00572178" w:rsidRPr="00E45335" w:rsidRDefault="00572178" w:rsidP="00F755A8">
      <w:pPr>
        <w:spacing w:line="480" w:lineRule="auto"/>
        <w:jc w:val="both"/>
        <w:rPr>
          <w:rFonts w:ascii="Arial" w:hAnsi="Arial" w:cs="Arial"/>
        </w:rPr>
      </w:pPr>
      <w:r>
        <w:rPr>
          <w:rFonts w:ascii="Arial" w:hAnsi="Arial" w:cs="Arial"/>
          <w:sz w:val="28"/>
          <w:szCs w:val="28"/>
        </w:rPr>
        <w:t>Proteomic profiling of serum extracellular vesicles in systemic lupus erythematosus shows enrichment of inflammatory cascades including TNFRSF17 in patients with active disease</w:t>
      </w:r>
    </w:p>
    <w:p w14:paraId="3CB2E1EE" w14:textId="77777777" w:rsidR="00572178" w:rsidRDefault="00572178" w:rsidP="00F755A8">
      <w:pPr>
        <w:spacing w:line="480" w:lineRule="auto"/>
        <w:jc w:val="both"/>
        <w:rPr>
          <w:rFonts w:ascii="Arial" w:hAnsi="Arial" w:cs="Arial"/>
          <w:vertAlign w:val="superscript"/>
        </w:rPr>
      </w:pPr>
      <w:r w:rsidRPr="00590DA9">
        <w:rPr>
          <w:rFonts w:ascii="Arial" w:hAnsi="Arial" w:cs="Arial"/>
        </w:rPr>
        <w:t>Mohd Umar Tabrez</w:t>
      </w:r>
      <w:r w:rsidRPr="00590DA9">
        <w:rPr>
          <w:rFonts w:ascii="Arial" w:hAnsi="Arial" w:cs="Arial"/>
          <w:vertAlign w:val="superscript"/>
        </w:rPr>
        <w:t>1</w:t>
      </w:r>
      <w:r w:rsidRPr="00590DA9">
        <w:rPr>
          <w:rFonts w:ascii="Arial" w:hAnsi="Arial" w:cs="Arial"/>
        </w:rPr>
        <w:t>, Krista Lundelin</w:t>
      </w:r>
      <w:r w:rsidRPr="00CE460A">
        <w:rPr>
          <w:rFonts w:ascii="Arial" w:hAnsi="Arial" w:cs="Arial"/>
          <w:vertAlign w:val="superscript"/>
        </w:rPr>
        <w:t>2</w:t>
      </w:r>
      <w:r w:rsidRPr="00590DA9">
        <w:rPr>
          <w:rFonts w:ascii="Arial" w:hAnsi="Arial" w:cs="Arial"/>
        </w:rPr>
        <w:t>, Saara Hämälistö</w:t>
      </w:r>
      <w:r w:rsidRPr="00590DA9">
        <w:rPr>
          <w:rFonts w:ascii="Arial" w:hAnsi="Arial" w:cs="Arial"/>
          <w:vertAlign w:val="superscript"/>
        </w:rPr>
        <w:t>1</w:t>
      </w:r>
      <w:r w:rsidRPr="00590DA9">
        <w:rPr>
          <w:rFonts w:ascii="Arial" w:hAnsi="Arial" w:cs="Arial"/>
        </w:rPr>
        <w:t>,</w:t>
      </w:r>
      <w:r w:rsidRPr="009A4AFC">
        <w:rPr>
          <w:rFonts w:ascii="Arial" w:hAnsi="Arial" w:cs="Arial"/>
        </w:rPr>
        <w:t xml:space="preserve"> Lau</w:t>
      </w:r>
      <w:r w:rsidRPr="00590DA9">
        <w:rPr>
          <w:rFonts w:ascii="Arial" w:hAnsi="Arial" w:cs="Arial"/>
        </w:rPr>
        <w:t>ra Pirilä</w:t>
      </w:r>
      <w:r w:rsidRPr="009B5928">
        <w:rPr>
          <w:rFonts w:ascii="Arial" w:hAnsi="Arial" w:cs="Arial"/>
          <w:vertAlign w:val="superscript"/>
        </w:rPr>
        <w:t>2</w:t>
      </w:r>
      <w:r w:rsidRPr="00590DA9">
        <w:rPr>
          <w:rFonts w:ascii="Arial" w:hAnsi="Arial" w:cs="Arial"/>
        </w:rPr>
        <w:t>, Christopher Sjöwall</w:t>
      </w:r>
      <w:r>
        <w:rPr>
          <w:rFonts w:ascii="Arial" w:hAnsi="Arial" w:cs="Arial"/>
          <w:vertAlign w:val="superscript"/>
        </w:rPr>
        <w:t>3</w:t>
      </w:r>
      <w:r w:rsidRPr="00590DA9">
        <w:rPr>
          <w:rFonts w:ascii="Arial" w:hAnsi="Arial" w:cs="Arial"/>
        </w:rPr>
        <w:t>, Arno Hänninen</w:t>
      </w:r>
      <w:r w:rsidRPr="00590DA9">
        <w:rPr>
          <w:rFonts w:ascii="Arial" w:hAnsi="Arial" w:cs="Arial"/>
          <w:vertAlign w:val="superscript"/>
        </w:rPr>
        <w:t>1</w:t>
      </w:r>
      <w:r>
        <w:rPr>
          <w:rFonts w:ascii="Arial" w:hAnsi="Arial" w:cs="Arial"/>
          <w:vertAlign w:val="superscript"/>
        </w:rPr>
        <w:t>,</w:t>
      </w:r>
      <w:r w:rsidRPr="009B5928">
        <w:rPr>
          <w:rFonts w:ascii="Arial" w:hAnsi="Arial" w:cs="Arial"/>
          <w:vertAlign w:val="superscript"/>
        </w:rPr>
        <w:t>2</w:t>
      </w:r>
    </w:p>
    <w:p w14:paraId="35923A08" w14:textId="77777777" w:rsidR="00572178" w:rsidRPr="00CE460A" w:rsidRDefault="00572178" w:rsidP="00F755A8">
      <w:pPr>
        <w:spacing w:line="480" w:lineRule="auto"/>
        <w:jc w:val="both"/>
        <w:rPr>
          <w:rFonts w:ascii="Arial" w:hAnsi="Arial" w:cs="Arial"/>
          <w:sz w:val="22"/>
          <w:szCs w:val="22"/>
          <w:lang w:val="en-GB"/>
        </w:rPr>
      </w:pPr>
      <w:r w:rsidRPr="00CE460A">
        <w:rPr>
          <w:rFonts w:ascii="Arial" w:hAnsi="Arial" w:cs="Arial"/>
          <w:sz w:val="22"/>
          <w:szCs w:val="22"/>
          <w:vertAlign w:val="superscript"/>
        </w:rPr>
        <w:t xml:space="preserve">1 </w:t>
      </w:r>
      <w:r w:rsidRPr="00CE460A">
        <w:rPr>
          <w:rFonts w:ascii="Arial" w:hAnsi="Arial" w:cs="Arial"/>
          <w:sz w:val="22"/>
          <w:szCs w:val="22"/>
        </w:rPr>
        <w:t>Institute of Biomedicine, University of Turku</w:t>
      </w:r>
      <w:r w:rsidRPr="00CE460A">
        <w:rPr>
          <w:rFonts w:ascii="Arial" w:hAnsi="Arial" w:cs="Arial"/>
          <w:sz w:val="22"/>
          <w:szCs w:val="22"/>
          <w:lang w:val="en-GB"/>
        </w:rPr>
        <w:t>, Turku, Finland</w:t>
      </w:r>
    </w:p>
    <w:p w14:paraId="45C92530" w14:textId="77777777" w:rsidR="00572178" w:rsidRPr="00CE460A" w:rsidRDefault="00572178" w:rsidP="00F755A8">
      <w:pPr>
        <w:spacing w:line="480" w:lineRule="auto"/>
        <w:jc w:val="both"/>
        <w:rPr>
          <w:rFonts w:ascii="Arial" w:hAnsi="Arial" w:cs="Arial"/>
          <w:lang w:val="en-GB"/>
        </w:rPr>
      </w:pPr>
      <w:r w:rsidRPr="00CE460A">
        <w:rPr>
          <w:rFonts w:ascii="Arial" w:hAnsi="Arial" w:cs="Arial"/>
          <w:sz w:val="22"/>
          <w:szCs w:val="22"/>
          <w:vertAlign w:val="superscript"/>
          <w:lang w:val="en-GB"/>
        </w:rPr>
        <w:t>2</w:t>
      </w:r>
      <w:r w:rsidRPr="00CE460A">
        <w:rPr>
          <w:rFonts w:ascii="Arial" w:hAnsi="Arial" w:cs="Arial"/>
          <w:sz w:val="22"/>
          <w:szCs w:val="22"/>
          <w:lang w:val="en-GB"/>
        </w:rPr>
        <w:t xml:space="preserve"> Division of Rheumatology and TYKS laboratories, Turku University Hospital, Turku, Finland </w:t>
      </w:r>
    </w:p>
    <w:p w14:paraId="50A48BF0" w14:textId="77777777" w:rsidR="00572178" w:rsidRPr="00CE460A" w:rsidRDefault="00572178" w:rsidP="00F755A8">
      <w:pPr>
        <w:spacing w:line="480" w:lineRule="auto"/>
        <w:jc w:val="both"/>
        <w:rPr>
          <w:rFonts w:ascii="Arial" w:hAnsi="Arial" w:cs="Arial"/>
          <w:sz w:val="22"/>
          <w:szCs w:val="22"/>
        </w:rPr>
      </w:pPr>
      <w:r w:rsidRPr="00CE460A">
        <w:rPr>
          <w:rFonts w:ascii="Arial" w:hAnsi="Arial" w:cs="Arial"/>
          <w:sz w:val="22"/>
          <w:szCs w:val="22"/>
          <w:vertAlign w:val="superscript"/>
        </w:rPr>
        <w:t>3</w:t>
      </w:r>
      <w:r w:rsidRPr="00CE460A">
        <w:rPr>
          <w:rFonts w:ascii="Arial" w:hAnsi="Arial" w:cs="Arial"/>
          <w:sz w:val="22"/>
          <w:szCs w:val="22"/>
        </w:rPr>
        <w:t>Department of Biomedical and Clinical Sciences, Division of Inflammation and Infection/Rheumatology, Linköping University, Linköping, Sweden.</w:t>
      </w:r>
    </w:p>
    <w:p w14:paraId="7260B5BC" w14:textId="72D4A2D3" w:rsidR="00DA71CC" w:rsidRPr="00DA71CC" w:rsidRDefault="00DA71CC" w:rsidP="00F755A8">
      <w:pPr>
        <w:spacing w:line="480" w:lineRule="auto"/>
        <w:jc w:val="center"/>
        <w:rPr>
          <w:rFonts w:ascii="Arial" w:eastAsia="Times New Roman" w:hAnsi="Arial" w:cs="Arial"/>
          <w:b/>
          <w:bCs/>
          <w:sz w:val="32"/>
          <w:szCs w:val="32"/>
        </w:rPr>
      </w:pPr>
      <w:r w:rsidRPr="00DA71CC">
        <w:rPr>
          <w:rFonts w:ascii="Arial" w:hAnsi="Arial" w:cs="Arial"/>
          <w:b/>
        </w:rPr>
        <w:t>Demographic and clinical characteristics of the SLE patients</w:t>
      </w:r>
    </w:p>
    <w:tbl>
      <w:tblPr>
        <w:tblStyle w:val="TableGrid"/>
        <w:tblW w:w="9852" w:type="dxa"/>
        <w:tblLook w:val="04A0" w:firstRow="1" w:lastRow="0" w:firstColumn="1" w:lastColumn="0" w:noHBand="0" w:noVBand="1"/>
      </w:tblPr>
      <w:tblGrid>
        <w:gridCol w:w="2592"/>
        <w:gridCol w:w="2420"/>
        <w:gridCol w:w="2420"/>
        <w:gridCol w:w="2420"/>
      </w:tblGrid>
      <w:tr w:rsidR="006957B4" w14:paraId="3603E993" w14:textId="6E1C40ED" w:rsidTr="005915E5">
        <w:trPr>
          <w:trHeight w:val="454"/>
        </w:trPr>
        <w:tc>
          <w:tcPr>
            <w:tcW w:w="2592" w:type="dxa"/>
          </w:tcPr>
          <w:p w14:paraId="5EE93FBA" w14:textId="38BBAB43" w:rsidR="006957B4" w:rsidRDefault="006957B4" w:rsidP="00F755A8">
            <w:pPr>
              <w:spacing w:line="480" w:lineRule="auto"/>
              <w:rPr>
                <w:rFonts w:ascii="Arial" w:eastAsia="Times New Roman" w:hAnsi="Arial" w:cs="Arial"/>
              </w:rPr>
            </w:pPr>
          </w:p>
        </w:tc>
        <w:tc>
          <w:tcPr>
            <w:tcW w:w="2420" w:type="dxa"/>
          </w:tcPr>
          <w:p w14:paraId="2C32A0D1" w14:textId="77777777" w:rsidR="004B7BB4" w:rsidRDefault="00AD1DC4" w:rsidP="00F755A8">
            <w:pPr>
              <w:spacing w:line="480" w:lineRule="auto"/>
              <w:jc w:val="center"/>
              <w:rPr>
                <w:rFonts w:ascii="Arial" w:eastAsia="Times New Roman" w:hAnsi="Arial" w:cs="Arial"/>
                <w:b/>
                <w:bCs/>
              </w:rPr>
            </w:pPr>
            <w:r w:rsidRPr="001C3909">
              <w:rPr>
                <w:rFonts w:ascii="Arial" w:eastAsia="Times New Roman" w:hAnsi="Arial" w:cs="Arial"/>
                <w:b/>
                <w:bCs/>
              </w:rPr>
              <w:t>SLE</w:t>
            </w:r>
            <w:r w:rsidR="004B7BB4">
              <w:rPr>
                <w:rFonts w:ascii="Arial" w:eastAsia="Times New Roman" w:hAnsi="Arial" w:cs="Arial"/>
                <w:b/>
                <w:bCs/>
              </w:rPr>
              <w:t xml:space="preserve"> </w:t>
            </w:r>
          </w:p>
          <w:p w14:paraId="353EABFF" w14:textId="2B2B0384" w:rsidR="006957B4" w:rsidRPr="001C3909" w:rsidRDefault="004B7BB4" w:rsidP="00F755A8">
            <w:pPr>
              <w:spacing w:line="480" w:lineRule="auto"/>
              <w:jc w:val="center"/>
              <w:rPr>
                <w:rFonts w:ascii="Arial" w:eastAsia="Times New Roman" w:hAnsi="Arial" w:cs="Arial"/>
                <w:b/>
                <w:bCs/>
              </w:rPr>
            </w:pPr>
            <w:r w:rsidRPr="004D68E9">
              <w:rPr>
                <w:rFonts w:ascii="Arial" w:eastAsia="Times New Roman" w:hAnsi="Arial" w:cs="Arial"/>
              </w:rPr>
              <w:t>(</w:t>
            </w:r>
            <w:r>
              <w:rPr>
                <w:rFonts w:ascii="Arial" w:eastAsia="Times New Roman" w:hAnsi="Arial" w:cs="Arial"/>
              </w:rPr>
              <w:t>n= 14)</w:t>
            </w:r>
          </w:p>
        </w:tc>
        <w:tc>
          <w:tcPr>
            <w:tcW w:w="2420" w:type="dxa"/>
          </w:tcPr>
          <w:p w14:paraId="56D2AEA9" w14:textId="77777777" w:rsidR="006957B4" w:rsidRDefault="00AD1DC4" w:rsidP="00F755A8">
            <w:pPr>
              <w:spacing w:line="480" w:lineRule="auto"/>
              <w:jc w:val="center"/>
              <w:rPr>
                <w:rFonts w:ascii="Arial" w:eastAsia="Times New Roman" w:hAnsi="Arial" w:cs="Arial"/>
                <w:b/>
                <w:bCs/>
              </w:rPr>
            </w:pPr>
            <w:r w:rsidRPr="001C3909">
              <w:rPr>
                <w:rFonts w:ascii="Arial" w:eastAsia="Times New Roman" w:hAnsi="Arial" w:cs="Arial"/>
                <w:b/>
                <w:bCs/>
              </w:rPr>
              <w:t>High SLEDAI</w:t>
            </w:r>
          </w:p>
          <w:p w14:paraId="40591EEB" w14:textId="01FA363B" w:rsidR="004B7BB4" w:rsidRPr="001C3909" w:rsidRDefault="004B7BB4" w:rsidP="00F755A8">
            <w:pPr>
              <w:spacing w:line="480" w:lineRule="auto"/>
              <w:jc w:val="center"/>
              <w:rPr>
                <w:rFonts w:ascii="Arial" w:eastAsia="Times New Roman" w:hAnsi="Arial" w:cs="Arial"/>
                <w:b/>
                <w:bCs/>
              </w:rPr>
            </w:pPr>
            <w:r>
              <w:rPr>
                <w:rFonts w:ascii="Arial" w:eastAsia="Times New Roman" w:hAnsi="Arial" w:cs="Arial"/>
              </w:rPr>
              <w:t>(n= 7)</w:t>
            </w:r>
          </w:p>
        </w:tc>
        <w:tc>
          <w:tcPr>
            <w:tcW w:w="2420" w:type="dxa"/>
          </w:tcPr>
          <w:p w14:paraId="2E712F57" w14:textId="77777777" w:rsidR="006957B4" w:rsidRDefault="00AD1DC4" w:rsidP="00F755A8">
            <w:pPr>
              <w:spacing w:line="480" w:lineRule="auto"/>
              <w:jc w:val="center"/>
              <w:rPr>
                <w:rFonts w:ascii="Arial" w:eastAsia="Times New Roman" w:hAnsi="Arial" w:cs="Arial"/>
                <w:b/>
                <w:bCs/>
              </w:rPr>
            </w:pPr>
            <w:r w:rsidRPr="001C3909">
              <w:rPr>
                <w:rFonts w:ascii="Arial" w:eastAsia="Times New Roman" w:hAnsi="Arial" w:cs="Arial"/>
                <w:b/>
                <w:bCs/>
              </w:rPr>
              <w:t>Low SLEDAI</w:t>
            </w:r>
          </w:p>
          <w:p w14:paraId="4CF3BB4F" w14:textId="6CFFC4BA" w:rsidR="004B7BB4" w:rsidRPr="001C3909" w:rsidRDefault="004B7BB4" w:rsidP="00F755A8">
            <w:pPr>
              <w:spacing w:line="480" w:lineRule="auto"/>
              <w:jc w:val="center"/>
              <w:rPr>
                <w:rFonts w:ascii="Arial" w:eastAsia="Times New Roman" w:hAnsi="Arial" w:cs="Arial"/>
                <w:b/>
                <w:bCs/>
              </w:rPr>
            </w:pPr>
            <w:r w:rsidRPr="004D68E9">
              <w:rPr>
                <w:rFonts w:ascii="Arial" w:eastAsia="Times New Roman" w:hAnsi="Arial" w:cs="Arial"/>
              </w:rPr>
              <w:t>(</w:t>
            </w:r>
            <w:r>
              <w:rPr>
                <w:rFonts w:ascii="Arial" w:eastAsia="Times New Roman" w:hAnsi="Arial" w:cs="Arial"/>
              </w:rPr>
              <w:t>n= 7)</w:t>
            </w:r>
          </w:p>
        </w:tc>
      </w:tr>
      <w:tr w:rsidR="006957B4" w14:paraId="46C74636" w14:textId="3D659F3D" w:rsidTr="005915E5">
        <w:trPr>
          <w:trHeight w:val="454"/>
        </w:trPr>
        <w:tc>
          <w:tcPr>
            <w:tcW w:w="2592" w:type="dxa"/>
          </w:tcPr>
          <w:p w14:paraId="18B1E074" w14:textId="4A6ECF7B" w:rsidR="006957B4" w:rsidRPr="006957B4" w:rsidRDefault="006957B4" w:rsidP="00F755A8">
            <w:pPr>
              <w:spacing w:line="480" w:lineRule="auto"/>
              <w:rPr>
                <w:rFonts w:ascii="Arial" w:eastAsia="Times New Roman" w:hAnsi="Arial" w:cs="Arial"/>
                <w:b/>
                <w:bCs/>
              </w:rPr>
            </w:pPr>
            <w:r w:rsidRPr="006957B4">
              <w:rPr>
                <w:rFonts w:ascii="Arial" w:eastAsia="Times New Roman" w:hAnsi="Arial" w:cs="Arial"/>
                <w:b/>
                <w:bCs/>
              </w:rPr>
              <w:t>Age, Years</w:t>
            </w:r>
          </w:p>
        </w:tc>
        <w:tc>
          <w:tcPr>
            <w:tcW w:w="2420" w:type="dxa"/>
          </w:tcPr>
          <w:p w14:paraId="7AFC8499" w14:textId="6E4B39DE" w:rsidR="006957B4" w:rsidRDefault="006957B4" w:rsidP="00F755A8">
            <w:pPr>
              <w:spacing w:line="480" w:lineRule="auto"/>
              <w:jc w:val="center"/>
              <w:rPr>
                <w:rFonts w:ascii="Arial" w:eastAsia="Times New Roman" w:hAnsi="Arial" w:cs="Arial"/>
              </w:rPr>
            </w:pPr>
          </w:p>
        </w:tc>
        <w:tc>
          <w:tcPr>
            <w:tcW w:w="2420" w:type="dxa"/>
          </w:tcPr>
          <w:p w14:paraId="4477E635" w14:textId="0EF2F43D" w:rsidR="006957B4" w:rsidRDefault="006957B4" w:rsidP="00F755A8">
            <w:pPr>
              <w:spacing w:line="480" w:lineRule="auto"/>
              <w:jc w:val="center"/>
              <w:rPr>
                <w:rFonts w:ascii="Arial" w:eastAsia="Times New Roman" w:hAnsi="Arial" w:cs="Arial"/>
              </w:rPr>
            </w:pPr>
          </w:p>
        </w:tc>
        <w:tc>
          <w:tcPr>
            <w:tcW w:w="2420" w:type="dxa"/>
          </w:tcPr>
          <w:p w14:paraId="7E9AC352" w14:textId="4EF2BAEF" w:rsidR="006957B4" w:rsidRDefault="006957B4" w:rsidP="00F755A8">
            <w:pPr>
              <w:spacing w:line="480" w:lineRule="auto"/>
              <w:jc w:val="center"/>
              <w:rPr>
                <w:rFonts w:ascii="Arial" w:eastAsia="Times New Roman" w:hAnsi="Arial" w:cs="Arial"/>
              </w:rPr>
            </w:pPr>
          </w:p>
        </w:tc>
      </w:tr>
      <w:tr w:rsidR="006957B4" w14:paraId="69B74E76" w14:textId="12440AAA" w:rsidTr="005915E5">
        <w:trPr>
          <w:trHeight w:val="454"/>
        </w:trPr>
        <w:tc>
          <w:tcPr>
            <w:tcW w:w="2592" w:type="dxa"/>
          </w:tcPr>
          <w:p w14:paraId="7F550C95" w14:textId="371F1469" w:rsidR="006957B4" w:rsidRPr="006957B4" w:rsidRDefault="006957B4" w:rsidP="00F755A8">
            <w:pPr>
              <w:spacing w:line="480" w:lineRule="auto"/>
              <w:rPr>
                <w:rFonts w:ascii="Arial" w:eastAsia="Times New Roman" w:hAnsi="Arial" w:cs="Arial"/>
              </w:rPr>
            </w:pPr>
            <w:r>
              <w:rPr>
                <w:rFonts w:ascii="Arial" w:eastAsia="Times New Roman" w:hAnsi="Arial" w:cs="Arial"/>
              </w:rPr>
              <w:t xml:space="preserve">Mean </w:t>
            </w:r>
            <w:r w:rsidRPr="006957B4">
              <w:rPr>
                <w:rFonts w:ascii="Arial" w:eastAsia="Times New Roman" w:hAnsi="Arial" w:cs="Arial"/>
              </w:rPr>
              <w:t>± SD</w:t>
            </w:r>
          </w:p>
        </w:tc>
        <w:tc>
          <w:tcPr>
            <w:tcW w:w="2420" w:type="dxa"/>
          </w:tcPr>
          <w:p w14:paraId="7CD09A60" w14:textId="74D9625B" w:rsidR="006957B4" w:rsidRDefault="006957B4" w:rsidP="00F755A8">
            <w:pPr>
              <w:spacing w:line="480" w:lineRule="auto"/>
              <w:jc w:val="center"/>
              <w:rPr>
                <w:rFonts w:ascii="Arial" w:eastAsia="Times New Roman" w:hAnsi="Arial" w:cs="Arial"/>
              </w:rPr>
            </w:pPr>
            <w:r w:rsidRPr="006957B4">
              <w:rPr>
                <w:rFonts w:ascii="Arial" w:eastAsia="Times New Roman" w:hAnsi="Arial" w:cs="Arial"/>
              </w:rPr>
              <w:t>47.43</w:t>
            </w:r>
            <w:r>
              <w:rPr>
                <w:rFonts w:ascii="Arial" w:eastAsia="Times New Roman" w:hAnsi="Arial" w:cs="Arial"/>
              </w:rPr>
              <w:t xml:space="preserve"> </w:t>
            </w:r>
            <w:r w:rsidRPr="006957B4">
              <w:rPr>
                <w:rFonts w:ascii="Arial" w:eastAsia="Times New Roman" w:hAnsi="Arial" w:cs="Arial"/>
              </w:rPr>
              <w:t>±</w:t>
            </w:r>
            <w:r>
              <w:rPr>
                <w:rFonts w:ascii="Arial" w:eastAsia="Times New Roman" w:hAnsi="Arial" w:cs="Arial"/>
              </w:rPr>
              <w:t xml:space="preserve"> 20.1</w:t>
            </w:r>
          </w:p>
        </w:tc>
        <w:tc>
          <w:tcPr>
            <w:tcW w:w="2420" w:type="dxa"/>
          </w:tcPr>
          <w:p w14:paraId="69BF4497" w14:textId="017B1770" w:rsidR="006957B4" w:rsidRDefault="00AD1DC4" w:rsidP="00F755A8">
            <w:pPr>
              <w:spacing w:line="480" w:lineRule="auto"/>
              <w:jc w:val="center"/>
              <w:rPr>
                <w:rFonts w:ascii="Arial" w:eastAsia="Times New Roman" w:hAnsi="Arial" w:cs="Arial"/>
              </w:rPr>
            </w:pPr>
            <w:r w:rsidRPr="00AD1DC4">
              <w:rPr>
                <w:rFonts w:ascii="Arial" w:eastAsia="Times New Roman" w:hAnsi="Arial" w:cs="Arial"/>
              </w:rPr>
              <w:t>48.86 ± 24.53</w:t>
            </w:r>
          </w:p>
        </w:tc>
        <w:tc>
          <w:tcPr>
            <w:tcW w:w="2420" w:type="dxa"/>
          </w:tcPr>
          <w:p w14:paraId="5759E88F" w14:textId="209AB878" w:rsidR="006957B4" w:rsidRDefault="00D12B48" w:rsidP="00F755A8">
            <w:pPr>
              <w:spacing w:line="480" w:lineRule="auto"/>
              <w:jc w:val="center"/>
              <w:rPr>
                <w:rFonts w:ascii="Arial" w:eastAsia="Times New Roman" w:hAnsi="Arial" w:cs="Arial"/>
              </w:rPr>
            </w:pPr>
            <w:r>
              <w:rPr>
                <w:rFonts w:ascii="Arial" w:eastAsia="Times New Roman" w:hAnsi="Arial" w:cs="Arial"/>
              </w:rPr>
              <w:t xml:space="preserve">46 </w:t>
            </w:r>
            <w:r w:rsidRPr="00AD1DC4">
              <w:rPr>
                <w:rFonts w:ascii="Arial" w:eastAsia="Times New Roman" w:hAnsi="Arial" w:cs="Arial"/>
              </w:rPr>
              <w:t>±</w:t>
            </w:r>
            <w:r>
              <w:rPr>
                <w:rFonts w:ascii="Arial" w:eastAsia="Times New Roman" w:hAnsi="Arial" w:cs="Arial"/>
              </w:rPr>
              <w:t xml:space="preserve"> </w:t>
            </w:r>
            <w:r w:rsidRPr="00D12B48">
              <w:rPr>
                <w:rFonts w:ascii="Arial" w:eastAsia="Times New Roman" w:hAnsi="Arial" w:cs="Arial"/>
              </w:rPr>
              <w:t>16.49</w:t>
            </w:r>
          </w:p>
        </w:tc>
      </w:tr>
      <w:tr w:rsidR="006957B4" w14:paraId="7C4FC078" w14:textId="2F3B96C2" w:rsidTr="005915E5">
        <w:trPr>
          <w:trHeight w:val="895"/>
        </w:trPr>
        <w:tc>
          <w:tcPr>
            <w:tcW w:w="2592" w:type="dxa"/>
          </w:tcPr>
          <w:p w14:paraId="07762EAF" w14:textId="77777777" w:rsidR="006957B4" w:rsidRDefault="006957B4" w:rsidP="00F755A8">
            <w:pPr>
              <w:spacing w:line="480" w:lineRule="auto"/>
              <w:rPr>
                <w:rFonts w:ascii="Arial" w:eastAsia="Times New Roman" w:hAnsi="Arial" w:cs="Arial"/>
              </w:rPr>
            </w:pPr>
            <w:r>
              <w:rPr>
                <w:rFonts w:ascii="Arial" w:eastAsia="Times New Roman" w:hAnsi="Arial" w:cs="Arial"/>
              </w:rPr>
              <w:t>Median</w:t>
            </w:r>
          </w:p>
          <w:p w14:paraId="3849FD81" w14:textId="1FC1866B" w:rsidR="004B7BB4" w:rsidRPr="00F755A8" w:rsidRDefault="004B7BB4" w:rsidP="00F755A8">
            <w:pPr>
              <w:spacing w:line="480" w:lineRule="auto"/>
              <w:rPr>
                <w:rFonts w:ascii="Arial" w:eastAsia="Times New Roman" w:hAnsi="Arial" w:cs="Arial"/>
                <w:vertAlign w:val="superscript"/>
              </w:rPr>
            </w:pPr>
            <w:r>
              <w:rPr>
                <w:rFonts w:ascii="Arial" w:eastAsia="Times New Roman" w:hAnsi="Arial" w:cs="Arial"/>
              </w:rPr>
              <w:t>IQR</w:t>
            </w:r>
            <w:r w:rsidR="00F755A8">
              <w:rPr>
                <w:rFonts w:ascii="Arial" w:eastAsia="Times New Roman" w:hAnsi="Arial" w:cs="Arial"/>
                <w:vertAlign w:val="superscript"/>
              </w:rPr>
              <w:t>1</w:t>
            </w:r>
          </w:p>
        </w:tc>
        <w:tc>
          <w:tcPr>
            <w:tcW w:w="2420" w:type="dxa"/>
          </w:tcPr>
          <w:p w14:paraId="57AE228A" w14:textId="77777777" w:rsidR="006957B4" w:rsidRPr="006957B4" w:rsidRDefault="006957B4" w:rsidP="00F755A8">
            <w:pPr>
              <w:spacing w:line="480" w:lineRule="auto"/>
              <w:jc w:val="center"/>
              <w:rPr>
                <w:rFonts w:ascii="Arial" w:eastAsia="Times New Roman" w:hAnsi="Arial" w:cs="Arial"/>
              </w:rPr>
            </w:pPr>
            <w:r w:rsidRPr="006957B4">
              <w:rPr>
                <w:rFonts w:ascii="Arial" w:eastAsia="Times New Roman" w:hAnsi="Arial" w:cs="Arial"/>
              </w:rPr>
              <w:t>48</w:t>
            </w:r>
          </w:p>
          <w:p w14:paraId="098F0247" w14:textId="49D47FAA" w:rsidR="006957B4" w:rsidRDefault="004B7BB4" w:rsidP="00F755A8">
            <w:pPr>
              <w:spacing w:line="480" w:lineRule="auto"/>
              <w:jc w:val="center"/>
              <w:rPr>
                <w:rFonts w:ascii="Arial" w:eastAsia="Times New Roman" w:hAnsi="Arial" w:cs="Arial"/>
              </w:rPr>
            </w:pPr>
            <w:r>
              <w:rPr>
                <w:rFonts w:ascii="Arial" w:eastAsia="Times New Roman" w:hAnsi="Arial" w:cs="Arial"/>
              </w:rPr>
              <w:t>(</w:t>
            </w:r>
            <w:r w:rsidR="00AD1DC4">
              <w:rPr>
                <w:rFonts w:ascii="Arial" w:eastAsia="Times New Roman" w:hAnsi="Arial" w:cs="Arial"/>
              </w:rPr>
              <w:t>30, 58</w:t>
            </w:r>
            <w:r>
              <w:rPr>
                <w:rFonts w:ascii="Arial" w:eastAsia="Times New Roman" w:hAnsi="Arial" w:cs="Arial"/>
              </w:rPr>
              <w:t>)</w:t>
            </w:r>
          </w:p>
        </w:tc>
        <w:tc>
          <w:tcPr>
            <w:tcW w:w="2420" w:type="dxa"/>
          </w:tcPr>
          <w:p w14:paraId="78242903" w14:textId="77777777" w:rsidR="006957B4" w:rsidRDefault="00AD1DC4" w:rsidP="00F755A8">
            <w:pPr>
              <w:spacing w:line="480" w:lineRule="auto"/>
              <w:jc w:val="center"/>
              <w:rPr>
                <w:rFonts w:ascii="Arial" w:eastAsia="Times New Roman" w:hAnsi="Arial" w:cs="Arial"/>
              </w:rPr>
            </w:pPr>
            <w:r>
              <w:rPr>
                <w:rFonts w:ascii="Arial" w:eastAsia="Times New Roman" w:hAnsi="Arial" w:cs="Arial"/>
              </w:rPr>
              <w:t>54</w:t>
            </w:r>
          </w:p>
          <w:p w14:paraId="4E570B0D" w14:textId="452A442A" w:rsidR="00AD1DC4" w:rsidRDefault="004B7BB4" w:rsidP="00F755A8">
            <w:pPr>
              <w:spacing w:line="480" w:lineRule="auto"/>
              <w:jc w:val="center"/>
              <w:rPr>
                <w:rFonts w:ascii="Arial" w:eastAsia="Times New Roman" w:hAnsi="Arial" w:cs="Arial"/>
              </w:rPr>
            </w:pPr>
            <w:r>
              <w:rPr>
                <w:rFonts w:ascii="Arial" w:eastAsia="Times New Roman" w:hAnsi="Arial" w:cs="Arial"/>
              </w:rPr>
              <w:t>(</w:t>
            </w:r>
            <w:r w:rsidR="00AD1DC4">
              <w:rPr>
                <w:rFonts w:ascii="Arial" w:eastAsia="Times New Roman" w:hAnsi="Arial" w:cs="Arial"/>
              </w:rPr>
              <w:t>23,78</w:t>
            </w:r>
            <w:r>
              <w:rPr>
                <w:rFonts w:ascii="Arial" w:eastAsia="Times New Roman" w:hAnsi="Arial" w:cs="Arial"/>
              </w:rPr>
              <w:t>)</w:t>
            </w:r>
          </w:p>
        </w:tc>
        <w:tc>
          <w:tcPr>
            <w:tcW w:w="2420" w:type="dxa"/>
          </w:tcPr>
          <w:p w14:paraId="20F24C33" w14:textId="77777777" w:rsidR="00D12B48" w:rsidRPr="00D12B48" w:rsidRDefault="00D12B48" w:rsidP="00F755A8">
            <w:pPr>
              <w:spacing w:line="480" w:lineRule="auto"/>
              <w:jc w:val="center"/>
              <w:rPr>
                <w:rFonts w:ascii="Arial" w:eastAsia="Times New Roman" w:hAnsi="Arial" w:cs="Arial"/>
              </w:rPr>
            </w:pPr>
            <w:r w:rsidRPr="00D12B48">
              <w:rPr>
                <w:rFonts w:ascii="Arial" w:eastAsia="Times New Roman" w:hAnsi="Arial" w:cs="Arial"/>
              </w:rPr>
              <w:t>42</w:t>
            </w:r>
          </w:p>
          <w:p w14:paraId="1C135E08" w14:textId="07C0DBEE" w:rsidR="006957B4" w:rsidRDefault="004B7BB4" w:rsidP="00F755A8">
            <w:pPr>
              <w:spacing w:line="480" w:lineRule="auto"/>
              <w:jc w:val="center"/>
              <w:rPr>
                <w:rFonts w:ascii="Arial" w:eastAsia="Times New Roman" w:hAnsi="Arial" w:cs="Arial"/>
              </w:rPr>
            </w:pPr>
            <w:r>
              <w:rPr>
                <w:rFonts w:ascii="Arial" w:eastAsia="Times New Roman" w:hAnsi="Arial" w:cs="Arial"/>
              </w:rPr>
              <w:t>(</w:t>
            </w:r>
            <w:r w:rsidR="00D12B48">
              <w:rPr>
                <w:rFonts w:ascii="Arial" w:eastAsia="Times New Roman" w:hAnsi="Arial" w:cs="Arial"/>
              </w:rPr>
              <w:t>33, 56</w:t>
            </w:r>
            <w:r>
              <w:rPr>
                <w:rFonts w:ascii="Arial" w:eastAsia="Times New Roman" w:hAnsi="Arial" w:cs="Arial"/>
              </w:rPr>
              <w:t>)</w:t>
            </w:r>
          </w:p>
        </w:tc>
      </w:tr>
      <w:tr w:rsidR="00565B0E" w14:paraId="66D8CDA2" w14:textId="77777777" w:rsidTr="005915E5">
        <w:trPr>
          <w:trHeight w:val="454"/>
        </w:trPr>
        <w:tc>
          <w:tcPr>
            <w:tcW w:w="2592" w:type="dxa"/>
          </w:tcPr>
          <w:p w14:paraId="26F9D109" w14:textId="54A77CAC" w:rsidR="00565B0E" w:rsidRPr="00565B0E" w:rsidRDefault="00565B0E" w:rsidP="00F755A8">
            <w:pPr>
              <w:spacing w:line="480" w:lineRule="auto"/>
              <w:rPr>
                <w:rFonts w:ascii="Arial" w:eastAsia="Times New Roman" w:hAnsi="Arial" w:cs="Arial"/>
                <w:b/>
                <w:bCs/>
              </w:rPr>
            </w:pPr>
            <w:r>
              <w:rPr>
                <w:rFonts w:ascii="Arial" w:eastAsia="Times New Roman" w:hAnsi="Arial" w:cs="Arial"/>
                <w:b/>
                <w:bCs/>
              </w:rPr>
              <w:t>Female</w:t>
            </w:r>
            <w:r w:rsidR="00B7706D">
              <w:rPr>
                <w:rFonts w:ascii="Arial" w:eastAsia="Times New Roman" w:hAnsi="Arial" w:cs="Arial"/>
                <w:b/>
                <w:bCs/>
              </w:rPr>
              <w:t>, n (%)</w:t>
            </w:r>
          </w:p>
        </w:tc>
        <w:tc>
          <w:tcPr>
            <w:tcW w:w="2420" w:type="dxa"/>
          </w:tcPr>
          <w:p w14:paraId="58D51C10" w14:textId="4D08193E" w:rsidR="00565B0E" w:rsidRPr="006957B4" w:rsidRDefault="00B7706D" w:rsidP="00F755A8">
            <w:pPr>
              <w:spacing w:line="480" w:lineRule="auto"/>
              <w:jc w:val="center"/>
              <w:rPr>
                <w:rFonts w:ascii="Arial" w:eastAsia="Times New Roman" w:hAnsi="Arial" w:cs="Arial"/>
              </w:rPr>
            </w:pPr>
            <w:r>
              <w:rPr>
                <w:rFonts w:ascii="Arial" w:eastAsia="Times New Roman" w:hAnsi="Arial" w:cs="Arial"/>
              </w:rPr>
              <w:t>8 (57.1)</w:t>
            </w:r>
          </w:p>
        </w:tc>
        <w:tc>
          <w:tcPr>
            <w:tcW w:w="2420" w:type="dxa"/>
          </w:tcPr>
          <w:p w14:paraId="02A281D6" w14:textId="60B60466" w:rsidR="00565B0E" w:rsidRDefault="00B7706D" w:rsidP="00F755A8">
            <w:pPr>
              <w:spacing w:line="480" w:lineRule="auto"/>
              <w:jc w:val="center"/>
              <w:rPr>
                <w:rFonts w:ascii="Arial" w:eastAsia="Times New Roman" w:hAnsi="Arial" w:cs="Arial"/>
              </w:rPr>
            </w:pPr>
            <w:r>
              <w:rPr>
                <w:rFonts w:ascii="Arial" w:eastAsia="Times New Roman" w:hAnsi="Arial" w:cs="Arial"/>
              </w:rPr>
              <w:t>4 (57.1)</w:t>
            </w:r>
          </w:p>
        </w:tc>
        <w:tc>
          <w:tcPr>
            <w:tcW w:w="2420" w:type="dxa"/>
          </w:tcPr>
          <w:p w14:paraId="2F5B9110" w14:textId="1BC602B6" w:rsidR="00565B0E" w:rsidRPr="00D12B48" w:rsidRDefault="00B7706D" w:rsidP="00F755A8">
            <w:pPr>
              <w:spacing w:line="480" w:lineRule="auto"/>
              <w:jc w:val="center"/>
              <w:rPr>
                <w:rFonts w:ascii="Arial" w:eastAsia="Times New Roman" w:hAnsi="Arial" w:cs="Arial"/>
              </w:rPr>
            </w:pPr>
            <w:r>
              <w:rPr>
                <w:rFonts w:ascii="Arial" w:eastAsia="Times New Roman" w:hAnsi="Arial" w:cs="Arial"/>
              </w:rPr>
              <w:t>4 (57.1)</w:t>
            </w:r>
          </w:p>
        </w:tc>
      </w:tr>
      <w:tr w:rsidR="00781B05" w14:paraId="373FF180" w14:textId="77777777" w:rsidTr="005915E5">
        <w:trPr>
          <w:trHeight w:val="454"/>
        </w:trPr>
        <w:tc>
          <w:tcPr>
            <w:tcW w:w="2592" w:type="dxa"/>
          </w:tcPr>
          <w:p w14:paraId="2ECB4C7A" w14:textId="429C4B56" w:rsidR="00781B05" w:rsidRDefault="00781B05" w:rsidP="00F755A8">
            <w:pPr>
              <w:spacing w:line="480" w:lineRule="auto"/>
              <w:rPr>
                <w:rFonts w:ascii="Arial" w:eastAsia="Times New Roman" w:hAnsi="Arial" w:cs="Arial"/>
                <w:b/>
                <w:bCs/>
              </w:rPr>
            </w:pPr>
            <w:r>
              <w:rPr>
                <w:rFonts w:ascii="Arial" w:eastAsia="Times New Roman" w:hAnsi="Arial" w:cs="Arial"/>
                <w:b/>
                <w:bCs/>
              </w:rPr>
              <w:t>ANA</w:t>
            </w:r>
            <w:r w:rsidR="00475759">
              <w:rPr>
                <w:rFonts w:ascii="Arial" w:eastAsia="Times New Roman" w:hAnsi="Arial" w:cs="Arial"/>
                <w:b/>
                <w:bCs/>
                <w:vertAlign w:val="superscript"/>
              </w:rPr>
              <w:t>2</w:t>
            </w:r>
            <w:r>
              <w:rPr>
                <w:rFonts w:ascii="Arial" w:eastAsia="Times New Roman" w:hAnsi="Arial" w:cs="Arial"/>
                <w:b/>
                <w:bCs/>
              </w:rPr>
              <w:t>, n (%)</w:t>
            </w:r>
          </w:p>
        </w:tc>
        <w:tc>
          <w:tcPr>
            <w:tcW w:w="2420" w:type="dxa"/>
          </w:tcPr>
          <w:p w14:paraId="4841C0C8" w14:textId="642F700A" w:rsidR="00781B05" w:rsidRPr="006957B4" w:rsidRDefault="00781B05" w:rsidP="00F755A8">
            <w:pPr>
              <w:spacing w:line="480" w:lineRule="auto"/>
              <w:jc w:val="center"/>
              <w:rPr>
                <w:rFonts w:ascii="Arial" w:eastAsia="Times New Roman" w:hAnsi="Arial" w:cs="Arial"/>
              </w:rPr>
            </w:pPr>
            <w:r>
              <w:rPr>
                <w:rFonts w:ascii="Arial" w:eastAsia="Times New Roman" w:hAnsi="Arial" w:cs="Arial"/>
              </w:rPr>
              <w:t>14 (100)</w:t>
            </w:r>
          </w:p>
        </w:tc>
        <w:tc>
          <w:tcPr>
            <w:tcW w:w="2420" w:type="dxa"/>
          </w:tcPr>
          <w:p w14:paraId="1D8D980B" w14:textId="5B976846" w:rsidR="00781B05" w:rsidRDefault="00781B05" w:rsidP="00F755A8">
            <w:pPr>
              <w:spacing w:line="480" w:lineRule="auto"/>
              <w:jc w:val="center"/>
              <w:rPr>
                <w:rFonts w:ascii="Arial" w:eastAsia="Times New Roman" w:hAnsi="Arial" w:cs="Arial"/>
              </w:rPr>
            </w:pPr>
            <w:r>
              <w:rPr>
                <w:rFonts w:ascii="Arial" w:eastAsia="Times New Roman" w:hAnsi="Arial" w:cs="Arial"/>
              </w:rPr>
              <w:t>7 (100)</w:t>
            </w:r>
          </w:p>
        </w:tc>
        <w:tc>
          <w:tcPr>
            <w:tcW w:w="2420" w:type="dxa"/>
          </w:tcPr>
          <w:p w14:paraId="5C0E9A3D" w14:textId="13CBD857" w:rsidR="00781B05" w:rsidRPr="00D12B48" w:rsidRDefault="00781B05" w:rsidP="00F755A8">
            <w:pPr>
              <w:spacing w:line="480" w:lineRule="auto"/>
              <w:jc w:val="center"/>
              <w:rPr>
                <w:rFonts w:ascii="Arial" w:eastAsia="Times New Roman" w:hAnsi="Arial" w:cs="Arial"/>
              </w:rPr>
            </w:pPr>
            <w:r>
              <w:rPr>
                <w:rFonts w:ascii="Arial" w:eastAsia="Times New Roman" w:hAnsi="Arial" w:cs="Arial"/>
              </w:rPr>
              <w:t>7 (100)</w:t>
            </w:r>
          </w:p>
        </w:tc>
      </w:tr>
      <w:tr w:rsidR="0008376E" w14:paraId="0AC0A54D" w14:textId="77777777" w:rsidTr="005915E5">
        <w:trPr>
          <w:trHeight w:val="454"/>
        </w:trPr>
        <w:tc>
          <w:tcPr>
            <w:tcW w:w="2592" w:type="dxa"/>
          </w:tcPr>
          <w:p w14:paraId="490F7FB6" w14:textId="474991B3" w:rsidR="0008376E" w:rsidRPr="0008376E" w:rsidRDefault="0008376E" w:rsidP="00F755A8">
            <w:pPr>
              <w:spacing w:line="480" w:lineRule="auto"/>
              <w:rPr>
                <w:rFonts w:ascii="Arial" w:eastAsia="Times New Roman" w:hAnsi="Arial" w:cs="Arial"/>
                <w:b/>
                <w:bCs/>
              </w:rPr>
            </w:pPr>
            <w:r>
              <w:rPr>
                <w:rFonts w:ascii="Arial" w:eastAsia="Times New Roman" w:hAnsi="Arial" w:cs="Arial"/>
                <w:b/>
                <w:bCs/>
              </w:rPr>
              <w:t>C3</w:t>
            </w:r>
            <w:r w:rsidR="005915E5">
              <w:rPr>
                <w:rFonts w:ascii="Arial" w:eastAsia="Times New Roman" w:hAnsi="Arial" w:cs="Arial"/>
                <w:b/>
                <w:bCs/>
              </w:rPr>
              <w:t xml:space="preserve"> (g/l)</w:t>
            </w:r>
          </w:p>
        </w:tc>
        <w:tc>
          <w:tcPr>
            <w:tcW w:w="2420" w:type="dxa"/>
          </w:tcPr>
          <w:p w14:paraId="72A355D6" w14:textId="1AEDDA92" w:rsidR="0008376E" w:rsidRPr="006957B4" w:rsidRDefault="0008376E" w:rsidP="00F755A8">
            <w:pPr>
              <w:spacing w:line="480" w:lineRule="auto"/>
              <w:jc w:val="center"/>
              <w:rPr>
                <w:rFonts w:ascii="Arial" w:eastAsia="Times New Roman" w:hAnsi="Arial" w:cs="Arial"/>
              </w:rPr>
            </w:pPr>
            <w:r w:rsidRPr="0008376E">
              <w:rPr>
                <w:rFonts w:ascii="Arial" w:eastAsia="Times New Roman" w:hAnsi="Arial" w:cs="Arial"/>
              </w:rPr>
              <w:t>0.703</w:t>
            </w:r>
            <w:r>
              <w:rPr>
                <w:rFonts w:ascii="Arial" w:eastAsia="Times New Roman" w:hAnsi="Arial" w:cs="Arial"/>
              </w:rPr>
              <w:t xml:space="preserve"> </w:t>
            </w:r>
            <w:r w:rsidRPr="006957B4">
              <w:rPr>
                <w:rFonts w:ascii="Arial" w:eastAsia="Times New Roman" w:hAnsi="Arial" w:cs="Arial"/>
              </w:rPr>
              <w:t>±</w:t>
            </w:r>
            <w:r>
              <w:rPr>
                <w:rFonts w:ascii="Arial" w:eastAsia="Times New Roman" w:hAnsi="Arial" w:cs="Arial"/>
              </w:rPr>
              <w:t xml:space="preserve"> </w:t>
            </w:r>
            <w:r w:rsidRPr="0008376E">
              <w:rPr>
                <w:rFonts w:ascii="Arial" w:eastAsia="Times New Roman" w:hAnsi="Arial" w:cs="Arial"/>
              </w:rPr>
              <w:t>0.241</w:t>
            </w:r>
          </w:p>
        </w:tc>
        <w:tc>
          <w:tcPr>
            <w:tcW w:w="2420" w:type="dxa"/>
          </w:tcPr>
          <w:p w14:paraId="7F20E215" w14:textId="1EC9AF6C" w:rsidR="0008376E" w:rsidRDefault="003C1C03" w:rsidP="00F755A8">
            <w:pPr>
              <w:spacing w:line="480" w:lineRule="auto"/>
              <w:jc w:val="center"/>
              <w:rPr>
                <w:rFonts w:ascii="Arial" w:eastAsia="Times New Roman" w:hAnsi="Arial" w:cs="Arial"/>
              </w:rPr>
            </w:pPr>
            <w:r w:rsidRPr="003C1C03">
              <w:rPr>
                <w:rFonts w:ascii="Arial" w:eastAsia="Times New Roman" w:hAnsi="Arial" w:cs="Arial"/>
              </w:rPr>
              <w:t>0.737</w:t>
            </w:r>
            <w:r>
              <w:rPr>
                <w:rFonts w:ascii="Arial" w:eastAsia="Times New Roman" w:hAnsi="Arial" w:cs="Arial"/>
              </w:rPr>
              <w:t xml:space="preserve"> </w:t>
            </w:r>
            <w:r w:rsidR="0008376E" w:rsidRPr="006957B4">
              <w:rPr>
                <w:rFonts w:ascii="Arial" w:eastAsia="Times New Roman" w:hAnsi="Arial" w:cs="Arial"/>
              </w:rPr>
              <w:t>±</w:t>
            </w:r>
            <w:r>
              <w:rPr>
                <w:rFonts w:ascii="Arial" w:eastAsia="Times New Roman" w:hAnsi="Arial" w:cs="Arial"/>
              </w:rPr>
              <w:t xml:space="preserve"> </w:t>
            </w:r>
            <w:r w:rsidRPr="003C1C03">
              <w:rPr>
                <w:rFonts w:ascii="Arial" w:eastAsia="Times New Roman" w:hAnsi="Arial" w:cs="Arial"/>
              </w:rPr>
              <w:t>0.275</w:t>
            </w:r>
          </w:p>
        </w:tc>
        <w:tc>
          <w:tcPr>
            <w:tcW w:w="2420" w:type="dxa"/>
          </w:tcPr>
          <w:p w14:paraId="2B8E3CD6" w14:textId="53464FDD" w:rsidR="0008376E" w:rsidRPr="00D12B48" w:rsidRDefault="003C1C03" w:rsidP="00F755A8">
            <w:pPr>
              <w:spacing w:line="480" w:lineRule="auto"/>
              <w:jc w:val="center"/>
              <w:rPr>
                <w:rFonts w:ascii="Arial" w:eastAsia="Times New Roman" w:hAnsi="Arial" w:cs="Arial"/>
              </w:rPr>
            </w:pPr>
            <w:r w:rsidRPr="003C1C03">
              <w:rPr>
                <w:rFonts w:ascii="Arial" w:eastAsia="Times New Roman" w:hAnsi="Arial" w:cs="Arial"/>
              </w:rPr>
              <w:t>0.669</w:t>
            </w:r>
            <w:r>
              <w:rPr>
                <w:rFonts w:ascii="Arial" w:eastAsia="Times New Roman" w:hAnsi="Arial" w:cs="Arial"/>
              </w:rPr>
              <w:t xml:space="preserve"> </w:t>
            </w:r>
            <w:r w:rsidR="0008376E" w:rsidRPr="006957B4">
              <w:rPr>
                <w:rFonts w:ascii="Arial" w:eastAsia="Times New Roman" w:hAnsi="Arial" w:cs="Arial"/>
              </w:rPr>
              <w:t>±</w:t>
            </w:r>
            <w:r>
              <w:rPr>
                <w:rFonts w:ascii="Arial" w:eastAsia="Times New Roman" w:hAnsi="Arial" w:cs="Arial"/>
              </w:rPr>
              <w:t xml:space="preserve"> </w:t>
            </w:r>
            <w:r w:rsidRPr="003C1C03">
              <w:rPr>
                <w:rFonts w:ascii="Arial" w:eastAsia="Times New Roman" w:hAnsi="Arial" w:cs="Arial"/>
              </w:rPr>
              <w:t>0.241</w:t>
            </w:r>
          </w:p>
        </w:tc>
      </w:tr>
      <w:tr w:rsidR="003C1C03" w14:paraId="257FC047" w14:textId="77777777" w:rsidTr="005915E5">
        <w:trPr>
          <w:trHeight w:val="454"/>
        </w:trPr>
        <w:tc>
          <w:tcPr>
            <w:tcW w:w="2592" w:type="dxa"/>
          </w:tcPr>
          <w:p w14:paraId="218D4810" w14:textId="60D762EB" w:rsidR="003C1C03" w:rsidRDefault="003C1C03" w:rsidP="00F755A8">
            <w:pPr>
              <w:spacing w:line="480" w:lineRule="auto"/>
              <w:rPr>
                <w:rFonts w:ascii="Arial" w:eastAsia="Times New Roman" w:hAnsi="Arial" w:cs="Arial"/>
                <w:b/>
                <w:bCs/>
              </w:rPr>
            </w:pPr>
            <w:r>
              <w:rPr>
                <w:rFonts w:ascii="Arial" w:eastAsia="Times New Roman" w:hAnsi="Arial" w:cs="Arial"/>
                <w:b/>
                <w:bCs/>
              </w:rPr>
              <w:t>C4</w:t>
            </w:r>
            <w:r w:rsidR="005915E5">
              <w:rPr>
                <w:rFonts w:ascii="Arial" w:eastAsia="Times New Roman" w:hAnsi="Arial" w:cs="Arial"/>
                <w:b/>
                <w:bCs/>
              </w:rPr>
              <w:t xml:space="preserve"> (g/l)</w:t>
            </w:r>
          </w:p>
        </w:tc>
        <w:tc>
          <w:tcPr>
            <w:tcW w:w="2420" w:type="dxa"/>
          </w:tcPr>
          <w:p w14:paraId="4412525F" w14:textId="09141B84" w:rsidR="003C1C03" w:rsidRPr="0008376E" w:rsidRDefault="003C1C03" w:rsidP="00F755A8">
            <w:pPr>
              <w:spacing w:line="480" w:lineRule="auto"/>
              <w:jc w:val="center"/>
              <w:rPr>
                <w:rFonts w:ascii="Arial" w:eastAsia="Times New Roman" w:hAnsi="Arial" w:cs="Arial"/>
              </w:rPr>
            </w:pPr>
            <w:r w:rsidRPr="003C1C03">
              <w:rPr>
                <w:rFonts w:ascii="Arial" w:eastAsia="Times New Roman" w:hAnsi="Arial" w:cs="Arial"/>
              </w:rPr>
              <w:t>0.133</w:t>
            </w:r>
            <w:r>
              <w:rPr>
                <w:rFonts w:ascii="Arial" w:eastAsia="Times New Roman" w:hAnsi="Arial" w:cs="Arial"/>
              </w:rPr>
              <w:t xml:space="preserve"> </w:t>
            </w:r>
            <w:r w:rsidRPr="006957B4">
              <w:rPr>
                <w:rFonts w:ascii="Arial" w:eastAsia="Times New Roman" w:hAnsi="Arial" w:cs="Arial"/>
              </w:rPr>
              <w:t>±</w:t>
            </w:r>
            <w:r>
              <w:rPr>
                <w:rFonts w:ascii="Arial" w:eastAsia="Times New Roman" w:hAnsi="Arial" w:cs="Arial"/>
              </w:rPr>
              <w:t xml:space="preserve"> </w:t>
            </w:r>
            <w:r w:rsidRPr="003C1C03">
              <w:rPr>
                <w:rFonts w:ascii="Arial" w:eastAsia="Times New Roman" w:hAnsi="Arial" w:cs="Arial"/>
              </w:rPr>
              <w:t>0.095</w:t>
            </w:r>
          </w:p>
        </w:tc>
        <w:tc>
          <w:tcPr>
            <w:tcW w:w="2420" w:type="dxa"/>
          </w:tcPr>
          <w:p w14:paraId="0DEEE812" w14:textId="6D04B467" w:rsidR="003C1C03" w:rsidRPr="003C1C03" w:rsidRDefault="003C1C03" w:rsidP="00F755A8">
            <w:pPr>
              <w:spacing w:line="480" w:lineRule="auto"/>
              <w:jc w:val="center"/>
              <w:rPr>
                <w:rFonts w:ascii="Arial" w:eastAsia="Times New Roman" w:hAnsi="Arial" w:cs="Arial"/>
              </w:rPr>
            </w:pPr>
            <w:r w:rsidRPr="003C1C03">
              <w:rPr>
                <w:rFonts w:ascii="Arial" w:eastAsia="Times New Roman" w:hAnsi="Arial" w:cs="Arial"/>
              </w:rPr>
              <w:t>0.133</w:t>
            </w:r>
            <w:r>
              <w:rPr>
                <w:rFonts w:ascii="Arial" w:eastAsia="Times New Roman" w:hAnsi="Arial" w:cs="Arial"/>
              </w:rPr>
              <w:t xml:space="preserve"> </w:t>
            </w:r>
            <w:r w:rsidRPr="006957B4">
              <w:rPr>
                <w:rFonts w:ascii="Arial" w:eastAsia="Times New Roman" w:hAnsi="Arial" w:cs="Arial"/>
              </w:rPr>
              <w:t>±</w:t>
            </w:r>
            <w:r>
              <w:rPr>
                <w:rFonts w:ascii="Arial" w:eastAsia="Times New Roman" w:hAnsi="Arial" w:cs="Arial"/>
              </w:rPr>
              <w:t xml:space="preserve"> </w:t>
            </w:r>
            <w:r w:rsidRPr="003C1C03">
              <w:rPr>
                <w:rFonts w:ascii="Arial" w:eastAsia="Times New Roman" w:hAnsi="Arial" w:cs="Arial"/>
              </w:rPr>
              <w:t>0.066</w:t>
            </w:r>
          </w:p>
        </w:tc>
        <w:tc>
          <w:tcPr>
            <w:tcW w:w="2420" w:type="dxa"/>
          </w:tcPr>
          <w:p w14:paraId="2149C10C" w14:textId="742AE2A2" w:rsidR="003C1C03" w:rsidRPr="003C1C03" w:rsidRDefault="003C1C03" w:rsidP="00F755A8">
            <w:pPr>
              <w:spacing w:line="480" w:lineRule="auto"/>
              <w:jc w:val="center"/>
              <w:rPr>
                <w:rFonts w:ascii="Arial" w:eastAsia="Times New Roman" w:hAnsi="Arial" w:cs="Arial"/>
              </w:rPr>
            </w:pPr>
            <w:r w:rsidRPr="003C1C03">
              <w:rPr>
                <w:rFonts w:ascii="Arial" w:eastAsia="Times New Roman" w:hAnsi="Arial" w:cs="Arial"/>
              </w:rPr>
              <w:t>0.161</w:t>
            </w:r>
            <w:r>
              <w:rPr>
                <w:rFonts w:ascii="Arial" w:eastAsia="Times New Roman" w:hAnsi="Arial" w:cs="Arial"/>
              </w:rPr>
              <w:t xml:space="preserve"> </w:t>
            </w:r>
            <w:r w:rsidRPr="006957B4">
              <w:rPr>
                <w:rFonts w:ascii="Arial" w:eastAsia="Times New Roman" w:hAnsi="Arial" w:cs="Arial"/>
              </w:rPr>
              <w:t>±</w:t>
            </w:r>
            <w:r>
              <w:rPr>
                <w:rFonts w:ascii="Arial" w:eastAsia="Times New Roman" w:hAnsi="Arial" w:cs="Arial"/>
              </w:rPr>
              <w:t xml:space="preserve"> </w:t>
            </w:r>
            <w:r w:rsidRPr="003C1C03">
              <w:rPr>
                <w:rFonts w:ascii="Arial" w:eastAsia="Times New Roman" w:hAnsi="Arial" w:cs="Arial"/>
              </w:rPr>
              <w:t>0.130</w:t>
            </w:r>
          </w:p>
        </w:tc>
      </w:tr>
      <w:tr w:rsidR="00AD1DC4" w14:paraId="7ED6A599" w14:textId="77777777" w:rsidTr="005915E5">
        <w:trPr>
          <w:trHeight w:val="454"/>
        </w:trPr>
        <w:tc>
          <w:tcPr>
            <w:tcW w:w="2592" w:type="dxa"/>
          </w:tcPr>
          <w:p w14:paraId="50E1B2E3" w14:textId="340BEE57" w:rsidR="00AD1DC4" w:rsidRPr="00D12B48" w:rsidRDefault="00DD7931" w:rsidP="00F755A8">
            <w:pPr>
              <w:spacing w:line="480" w:lineRule="auto"/>
              <w:rPr>
                <w:rFonts w:ascii="Arial" w:eastAsia="Times New Roman" w:hAnsi="Arial" w:cs="Arial"/>
                <w:b/>
                <w:bCs/>
              </w:rPr>
            </w:pPr>
            <w:r>
              <w:rPr>
                <w:rFonts w:ascii="Arial" w:eastAsia="Times New Roman" w:hAnsi="Arial" w:cs="Arial"/>
                <w:b/>
                <w:bCs/>
              </w:rPr>
              <w:t>SLEDAI-2K</w:t>
            </w:r>
            <w:r w:rsidR="00222D06">
              <w:rPr>
                <w:rFonts w:ascii="Arial" w:eastAsia="Times New Roman" w:hAnsi="Arial" w:cs="Arial"/>
                <w:b/>
                <w:bCs/>
              </w:rPr>
              <w:t xml:space="preserve"> score</w:t>
            </w:r>
          </w:p>
        </w:tc>
        <w:tc>
          <w:tcPr>
            <w:tcW w:w="2420" w:type="dxa"/>
          </w:tcPr>
          <w:p w14:paraId="7D988886" w14:textId="7498F3E9" w:rsidR="00AD1DC4" w:rsidRPr="006957B4" w:rsidRDefault="00DD7931" w:rsidP="00F755A8">
            <w:pPr>
              <w:spacing w:line="480" w:lineRule="auto"/>
              <w:jc w:val="center"/>
              <w:rPr>
                <w:rFonts w:ascii="Arial" w:eastAsia="Times New Roman" w:hAnsi="Arial" w:cs="Arial"/>
              </w:rPr>
            </w:pPr>
            <w:r w:rsidRPr="00DD7931">
              <w:rPr>
                <w:rFonts w:ascii="Arial" w:eastAsia="Times New Roman" w:hAnsi="Arial" w:cs="Arial"/>
              </w:rPr>
              <w:t>7.79</w:t>
            </w:r>
            <w:r>
              <w:rPr>
                <w:rFonts w:ascii="Arial" w:eastAsia="Times New Roman" w:hAnsi="Arial" w:cs="Arial"/>
              </w:rPr>
              <w:t xml:space="preserve"> </w:t>
            </w:r>
            <w:r w:rsidRPr="006957B4">
              <w:rPr>
                <w:rFonts w:ascii="Arial" w:eastAsia="Times New Roman" w:hAnsi="Arial" w:cs="Arial"/>
              </w:rPr>
              <w:t>±</w:t>
            </w:r>
            <w:r>
              <w:rPr>
                <w:rFonts w:ascii="Arial" w:eastAsia="Times New Roman" w:hAnsi="Arial" w:cs="Arial"/>
              </w:rPr>
              <w:t xml:space="preserve"> </w:t>
            </w:r>
            <w:r w:rsidRPr="00DD7931">
              <w:rPr>
                <w:rFonts w:ascii="Arial" w:eastAsia="Times New Roman" w:hAnsi="Arial" w:cs="Arial"/>
              </w:rPr>
              <w:t>7.23</w:t>
            </w:r>
          </w:p>
        </w:tc>
        <w:tc>
          <w:tcPr>
            <w:tcW w:w="2420" w:type="dxa"/>
          </w:tcPr>
          <w:p w14:paraId="5FBA899E" w14:textId="7DE497CF" w:rsidR="00AD1DC4" w:rsidRDefault="00F4027B" w:rsidP="00F755A8">
            <w:pPr>
              <w:spacing w:line="480" w:lineRule="auto"/>
              <w:jc w:val="center"/>
              <w:rPr>
                <w:rFonts w:ascii="Arial" w:eastAsia="Times New Roman" w:hAnsi="Arial" w:cs="Arial"/>
              </w:rPr>
            </w:pPr>
            <w:r w:rsidRPr="00F4027B">
              <w:rPr>
                <w:rFonts w:ascii="Arial" w:eastAsia="Times New Roman" w:hAnsi="Arial" w:cs="Arial"/>
              </w:rPr>
              <w:t>12.14</w:t>
            </w:r>
            <w:r>
              <w:rPr>
                <w:rFonts w:ascii="Arial" w:eastAsia="Times New Roman" w:hAnsi="Arial" w:cs="Arial"/>
              </w:rPr>
              <w:t xml:space="preserve"> </w:t>
            </w:r>
            <w:r w:rsidRPr="006957B4">
              <w:rPr>
                <w:rFonts w:ascii="Arial" w:eastAsia="Times New Roman" w:hAnsi="Arial" w:cs="Arial"/>
              </w:rPr>
              <w:t>±</w:t>
            </w:r>
            <w:r>
              <w:rPr>
                <w:rFonts w:ascii="Arial" w:eastAsia="Times New Roman" w:hAnsi="Arial" w:cs="Arial"/>
              </w:rPr>
              <w:t xml:space="preserve"> </w:t>
            </w:r>
            <w:r w:rsidRPr="00F4027B">
              <w:rPr>
                <w:rFonts w:ascii="Arial" w:eastAsia="Times New Roman" w:hAnsi="Arial" w:cs="Arial"/>
              </w:rPr>
              <w:t>4.60</w:t>
            </w:r>
          </w:p>
        </w:tc>
        <w:tc>
          <w:tcPr>
            <w:tcW w:w="2420" w:type="dxa"/>
          </w:tcPr>
          <w:p w14:paraId="123E65DE" w14:textId="08FBA159" w:rsidR="00AD1DC4" w:rsidRDefault="0008376E" w:rsidP="00F755A8">
            <w:pPr>
              <w:spacing w:line="480" w:lineRule="auto"/>
              <w:jc w:val="center"/>
              <w:rPr>
                <w:rFonts w:ascii="Arial" w:eastAsia="Times New Roman" w:hAnsi="Arial" w:cs="Arial"/>
              </w:rPr>
            </w:pPr>
            <w:r w:rsidRPr="0008376E">
              <w:rPr>
                <w:rFonts w:ascii="Arial" w:eastAsia="Times New Roman" w:hAnsi="Arial" w:cs="Arial"/>
              </w:rPr>
              <w:t>3.43</w:t>
            </w:r>
            <w:r>
              <w:rPr>
                <w:rFonts w:ascii="Arial" w:eastAsia="Times New Roman" w:hAnsi="Arial" w:cs="Arial"/>
              </w:rPr>
              <w:t xml:space="preserve"> </w:t>
            </w:r>
            <w:r w:rsidRPr="006957B4">
              <w:rPr>
                <w:rFonts w:ascii="Arial" w:eastAsia="Times New Roman" w:hAnsi="Arial" w:cs="Arial"/>
              </w:rPr>
              <w:t>±</w:t>
            </w:r>
            <w:r>
              <w:rPr>
                <w:rFonts w:ascii="Arial" w:eastAsia="Times New Roman" w:hAnsi="Arial" w:cs="Arial"/>
              </w:rPr>
              <w:t xml:space="preserve"> </w:t>
            </w:r>
            <w:r w:rsidRPr="0008376E">
              <w:rPr>
                <w:rFonts w:ascii="Arial" w:eastAsia="Times New Roman" w:hAnsi="Arial" w:cs="Arial"/>
              </w:rPr>
              <w:t>1.13</w:t>
            </w:r>
          </w:p>
        </w:tc>
      </w:tr>
      <w:tr w:rsidR="0008376E" w14:paraId="662745BF" w14:textId="77777777" w:rsidTr="005915E5">
        <w:trPr>
          <w:trHeight w:val="440"/>
        </w:trPr>
        <w:tc>
          <w:tcPr>
            <w:tcW w:w="2592" w:type="dxa"/>
          </w:tcPr>
          <w:p w14:paraId="03C7A8D6" w14:textId="22E4A008" w:rsidR="0008376E" w:rsidRDefault="005915E5" w:rsidP="00F755A8">
            <w:pPr>
              <w:spacing w:line="480" w:lineRule="auto"/>
              <w:rPr>
                <w:rFonts w:ascii="Arial" w:eastAsia="Times New Roman" w:hAnsi="Arial" w:cs="Arial"/>
                <w:b/>
                <w:bCs/>
              </w:rPr>
            </w:pPr>
            <w:r w:rsidRPr="005915E5">
              <w:rPr>
                <w:rFonts w:ascii="Arial" w:eastAsia="Times New Roman" w:hAnsi="Arial" w:cs="Arial"/>
                <w:b/>
                <w:bCs/>
              </w:rPr>
              <w:t>Anti-dsDNA</w:t>
            </w:r>
            <w:r w:rsidR="00C525C0">
              <w:rPr>
                <w:rFonts w:ascii="Arial" w:eastAsia="Times New Roman" w:hAnsi="Arial" w:cs="Arial"/>
                <w:b/>
                <w:bCs/>
              </w:rPr>
              <w:t>, n</w:t>
            </w:r>
            <w:r w:rsidR="00447259">
              <w:rPr>
                <w:rFonts w:ascii="Arial" w:eastAsia="Times New Roman" w:hAnsi="Arial" w:cs="Arial"/>
                <w:b/>
                <w:bCs/>
              </w:rPr>
              <w:t xml:space="preserve"> </w:t>
            </w:r>
            <w:r w:rsidR="00C525C0">
              <w:rPr>
                <w:rFonts w:ascii="Arial" w:eastAsia="Times New Roman" w:hAnsi="Arial" w:cs="Arial"/>
                <w:b/>
                <w:bCs/>
              </w:rPr>
              <w:t>(</w:t>
            </w:r>
            <w:r w:rsidR="00595831">
              <w:rPr>
                <w:rFonts w:ascii="Arial" w:eastAsia="Times New Roman" w:hAnsi="Arial" w:cs="Arial"/>
                <w:b/>
                <w:bCs/>
              </w:rPr>
              <w:t>%)</w:t>
            </w:r>
          </w:p>
        </w:tc>
        <w:tc>
          <w:tcPr>
            <w:tcW w:w="2420" w:type="dxa"/>
          </w:tcPr>
          <w:p w14:paraId="1DA4BE76" w14:textId="1C04C504" w:rsidR="0008376E" w:rsidRPr="00DD7931" w:rsidRDefault="005915E5" w:rsidP="00F755A8">
            <w:pPr>
              <w:spacing w:line="480" w:lineRule="auto"/>
              <w:jc w:val="center"/>
              <w:rPr>
                <w:rFonts w:ascii="Arial" w:eastAsia="Times New Roman" w:hAnsi="Arial" w:cs="Arial"/>
              </w:rPr>
            </w:pPr>
            <w:r>
              <w:rPr>
                <w:rFonts w:ascii="Arial" w:eastAsia="Times New Roman" w:hAnsi="Arial" w:cs="Arial"/>
              </w:rPr>
              <w:t>7</w:t>
            </w:r>
            <w:r w:rsidR="00C525C0">
              <w:rPr>
                <w:rFonts w:ascii="Arial" w:eastAsia="Times New Roman" w:hAnsi="Arial" w:cs="Arial"/>
              </w:rPr>
              <w:t xml:space="preserve"> (50)</w:t>
            </w:r>
          </w:p>
        </w:tc>
        <w:tc>
          <w:tcPr>
            <w:tcW w:w="2420" w:type="dxa"/>
          </w:tcPr>
          <w:p w14:paraId="542B687E" w14:textId="210007E3" w:rsidR="0008376E" w:rsidRPr="00F4027B" w:rsidRDefault="005915E5" w:rsidP="00F755A8">
            <w:pPr>
              <w:spacing w:line="480" w:lineRule="auto"/>
              <w:jc w:val="center"/>
              <w:rPr>
                <w:rFonts w:ascii="Arial" w:eastAsia="Times New Roman" w:hAnsi="Arial" w:cs="Arial"/>
              </w:rPr>
            </w:pPr>
            <w:r>
              <w:rPr>
                <w:rFonts w:ascii="Arial" w:eastAsia="Times New Roman" w:hAnsi="Arial" w:cs="Arial"/>
              </w:rPr>
              <w:t>4</w:t>
            </w:r>
            <w:r w:rsidR="00447259">
              <w:rPr>
                <w:rFonts w:ascii="Arial" w:eastAsia="Times New Roman" w:hAnsi="Arial" w:cs="Arial"/>
              </w:rPr>
              <w:t xml:space="preserve"> (57)</w:t>
            </w:r>
          </w:p>
        </w:tc>
        <w:tc>
          <w:tcPr>
            <w:tcW w:w="2420" w:type="dxa"/>
          </w:tcPr>
          <w:p w14:paraId="20548962" w14:textId="3F75895E" w:rsidR="0008376E" w:rsidRPr="0008376E" w:rsidRDefault="005915E5" w:rsidP="00F755A8">
            <w:pPr>
              <w:spacing w:line="480" w:lineRule="auto"/>
              <w:jc w:val="center"/>
              <w:rPr>
                <w:rFonts w:ascii="Arial" w:eastAsia="Times New Roman" w:hAnsi="Arial" w:cs="Arial"/>
              </w:rPr>
            </w:pPr>
            <w:r>
              <w:rPr>
                <w:rFonts w:ascii="Arial" w:eastAsia="Times New Roman" w:hAnsi="Arial" w:cs="Arial"/>
              </w:rPr>
              <w:t>3</w:t>
            </w:r>
            <w:r w:rsidR="00447259">
              <w:rPr>
                <w:rFonts w:ascii="Arial" w:eastAsia="Times New Roman" w:hAnsi="Arial" w:cs="Arial"/>
              </w:rPr>
              <w:t xml:space="preserve"> (43)</w:t>
            </w:r>
          </w:p>
        </w:tc>
      </w:tr>
      <w:tr w:rsidR="005915E5" w14:paraId="7A2B8A5E" w14:textId="77777777" w:rsidTr="005915E5">
        <w:trPr>
          <w:trHeight w:val="440"/>
        </w:trPr>
        <w:tc>
          <w:tcPr>
            <w:tcW w:w="2592" w:type="dxa"/>
          </w:tcPr>
          <w:p w14:paraId="6700AF3F" w14:textId="00ADD717" w:rsidR="005915E5" w:rsidRPr="005915E5" w:rsidRDefault="005915E5" w:rsidP="00F755A8">
            <w:pPr>
              <w:spacing w:line="480" w:lineRule="auto"/>
              <w:rPr>
                <w:rFonts w:ascii="Arial" w:eastAsia="Times New Roman" w:hAnsi="Arial" w:cs="Arial"/>
                <w:b/>
                <w:bCs/>
              </w:rPr>
            </w:pPr>
            <w:r w:rsidRPr="005915E5">
              <w:rPr>
                <w:rFonts w:ascii="Arial" w:eastAsia="Times New Roman" w:hAnsi="Arial" w:cs="Arial"/>
                <w:b/>
                <w:bCs/>
              </w:rPr>
              <w:t>Anti-RNP</w:t>
            </w:r>
            <w:r w:rsidR="006C2EDA">
              <w:rPr>
                <w:rFonts w:ascii="Arial" w:eastAsia="Times New Roman" w:hAnsi="Arial" w:cs="Arial"/>
                <w:b/>
                <w:bCs/>
              </w:rPr>
              <w:t>, n</w:t>
            </w:r>
            <w:r w:rsidR="00951941">
              <w:rPr>
                <w:rFonts w:ascii="Arial" w:eastAsia="Times New Roman" w:hAnsi="Arial" w:cs="Arial"/>
                <w:b/>
                <w:bCs/>
              </w:rPr>
              <w:t xml:space="preserve"> </w:t>
            </w:r>
            <w:r w:rsidR="006C2EDA">
              <w:rPr>
                <w:rFonts w:ascii="Arial" w:eastAsia="Times New Roman" w:hAnsi="Arial" w:cs="Arial"/>
                <w:b/>
                <w:bCs/>
              </w:rPr>
              <w:t>(%)</w:t>
            </w:r>
          </w:p>
        </w:tc>
        <w:tc>
          <w:tcPr>
            <w:tcW w:w="2420" w:type="dxa"/>
          </w:tcPr>
          <w:p w14:paraId="204FE179" w14:textId="38020495" w:rsidR="005915E5" w:rsidRDefault="001F3853" w:rsidP="00F755A8">
            <w:pPr>
              <w:spacing w:line="480" w:lineRule="auto"/>
              <w:jc w:val="center"/>
              <w:rPr>
                <w:rFonts w:ascii="Arial" w:eastAsia="Times New Roman" w:hAnsi="Arial" w:cs="Arial"/>
              </w:rPr>
            </w:pPr>
            <w:r>
              <w:rPr>
                <w:rFonts w:ascii="Arial" w:eastAsia="Times New Roman" w:hAnsi="Arial" w:cs="Arial"/>
              </w:rPr>
              <w:t>4</w:t>
            </w:r>
            <w:r w:rsidR="00617ECA">
              <w:rPr>
                <w:rFonts w:ascii="Arial" w:eastAsia="Times New Roman" w:hAnsi="Arial" w:cs="Arial"/>
              </w:rPr>
              <w:t xml:space="preserve"> (29)</w:t>
            </w:r>
          </w:p>
        </w:tc>
        <w:tc>
          <w:tcPr>
            <w:tcW w:w="2420" w:type="dxa"/>
          </w:tcPr>
          <w:p w14:paraId="3389B3C7" w14:textId="43342E05" w:rsidR="005915E5" w:rsidRDefault="001F3853" w:rsidP="00F755A8">
            <w:pPr>
              <w:spacing w:line="480" w:lineRule="auto"/>
              <w:jc w:val="center"/>
              <w:rPr>
                <w:rFonts w:ascii="Arial" w:eastAsia="Times New Roman" w:hAnsi="Arial" w:cs="Arial"/>
              </w:rPr>
            </w:pPr>
            <w:r>
              <w:rPr>
                <w:rFonts w:ascii="Arial" w:eastAsia="Times New Roman" w:hAnsi="Arial" w:cs="Arial"/>
              </w:rPr>
              <w:t>2</w:t>
            </w:r>
            <w:r w:rsidR="00617ECA">
              <w:rPr>
                <w:rFonts w:ascii="Arial" w:eastAsia="Times New Roman" w:hAnsi="Arial" w:cs="Arial"/>
              </w:rPr>
              <w:t xml:space="preserve"> (29)</w:t>
            </w:r>
          </w:p>
        </w:tc>
        <w:tc>
          <w:tcPr>
            <w:tcW w:w="2420" w:type="dxa"/>
          </w:tcPr>
          <w:p w14:paraId="44C2A472" w14:textId="506F7275" w:rsidR="005915E5" w:rsidRDefault="001F3853" w:rsidP="00F755A8">
            <w:pPr>
              <w:spacing w:line="480" w:lineRule="auto"/>
              <w:jc w:val="center"/>
              <w:rPr>
                <w:rFonts w:ascii="Arial" w:eastAsia="Times New Roman" w:hAnsi="Arial" w:cs="Arial"/>
              </w:rPr>
            </w:pPr>
            <w:r>
              <w:rPr>
                <w:rFonts w:ascii="Arial" w:eastAsia="Times New Roman" w:hAnsi="Arial" w:cs="Arial"/>
              </w:rPr>
              <w:t>2</w:t>
            </w:r>
            <w:r w:rsidR="00617ECA">
              <w:rPr>
                <w:rFonts w:ascii="Arial" w:eastAsia="Times New Roman" w:hAnsi="Arial" w:cs="Arial"/>
              </w:rPr>
              <w:t xml:space="preserve"> (29)</w:t>
            </w:r>
          </w:p>
        </w:tc>
      </w:tr>
      <w:tr w:rsidR="00FB31A3" w14:paraId="43EE36C9" w14:textId="77777777" w:rsidTr="005915E5">
        <w:trPr>
          <w:trHeight w:val="440"/>
        </w:trPr>
        <w:tc>
          <w:tcPr>
            <w:tcW w:w="2592" w:type="dxa"/>
          </w:tcPr>
          <w:p w14:paraId="0CDBB3FC" w14:textId="3EAE9411" w:rsidR="00FB31A3" w:rsidRPr="005915E5" w:rsidRDefault="00FB31A3" w:rsidP="00F755A8">
            <w:pPr>
              <w:spacing w:line="480" w:lineRule="auto"/>
              <w:rPr>
                <w:rFonts w:ascii="Arial" w:eastAsia="Times New Roman" w:hAnsi="Arial" w:cs="Arial"/>
                <w:b/>
                <w:bCs/>
              </w:rPr>
            </w:pPr>
            <w:r>
              <w:rPr>
                <w:rFonts w:ascii="Arial" w:eastAsia="Times New Roman" w:hAnsi="Arial" w:cs="Arial"/>
                <w:b/>
                <w:bCs/>
              </w:rPr>
              <w:lastRenderedPageBreak/>
              <w:t>Anti-Sm</w:t>
            </w:r>
            <w:r w:rsidR="00951941">
              <w:rPr>
                <w:rFonts w:ascii="Arial" w:eastAsia="Times New Roman" w:hAnsi="Arial" w:cs="Arial"/>
                <w:b/>
                <w:bCs/>
              </w:rPr>
              <w:t xml:space="preserve"> n (%)</w:t>
            </w:r>
          </w:p>
        </w:tc>
        <w:tc>
          <w:tcPr>
            <w:tcW w:w="2420" w:type="dxa"/>
          </w:tcPr>
          <w:p w14:paraId="63947FE5" w14:textId="6FCC0D1E" w:rsidR="00FB31A3" w:rsidRDefault="00FB31A3" w:rsidP="00F755A8">
            <w:pPr>
              <w:spacing w:line="480" w:lineRule="auto"/>
              <w:jc w:val="center"/>
              <w:rPr>
                <w:rFonts w:ascii="Arial" w:eastAsia="Times New Roman" w:hAnsi="Arial" w:cs="Arial"/>
              </w:rPr>
            </w:pPr>
            <w:r>
              <w:rPr>
                <w:rFonts w:ascii="Arial" w:eastAsia="Times New Roman" w:hAnsi="Arial" w:cs="Arial"/>
              </w:rPr>
              <w:t>2</w:t>
            </w:r>
            <w:r w:rsidR="00AF03C2">
              <w:rPr>
                <w:rFonts w:ascii="Arial" w:eastAsia="Times New Roman" w:hAnsi="Arial" w:cs="Arial"/>
              </w:rPr>
              <w:t xml:space="preserve"> </w:t>
            </w:r>
            <w:r w:rsidR="001F0BF3">
              <w:rPr>
                <w:rFonts w:ascii="Arial" w:eastAsia="Times New Roman" w:hAnsi="Arial" w:cs="Arial"/>
              </w:rPr>
              <w:t>(14)</w:t>
            </w:r>
          </w:p>
        </w:tc>
        <w:tc>
          <w:tcPr>
            <w:tcW w:w="2420" w:type="dxa"/>
          </w:tcPr>
          <w:p w14:paraId="52FB5A9E" w14:textId="66A98859" w:rsidR="00FB31A3" w:rsidRDefault="00FB31A3" w:rsidP="00F755A8">
            <w:pPr>
              <w:spacing w:line="480" w:lineRule="auto"/>
              <w:jc w:val="center"/>
              <w:rPr>
                <w:rFonts w:ascii="Arial" w:eastAsia="Times New Roman" w:hAnsi="Arial" w:cs="Arial"/>
              </w:rPr>
            </w:pPr>
            <w:r>
              <w:rPr>
                <w:rFonts w:ascii="Arial" w:eastAsia="Times New Roman" w:hAnsi="Arial" w:cs="Arial"/>
              </w:rPr>
              <w:t>2</w:t>
            </w:r>
            <w:r w:rsidR="001F0BF3">
              <w:rPr>
                <w:rFonts w:ascii="Arial" w:eastAsia="Times New Roman" w:hAnsi="Arial" w:cs="Arial"/>
              </w:rPr>
              <w:t xml:space="preserve"> (29)</w:t>
            </w:r>
          </w:p>
        </w:tc>
        <w:tc>
          <w:tcPr>
            <w:tcW w:w="2420" w:type="dxa"/>
          </w:tcPr>
          <w:p w14:paraId="0FD044DB" w14:textId="543106C3" w:rsidR="00FB31A3" w:rsidRDefault="00FB31A3" w:rsidP="00F755A8">
            <w:pPr>
              <w:spacing w:line="480" w:lineRule="auto"/>
              <w:jc w:val="center"/>
              <w:rPr>
                <w:rFonts w:ascii="Arial" w:eastAsia="Times New Roman" w:hAnsi="Arial" w:cs="Arial"/>
              </w:rPr>
            </w:pPr>
            <w:r>
              <w:rPr>
                <w:rFonts w:ascii="Arial" w:eastAsia="Times New Roman" w:hAnsi="Arial" w:cs="Arial"/>
              </w:rPr>
              <w:t>0</w:t>
            </w:r>
            <w:r w:rsidR="001F0BF3">
              <w:rPr>
                <w:rFonts w:ascii="Arial" w:eastAsia="Times New Roman" w:hAnsi="Arial" w:cs="Arial"/>
              </w:rPr>
              <w:t xml:space="preserve"> (0)</w:t>
            </w:r>
          </w:p>
        </w:tc>
      </w:tr>
      <w:tr w:rsidR="00923FDA" w14:paraId="0AE6F23A" w14:textId="77777777" w:rsidTr="005915E5">
        <w:trPr>
          <w:trHeight w:val="440"/>
        </w:trPr>
        <w:tc>
          <w:tcPr>
            <w:tcW w:w="2592" w:type="dxa"/>
          </w:tcPr>
          <w:p w14:paraId="23A083A1" w14:textId="3D4B2235" w:rsidR="00923FDA" w:rsidRDefault="00923FDA" w:rsidP="00F755A8">
            <w:pPr>
              <w:spacing w:line="480" w:lineRule="auto"/>
              <w:rPr>
                <w:rFonts w:ascii="Arial" w:eastAsia="Times New Roman" w:hAnsi="Arial" w:cs="Arial"/>
                <w:b/>
                <w:bCs/>
              </w:rPr>
            </w:pPr>
            <w:r>
              <w:rPr>
                <w:rFonts w:ascii="Arial" w:eastAsia="Times New Roman" w:hAnsi="Arial" w:cs="Arial"/>
                <w:b/>
                <w:bCs/>
              </w:rPr>
              <w:t>Anti-SSA</w:t>
            </w:r>
            <w:r w:rsidR="003442A2">
              <w:rPr>
                <w:rFonts w:ascii="Arial" w:eastAsia="Times New Roman" w:hAnsi="Arial" w:cs="Arial"/>
                <w:b/>
                <w:bCs/>
              </w:rPr>
              <w:t xml:space="preserve"> </w:t>
            </w:r>
            <w:r>
              <w:rPr>
                <w:rFonts w:ascii="Arial" w:eastAsia="Times New Roman" w:hAnsi="Arial" w:cs="Arial"/>
                <w:b/>
                <w:bCs/>
              </w:rPr>
              <w:t>52</w:t>
            </w:r>
            <w:r w:rsidR="00951941">
              <w:rPr>
                <w:rFonts w:ascii="Arial" w:eastAsia="Times New Roman" w:hAnsi="Arial" w:cs="Arial"/>
                <w:b/>
                <w:bCs/>
              </w:rPr>
              <w:t xml:space="preserve"> n (%)</w:t>
            </w:r>
          </w:p>
        </w:tc>
        <w:tc>
          <w:tcPr>
            <w:tcW w:w="2420" w:type="dxa"/>
          </w:tcPr>
          <w:p w14:paraId="5FE68B68" w14:textId="68CF8861" w:rsidR="00923FDA" w:rsidRDefault="00923FDA" w:rsidP="00F755A8">
            <w:pPr>
              <w:spacing w:line="480" w:lineRule="auto"/>
              <w:jc w:val="center"/>
              <w:rPr>
                <w:rFonts w:ascii="Arial" w:eastAsia="Times New Roman" w:hAnsi="Arial" w:cs="Arial"/>
              </w:rPr>
            </w:pPr>
            <w:r>
              <w:rPr>
                <w:rFonts w:ascii="Arial" w:eastAsia="Times New Roman" w:hAnsi="Arial" w:cs="Arial"/>
              </w:rPr>
              <w:t>3</w:t>
            </w:r>
            <w:r w:rsidR="001F0BF3">
              <w:rPr>
                <w:rFonts w:ascii="Arial" w:eastAsia="Times New Roman" w:hAnsi="Arial" w:cs="Arial"/>
              </w:rPr>
              <w:t xml:space="preserve"> </w:t>
            </w:r>
            <w:r w:rsidR="003442A2">
              <w:rPr>
                <w:rFonts w:ascii="Arial" w:eastAsia="Times New Roman" w:hAnsi="Arial" w:cs="Arial"/>
              </w:rPr>
              <w:t>(21)</w:t>
            </w:r>
          </w:p>
        </w:tc>
        <w:tc>
          <w:tcPr>
            <w:tcW w:w="2420" w:type="dxa"/>
          </w:tcPr>
          <w:p w14:paraId="2A7EFF68" w14:textId="78F16726" w:rsidR="00923FDA" w:rsidRDefault="00923FDA" w:rsidP="00F755A8">
            <w:pPr>
              <w:spacing w:line="480" w:lineRule="auto"/>
              <w:jc w:val="center"/>
              <w:rPr>
                <w:rFonts w:ascii="Arial" w:eastAsia="Times New Roman" w:hAnsi="Arial" w:cs="Arial"/>
              </w:rPr>
            </w:pPr>
            <w:r>
              <w:rPr>
                <w:rFonts w:ascii="Arial" w:eastAsia="Times New Roman" w:hAnsi="Arial" w:cs="Arial"/>
              </w:rPr>
              <w:t>3</w:t>
            </w:r>
            <w:r w:rsidR="003442A2">
              <w:rPr>
                <w:rFonts w:ascii="Arial" w:eastAsia="Times New Roman" w:hAnsi="Arial" w:cs="Arial"/>
              </w:rPr>
              <w:t xml:space="preserve"> (29)</w:t>
            </w:r>
          </w:p>
        </w:tc>
        <w:tc>
          <w:tcPr>
            <w:tcW w:w="2420" w:type="dxa"/>
          </w:tcPr>
          <w:p w14:paraId="6518FE76" w14:textId="16A0C9B4" w:rsidR="00923FDA" w:rsidRDefault="00923FDA" w:rsidP="00F755A8">
            <w:pPr>
              <w:spacing w:line="480" w:lineRule="auto"/>
              <w:jc w:val="center"/>
              <w:rPr>
                <w:rFonts w:ascii="Arial" w:eastAsia="Times New Roman" w:hAnsi="Arial" w:cs="Arial"/>
              </w:rPr>
            </w:pPr>
            <w:r>
              <w:rPr>
                <w:rFonts w:ascii="Arial" w:eastAsia="Times New Roman" w:hAnsi="Arial" w:cs="Arial"/>
              </w:rPr>
              <w:t>0</w:t>
            </w:r>
            <w:r w:rsidR="003442A2">
              <w:rPr>
                <w:rFonts w:ascii="Arial" w:eastAsia="Times New Roman" w:hAnsi="Arial" w:cs="Arial"/>
              </w:rPr>
              <w:t xml:space="preserve"> (0)</w:t>
            </w:r>
          </w:p>
        </w:tc>
      </w:tr>
      <w:tr w:rsidR="00923FDA" w14:paraId="57C394DD" w14:textId="77777777" w:rsidTr="005915E5">
        <w:trPr>
          <w:trHeight w:val="440"/>
        </w:trPr>
        <w:tc>
          <w:tcPr>
            <w:tcW w:w="2592" w:type="dxa"/>
          </w:tcPr>
          <w:p w14:paraId="09E68F5E" w14:textId="7AF51CA0" w:rsidR="00923FDA" w:rsidRDefault="00923FDA" w:rsidP="00F755A8">
            <w:pPr>
              <w:spacing w:line="480" w:lineRule="auto"/>
              <w:rPr>
                <w:rFonts w:ascii="Arial" w:eastAsia="Times New Roman" w:hAnsi="Arial" w:cs="Arial"/>
                <w:b/>
                <w:bCs/>
              </w:rPr>
            </w:pPr>
            <w:r>
              <w:rPr>
                <w:rFonts w:ascii="Arial" w:eastAsia="Times New Roman" w:hAnsi="Arial" w:cs="Arial"/>
                <w:b/>
                <w:bCs/>
              </w:rPr>
              <w:t>Anti-SSA-60</w:t>
            </w:r>
            <w:r w:rsidR="00951941">
              <w:rPr>
                <w:rFonts w:ascii="Arial" w:eastAsia="Times New Roman" w:hAnsi="Arial" w:cs="Arial"/>
                <w:b/>
                <w:bCs/>
              </w:rPr>
              <w:t xml:space="preserve"> n (%)</w:t>
            </w:r>
          </w:p>
        </w:tc>
        <w:tc>
          <w:tcPr>
            <w:tcW w:w="2420" w:type="dxa"/>
          </w:tcPr>
          <w:p w14:paraId="6D16C05E" w14:textId="1F473A75" w:rsidR="00923FDA" w:rsidRDefault="00923FDA" w:rsidP="00F755A8">
            <w:pPr>
              <w:spacing w:line="480" w:lineRule="auto"/>
              <w:jc w:val="center"/>
              <w:rPr>
                <w:rFonts w:ascii="Arial" w:eastAsia="Times New Roman" w:hAnsi="Arial" w:cs="Arial"/>
              </w:rPr>
            </w:pPr>
            <w:r>
              <w:rPr>
                <w:rFonts w:ascii="Arial" w:eastAsia="Times New Roman" w:hAnsi="Arial" w:cs="Arial"/>
              </w:rPr>
              <w:t>3</w:t>
            </w:r>
            <w:r w:rsidR="00A816B7">
              <w:rPr>
                <w:rFonts w:ascii="Arial" w:eastAsia="Times New Roman" w:hAnsi="Arial" w:cs="Arial"/>
              </w:rPr>
              <w:t xml:space="preserve"> (</w:t>
            </w:r>
            <w:r w:rsidR="00515B4D">
              <w:rPr>
                <w:rFonts w:ascii="Arial" w:eastAsia="Times New Roman" w:hAnsi="Arial" w:cs="Arial"/>
              </w:rPr>
              <w:t>21</w:t>
            </w:r>
            <w:r w:rsidR="00A816B7">
              <w:rPr>
                <w:rFonts w:ascii="Arial" w:eastAsia="Times New Roman" w:hAnsi="Arial" w:cs="Arial"/>
              </w:rPr>
              <w:t>)</w:t>
            </w:r>
          </w:p>
        </w:tc>
        <w:tc>
          <w:tcPr>
            <w:tcW w:w="2420" w:type="dxa"/>
          </w:tcPr>
          <w:p w14:paraId="1CDED155" w14:textId="051B5753" w:rsidR="00923FDA" w:rsidRDefault="00923FDA" w:rsidP="00F755A8">
            <w:pPr>
              <w:spacing w:line="480" w:lineRule="auto"/>
              <w:jc w:val="center"/>
              <w:rPr>
                <w:rFonts w:ascii="Arial" w:eastAsia="Times New Roman" w:hAnsi="Arial" w:cs="Arial"/>
              </w:rPr>
            </w:pPr>
            <w:r>
              <w:rPr>
                <w:rFonts w:ascii="Arial" w:eastAsia="Times New Roman" w:hAnsi="Arial" w:cs="Arial"/>
              </w:rPr>
              <w:t>3</w:t>
            </w:r>
            <w:r w:rsidR="002D121F">
              <w:rPr>
                <w:rFonts w:ascii="Arial" w:eastAsia="Times New Roman" w:hAnsi="Arial" w:cs="Arial"/>
              </w:rPr>
              <w:t xml:space="preserve"> (</w:t>
            </w:r>
            <w:r w:rsidR="00A816B7">
              <w:rPr>
                <w:rFonts w:ascii="Arial" w:eastAsia="Times New Roman" w:hAnsi="Arial" w:cs="Arial"/>
              </w:rPr>
              <w:t>43</w:t>
            </w:r>
            <w:r w:rsidR="002D121F">
              <w:rPr>
                <w:rFonts w:ascii="Arial" w:eastAsia="Times New Roman" w:hAnsi="Arial" w:cs="Arial"/>
              </w:rPr>
              <w:t>)</w:t>
            </w:r>
          </w:p>
        </w:tc>
        <w:tc>
          <w:tcPr>
            <w:tcW w:w="2420" w:type="dxa"/>
          </w:tcPr>
          <w:p w14:paraId="2B117509" w14:textId="0AFD9204" w:rsidR="00923FDA" w:rsidRDefault="00923FDA" w:rsidP="00F755A8">
            <w:pPr>
              <w:spacing w:line="480" w:lineRule="auto"/>
              <w:jc w:val="center"/>
              <w:rPr>
                <w:rFonts w:ascii="Arial" w:eastAsia="Times New Roman" w:hAnsi="Arial" w:cs="Arial"/>
              </w:rPr>
            </w:pPr>
            <w:r>
              <w:rPr>
                <w:rFonts w:ascii="Arial" w:eastAsia="Times New Roman" w:hAnsi="Arial" w:cs="Arial"/>
              </w:rPr>
              <w:t>0</w:t>
            </w:r>
            <w:r w:rsidR="003442A2">
              <w:rPr>
                <w:rFonts w:ascii="Arial" w:eastAsia="Times New Roman" w:hAnsi="Arial" w:cs="Arial"/>
              </w:rPr>
              <w:t xml:space="preserve"> (0)</w:t>
            </w:r>
          </w:p>
        </w:tc>
      </w:tr>
      <w:tr w:rsidR="00923FDA" w14:paraId="0490568A" w14:textId="77777777" w:rsidTr="005915E5">
        <w:trPr>
          <w:trHeight w:val="440"/>
        </w:trPr>
        <w:tc>
          <w:tcPr>
            <w:tcW w:w="2592" w:type="dxa"/>
          </w:tcPr>
          <w:p w14:paraId="688F7B9E" w14:textId="567030F5" w:rsidR="00923FDA" w:rsidRDefault="00923FDA" w:rsidP="00F755A8">
            <w:pPr>
              <w:spacing w:line="480" w:lineRule="auto"/>
              <w:rPr>
                <w:rFonts w:ascii="Arial" w:eastAsia="Times New Roman" w:hAnsi="Arial" w:cs="Arial"/>
                <w:b/>
                <w:bCs/>
              </w:rPr>
            </w:pPr>
            <w:r>
              <w:rPr>
                <w:rFonts w:ascii="Arial" w:eastAsia="Times New Roman" w:hAnsi="Arial" w:cs="Arial"/>
                <w:b/>
                <w:bCs/>
              </w:rPr>
              <w:t>Anti-SSB</w:t>
            </w:r>
            <w:r w:rsidR="00951941">
              <w:rPr>
                <w:rFonts w:ascii="Arial" w:eastAsia="Times New Roman" w:hAnsi="Arial" w:cs="Arial"/>
                <w:b/>
                <w:bCs/>
              </w:rPr>
              <w:t xml:space="preserve"> n (%)</w:t>
            </w:r>
          </w:p>
        </w:tc>
        <w:tc>
          <w:tcPr>
            <w:tcW w:w="2420" w:type="dxa"/>
          </w:tcPr>
          <w:p w14:paraId="6386552E" w14:textId="29895A13" w:rsidR="00923FDA" w:rsidRDefault="00923FDA" w:rsidP="00F755A8">
            <w:pPr>
              <w:spacing w:line="480" w:lineRule="auto"/>
              <w:jc w:val="center"/>
              <w:rPr>
                <w:rFonts w:ascii="Arial" w:eastAsia="Times New Roman" w:hAnsi="Arial" w:cs="Arial"/>
              </w:rPr>
            </w:pPr>
            <w:r>
              <w:rPr>
                <w:rFonts w:ascii="Arial" w:eastAsia="Times New Roman" w:hAnsi="Arial" w:cs="Arial"/>
              </w:rPr>
              <w:t>1</w:t>
            </w:r>
            <w:r w:rsidR="00A816B7">
              <w:rPr>
                <w:rFonts w:ascii="Arial" w:eastAsia="Times New Roman" w:hAnsi="Arial" w:cs="Arial"/>
              </w:rPr>
              <w:t xml:space="preserve"> (</w:t>
            </w:r>
            <w:r w:rsidR="001B48D7">
              <w:rPr>
                <w:rFonts w:ascii="Arial" w:eastAsia="Times New Roman" w:hAnsi="Arial" w:cs="Arial"/>
              </w:rPr>
              <w:t>7</w:t>
            </w:r>
            <w:r w:rsidR="00A816B7">
              <w:rPr>
                <w:rFonts w:ascii="Arial" w:eastAsia="Times New Roman" w:hAnsi="Arial" w:cs="Arial"/>
              </w:rPr>
              <w:t>)</w:t>
            </w:r>
          </w:p>
        </w:tc>
        <w:tc>
          <w:tcPr>
            <w:tcW w:w="2420" w:type="dxa"/>
          </w:tcPr>
          <w:p w14:paraId="337EBE6C" w14:textId="735A82E2" w:rsidR="00923FDA" w:rsidRDefault="00923FDA" w:rsidP="00F755A8">
            <w:pPr>
              <w:spacing w:line="480" w:lineRule="auto"/>
              <w:jc w:val="center"/>
              <w:rPr>
                <w:rFonts w:ascii="Arial" w:eastAsia="Times New Roman" w:hAnsi="Arial" w:cs="Arial"/>
              </w:rPr>
            </w:pPr>
            <w:r>
              <w:rPr>
                <w:rFonts w:ascii="Arial" w:eastAsia="Times New Roman" w:hAnsi="Arial" w:cs="Arial"/>
              </w:rPr>
              <w:t>1</w:t>
            </w:r>
            <w:r w:rsidR="002D121F">
              <w:rPr>
                <w:rFonts w:ascii="Arial" w:eastAsia="Times New Roman" w:hAnsi="Arial" w:cs="Arial"/>
              </w:rPr>
              <w:t xml:space="preserve"> (</w:t>
            </w:r>
            <w:r w:rsidR="003F0099">
              <w:rPr>
                <w:rFonts w:ascii="Arial" w:eastAsia="Times New Roman" w:hAnsi="Arial" w:cs="Arial"/>
              </w:rPr>
              <w:t>14</w:t>
            </w:r>
            <w:r w:rsidR="002D121F">
              <w:rPr>
                <w:rFonts w:ascii="Arial" w:eastAsia="Times New Roman" w:hAnsi="Arial" w:cs="Arial"/>
              </w:rPr>
              <w:t>)</w:t>
            </w:r>
          </w:p>
        </w:tc>
        <w:tc>
          <w:tcPr>
            <w:tcW w:w="2420" w:type="dxa"/>
          </w:tcPr>
          <w:p w14:paraId="205C009D" w14:textId="3CD747CB" w:rsidR="00923FDA" w:rsidRDefault="00923FDA" w:rsidP="00F755A8">
            <w:pPr>
              <w:spacing w:line="480" w:lineRule="auto"/>
              <w:jc w:val="center"/>
              <w:rPr>
                <w:rFonts w:ascii="Arial" w:eastAsia="Times New Roman" w:hAnsi="Arial" w:cs="Arial"/>
              </w:rPr>
            </w:pPr>
            <w:r>
              <w:rPr>
                <w:rFonts w:ascii="Arial" w:eastAsia="Times New Roman" w:hAnsi="Arial" w:cs="Arial"/>
              </w:rPr>
              <w:t>0</w:t>
            </w:r>
            <w:r w:rsidR="003442A2">
              <w:rPr>
                <w:rFonts w:ascii="Arial" w:eastAsia="Times New Roman" w:hAnsi="Arial" w:cs="Arial"/>
              </w:rPr>
              <w:t xml:space="preserve"> (0)</w:t>
            </w:r>
          </w:p>
        </w:tc>
      </w:tr>
      <w:tr w:rsidR="00923FDA" w14:paraId="3ED8BD48" w14:textId="77777777" w:rsidTr="005915E5">
        <w:trPr>
          <w:trHeight w:val="440"/>
        </w:trPr>
        <w:tc>
          <w:tcPr>
            <w:tcW w:w="2592" w:type="dxa"/>
          </w:tcPr>
          <w:p w14:paraId="2F590A26" w14:textId="28FBAAF7" w:rsidR="00923FDA" w:rsidRPr="00951941" w:rsidRDefault="00923FDA" w:rsidP="00F755A8">
            <w:pPr>
              <w:spacing w:line="480" w:lineRule="auto"/>
              <w:rPr>
                <w:rFonts w:ascii="Arial" w:eastAsia="Times New Roman" w:hAnsi="Arial" w:cs="Arial"/>
                <w:b/>
                <w:bCs/>
              </w:rPr>
            </w:pPr>
            <w:r>
              <w:rPr>
                <w:rFonts w:ascii="Arial" w:eastAsia="Times New Roman" w:hAnsi="Arial" w:cs="Arial"/>
                <w:b/>
                <w:bCs/>
              </w:rPr>
              <w:t>CIC</w:t>
            </w:r>
            <w:r w:rsidR="00475759">
              <w:rPr>
                <w:rFonts w:ascii="Arial" w:eastAsia="Times New Roman" w:hAnsi="Arial" w:cs="Arial"/>
                <w:b/>
                <w:bCs/>
                <w:vertAlign w:val="superscript"/>
              </w:rPr>
              <w:t>3</w:t>
            </w:r>
            <w:r w:rsidR="00951941">
              <w:rPr>
                <w:rFonts w:ascii="Arial" w:eastAsia="Times New Roman" w:hAnsi="Arial" w:cs="Arial"/>
                <w:b/>
                <w:bCs/>
                <w:vertAlign w:val="superscript"/>
              </w:rPr>
              <w:t xml:space="preserve"> </w:t>
            </w:r>
            <w:r w:rsidR="00951941">
              <w:rPr>
                <w:rFonts w:ascii="Arial" w:eastAsia="Times New Roman" w:hAnsi="Arial" w:cs="Arial"/>
                <w:b/>
                <w:bCs/>
              </w:rPr>
              <w:t>n (%)</w:t>
            </w:r>
          </w:p>
        </w:tc>
        <w:tc>
          <w:tcPr>
            <w:tcW w:w="2420" w:type="dxa"/>
          </w:tcPr>
          <w:p w14:paraId="05E729C0" w14:textId="143F2693" w:rsidR="00923FDA" w:rsidRDefault="00923FDA" w:rsidP="00F755A8">
            <w:pPr>
              <w:spacing w:line="480" w:lineRule="auto"/>
              <w:jc w:val="center"/>
              <w:rPr>
                <w:rFonts w:ascii="Arial" w:eastAsia="Times New Roman" w:hAnsi="Arial" w:cs="Arial"/>
              </w:rPr>
            </w:pPr>
            <w:r>
              <w:rPr>
                <w:rFonts w:ascii="Arial" w:eastAsia="Times New Roman" w:hAnsi="Arial" w:cs="Arial"/>
              </w:rPr>
              <w:t>7</w:t>
            </w:r>
            <w:r w:rsidR="00A816B7">
              <w:rPr>
                <w:rFonts w:ascii="Arial" w:eastAsia="Times New Roman" w:hAnsi="Arial" w:cs="Arial"/>
              </w:rPr>
              <w:t xml:space="preserve"> (50)</w:t>
            </w:r>
          </w:p>
        </w:tc>
        <w:tc>
          <w:tcPr>
            <w:tcW w:w="2420" w:type="dxa"/>
          </w:tcPr>
          <w:p w14:paraId="10396B57" w14:textId="1CA291F5" w:rsidR="00923FDA" w:rsidRDefault="00923FDA" w:rsidP="00F755A8">
            <w:pPr>
              <w:spacing w:line="480" w:lineRule="auto"/>
              <w:jc w:val="center"/>
              <w:rPr>
                <w:rFonts w:ascii="Arial" w:eastAsia="Times New Roman" w:hAnsi="Arial" w:cs="Arial"/>
              </w:rPr>
            </w:pPr>
            <w:r>
              <w:rPr>
                <w:rFonts w:ascii="Arial" w:eastAsia="Times New Roman" w:hAnsi="Arial" w:cs="Arial"/>
              </w:rPr>
              <w:t>4</w:t>
            </w:r>
            <w:r w:rsidR="002D121F">
              <w:rPr>
                <w:rFonts w:ascii="Arial" w:eastAsia="Times New Roman" w:hAnsi="Arial" w:cs="Arial"/>
              </w:rPr>
              <w:t xml:space="preserve"> (</w:t>
            </w:r>
            <w:r w:rsidR="003F0099">
              <w:rPr>
                <w:rFonts w:ascii="Arial" w:eastAsia="Times New Roman" w:hAnsi="Arial" w:cs="Arial"/>
              </w:rPr>
              <w:t>5</w:t>
            </w:r>
            <w:r w:rsidR="002D121F">
              <w:rPr>
                <w:rFonts w:ascii="Arial" w:eastAsia="Times New Roman" w:hAnsi="Arial" w:cs="Arial"/>
              </w:rPr>
              <w:t>7)</w:t>
            </w:r>
          </w:p>
        </w:tc>
        <w:tc>
          <w:tcPr>
            <w:tcW w:w="2420" w:type="dxa"/>
          </w:tcPr>
          <w:p w14:paraId="05D7B21D" w14:textId="1BBF51EB" w:rsidR="00923FDA" w:rsidRDefault="00923FDA" w:rsidP="00F755A8">
            <w:pPr>
              <w:spacing w:line="480" w:lineRule="auto"/>
              <w:jc w:val="center"/>
              <w:rPr>
                <w:rFonts w:ascii="Arial" w:eastAsia="Times New Roman" w:hAnsi="Arial" w:cs="Arial"/>
              </w:rPr>
            </w:pPr>
            <w:r>
              <w:rPr>
                <w:rFonts w:ascii="Arial" w:eastAsia="Times New Roman" w:hAnsi="Arial" w:cs="Arial"/>
              </w:rPr>
              <w:t>3</w:t>
            </w:r>
            <w:r w:rsidR="003442A2">
              <w:rPr>
                <w:rFonts w:ascii="Arial" w:eastAsia="Times New Roman" w:hAnsi="Arial" w:cs="Arial"/>
              </w:rPr>
              <w:t xml:space="preserve"> (</w:t>
            </w:r>
            <w:r w:rsidR="002D121F">
              <w:rPr>
                <w:rFonts w:ascii="Arial" w:eastAsia="Times New Roman" w:hAnsi="Arial" w:cs="Arial"/>
              </w:rPr>
              <w:t>43</w:t>
            </w:r>
            <w:r w:rsidR="003442A2">
              <w:rPr>
                <w:rFonts w:ascii="Arial" w:eastAsia="Times New Roman" w:hAnsi="Arial" w:cs="Arial"/>
              </w:rPr>
              <w:t>)</w:t>
            </w:r>
          </w:p>
        </w:tc>
      </w:tr>
      <w:tr w:rsidR="00923FDA" w14:paraId="6E61D943" w14:textId="77777777" w:rsidTr="005915E5">
        <w:trPr>
          <w:trHeight w:val="440"/>
        </w:trPr>
        <w:tc>
          <w:tcPr>
            <w:tcW w:w="2592" w:type="dxa"/>
          </w:tcPr>
          <w:p w14:paraId="325E06D9" w14:textId="54524C2E" w:rsidR="00923FDA" w:rsidRPr="005915E5" w:rsidRDefault="00923FDA" w:rsidP="00F755A8">
            <w:pPr>
              <w:spacing w:line="480" w:lineRule="auto"/>
              <w:rPr>
                <w:rFonts w:ascii="Arial" w:eastAsia="Times New Roman" w:hAnsi="Arial" w:cs="Arial"/>
                <w:b/>
                <w:bCs/>
              </w:rPr>
            </w:pPr>
            <w:r>
              <w:rPr>
                <w:rFonts w:ascii="Arial" w:eastAsia="Times New Roman" w:hAnsi="Arial" w:cs="Arial"/>
                <w:b/>
                <w:bCs/>
              </w:rPr>
              <w:t>Hematuria</w:t>
            </w:r>
            <w:r w:rsidR="00951941">
              <w:rPr>
                <w:rFonts w:ascii="Arial" w:eastAsia="Times New Roman" w:hAnsi="Arial" w:cs="Arial"/>
                <w:b/>
                <w:bCs/>
              </w:rPr>
              <w:t xml:space="preserve"> n (%)</w:t>
            </w:r>
          </w:p>
        </w:tc>
        <w:tc>
          <w:tcPr>
            <w:tcW w:w="2420" w:type="dxa"/>
          </w:tcPr>
          <w:p w14:paraId="5C397465" w14:textId="54B0CC99" w:rsidR="00923FDA" w:rsidRDefault="00923FDA" w:rsidP="00F755A8">
            <w:pPr>
              <w:spacing w:line="480" w:lineRule="auto"/>
              <w:jc w:val="center"/>
              <w:rPr>
                <w:rFonts w:ascii="Arial" w:eastAsia="Times New Roman" w:hAnsi="Arial" w:cs="Arial"/>
              </w:rPr>
            </w:pPr>
            <w:r>
              <w:rPr>
                <w:rFonts w:ascii="Arial" w:eastAsia="Times New Roman" w:hAnsi="Arial" w:cs="Arial"/>
              </w:rPr>
              <w:t>4</w:t>
            </w:r>
            <w:r w:rsidR="00A816B7">
              <w:rPr>
                <w:rFonts w:ascii="Arial" w:eastAsia="Times New Roman" w:hAnsi="Arial" w:cs="Arial"/>
              </w:rPr>
              <w:t xml:space="preserve"> (29)</w:t>
            </w:r>
          </w:p>
        </w:tc>
        <w:tc>
          <w:tcPr>
            <w:tcW w:w="2420" w:type="dxa"/>
          </w:tcPr>
          <w:p w14:paraId="23331E0F" w14:textId="410864C5" w:rsidR="00923FDA" w:rsidRDefault="00923FDA" w:rsidP="00F755A8">
            <w:pPr>
              <w:spacing w:line="480" w:lineRule="auto"/>
              <w:jc w:val="center"/>
              <w:rPr>
                <w:rFonts w:ascii="Arial" w:eastAsia="Times New Roman" w:hAnsi="Arial" w:cs="Arial"/>
              </w:rPr>
            </w:pPr>
            <w:r>
              <w:rPr>
                <w:rFonts w:ascii="Arial" w:eastAsia="Times New Roman" w:hAnsi="Arial" w:cs="Arial"/>
              </w:rPr>
              <w:t>2</w:t>
            </w:r>
            <w:r w:rsidR="002D121F">
              <w:rPr>
                <w:rFonts w:ascii="Arial" w:eastAsia="Times New Roman" w:hAnsi="Arial" w:cs="Arial"/>
              </w:rPr>
              <w:t xml:space="preserve"> (29)</w:t>
            </w:r>
          </w:p>
        </w:tc>
        <w:tc>
          <w:tcPr>
            <w:tcW w:w="2420" w:type="dxa"/>
          </w:tcPr>
          <w:p w14:paraId="7B14F758" w14:textId="126AF1D8" w:rsidR="00923FDA" w:rsidRDefault="00923FDA" w:rsidP="00F755A8">
            <w:pPr>
              <w:spacing w:line="480" w:lineRule="auto"/>
              <w:jc w:val="center"/>
              <w:rPr>
                <w:rFonts w:ascii="Arial" w:eastAsia="Times New Roman" w:hAnsi="Arial" w:cs="Arial"/>
              </w:rPr>
            </w:pPr>
            <w:r>
              <w:rPr>
                <w:rFonts w:ascii="Arial" w:eastAsia="Times New Roman" w:hAnsi="Arial" w:cs="Arial"/>
              </w:rPr>
              <w:t>2</w:t>
            </w:r>
            <w:r w:rsidR="003442A2">
              <w:rPr>
                <w:rFonts w:ascii="Arial" w:eastAsia="Times New Roman" w:hAnsi="Arial" w:cs="Arial"/>
              </w:rPr>
              <w:t xml:space="preserve"> (</w:t>
            </w:r>
            <w:r w:rsidR="002D121F">
              <w:rPr>
                <w:rFonts w:ascii="Arial" w:eastAsia="Times New Roman" w:hAnsi="Arial" w:cs="Arial"/>
              </w:rPr>
              <w:t>29</w:t>
            </w:r>
            <w:r w:rsidR="003442A2">
              <w:rPr>
                <w:rFonts w:ascii="Arial" w:eastAsia="Times New Roman" w:hAnsi="Arial" w:cs="Arial"/>
              </w:rPr>
              <w:t>)</w:t>
            </w:r>
          </w:p>
        </w:tc>
      </w:tr>
      <w:tr w:rsidR="00923FDA" w14:paraId="3B517309" w14:textId="77777777" w:rsidTr="005915E5">
        <w:trPr>
          <w:trHeight w:val="440"/>
        </w:trPr>
        <w:tc>
          <w:tcPr>
            <w:tcW w:w="2592" w:type="dxa"/>
          </w:tcPr>
          <w:p w14:paraId="31CDCCB6" w14:textId="2963F69B" w:rsidR="00923FDA" w:rsidRDefault="00923FDA" w:rsidP="00F755A8">
            <w:pPr>
              <w:spacing w:line="480" w:lineRule="auto"/>
              <w:rPr>
                <w:rFonts w:ascii="Arial" w:eastAsia="Times New Roman" w:hAnsi="Arial" w:cs="Arial"/>
                <w:b/>
                <w:bCs/>
              </w:rPr>
            </w:pPr>
            <w:r>
              <w:rPr>
                <w:rFonts w:ascii="Arial" w:eastAsia="Times New Roman" w:hAnsi="Arial" w:cs="Arial"/>
                <w:b/>
                <w:bCs/>
              </w:rPr>
              <w:t xml:space="preserve">Proteinuria </w:t>
            </w:r>
            <w:r w:rsidR="00951941">
              <w:rPr>
                <w:rFonts w:ascii="Arial" w:eastAsia="Times New Roman" w:hAnsi="Arial" w:cs="Arial"/>
                <w:b/>
                <w:bCs/>
              </w:rPr>
              <w:t>n (%)</w:t>
            </w:r>
          </w:p>
        </w:tc>
        <w:tc>
          <w:tcPr>
            <w:tcW w:w="2420" w:type="dxa"/>
          </w:tcPr>
          <w:p w14:paraId="3F333D4E" w14:textId="7F1BBC1C" w:rsidR="00923FDA" w:rsidRDefault="00923FDA" w:rsidP="00F755A8">
            <w:pPr>
              <w:spacing w:line="480" w:lineRule="auto"/>
              <w:jc w:val="center"/>
              <w:rPr>
                <w:rFonts w:ascii="Arial" w:eastAsia="Times New Roman" w:hAnsi="Arial" w:cs="Arial"/>
              </w:rPr>
            </w:pPr>
            <w:r>
              <w:rPr>
                <w:rFonts w:ascii="Arial" w:eastAsia="Times New Roman" w:hAnsi="Arial" w:cs="Arial"/>
              </w:rPr>
              <w:t>4</w:t>
            </w:r>
            <w:r w:rsidR="00A816B7">
              <w:rPr>
                <w:rFonts w:ascii="Arial" w:eastAsia="Times New Roman" w:hAnsi="Arial" w:cs="Arial"/>
              </w:rPr>
              <w:t xml:space="preserve"> (29)</w:t>
            </w:r>
          </w:p>
        </w:tc>
        <w:tc>
          <w:tcPr>
            <w:tcW w:w="2420" w:type="dxa"/>
          </w:tcPr>
          <w:p w14:paraId="2BC3B559" w14:textId="21A2DCD2" w:rsidR="00923FDA" w:rsidRDefault="00923FDA" w:rsidP="00F755A8">
            <w:pPr>
              <w:spacing w:line="480" w:lineRule="auto"/>
              <w:jc w:val="center"/>
              <w:rPr>
                <w:rFonts w:ascii="Arial" w:eastAsia="Times New Roman" w:hAnsi="Arial" w:cs="Arial"/>
              </w:rPr>
            </w:pPr>
            <w:r>
              <w:rPr>
                <w:rFonts w:ascii="Arial" w:eastAsia="Times New Roman" w:hAnsi="Arial" w:cs="Arial"/>
              </w:rPr>
              <w:t>2</w:t>
            </w:r>
            <w:r w:rsidR="002D121F">
              <w:rPr>
                <w:rFonts w:ascii="Arial" w:eastAsia="Times New Roman" w:hAnsi="Arial" w:cs="Arial"/>
              </w:rPr>
              <w:t xml:space="preserve"> (29)</w:t>
            </w:r>
          </w:p>
        </w:tc>
        <w:tc>
          <w:tcPr>
            <w:tcW w:w="2420" w:type="dxa"/>
          </w:tcPr>
          <w:p w14:paraId="0E10F346" w14:textId="01E71792" w:rsidR="00923FDA" w:rsidRDefault="00923FDA" w:rsidP="00F755A8">
            <w:pPr>
              <w:spacing w:line="480" w:lineRule="auto"/>
              <w:jc w:val="center"/>
              <w:rPr>
                <w:rFonts w:ascii="Arial" w:eastAsia="Times New Roman" w:hAnsi="Arial" w:cs="Arial"/>
              </w:rPr>
            </w:pPr>
            <w:r>
              <w:rPr>
                <w:rFonts w:ascii="Arial" w:eastAsia="Times New Roman" w:hAnsi="Arial" w:cs="Arial"/>
              </w:rPr>
              <w:t>2</w:t>
            </w:r>
            <w:r w:rsidR="003442A2">
              <w:rPr>
                <w:rFonts w:ascii="Arial" w:eastAsia="Times New Roman" w:hAnsi="Arial" w:cs="Arial"/>
              </w:rPr>
              <w:t xml:space="preserve"> (</w:t>
            </w:r>
            <w:r w:rsidR="00515B4D">
              <w:rPr>
                <w:rFonts w:ascii="Arial" w:eastAsia="Times New Roman" w:hAnsi="Arial" w:cs="Arial"/>
              </w:rPr>
              <w:t>29</w:t>
            </w:r>
            <w:r w:rsidR="003442A2">
              <w:rPr>
                <w:rFonts w:ascii="Arial" w:eastAsia="Times New Roman" w:hAnsi="Arial" w:cs="Arial"/>
              </w:rPr>
              <w:t>)</w:t>
            </w:r>
          </w:p>
        </w:tc>
      </w:tr>
    </w:tbl>
    <w:p w14:paraId="699BF229" w14:textId="1725A5EE" w:rsidR="00DA71CC" w:rsidRDefault="00475759" w:rsidP="00475759">
      <w:pPr>
        <w:pStyle w:val="ListParagraph"/>
        <w:numPr>
          <w:ilvl w:val="0"/>
          <w:numId w:val="1"/>
        </w:numPr>
        <w:spacing w:line="480" w:lineRule="auto"/>
        <w:rPr>
          <w:rFonts w:ascii="Arial" w:eastAsia="Times New Roman" w:hAnsi="Arial" w:cs="Arial"/>
          <w:sz w:val="22"/>
          <w:szCs w:val="22"/>
        </w:rPr>
      </w:pPr>
      <w:r>
        <w:rPr>
          <w:rFonts w:ascii="Arial" w:eastAsia="Times New Roman" w:hAnsi="Arial" w:cs="Arial"/>
          <w:sz w:val="22"/>
          <w:szCs w:val="22"/>
        </w:rPr>
        <w:t>Inter-quartile range</w:t>
      </w:r>
    </w:p>
    <w:p w14:paraId="3F1F5C06" w14:textId="2F16BA8D" w:rsidR="00263B06" w:rsidRPr="00263B06" w:rsidRDefault="00263B06" w:rsidP="00475759">
      <w:pPr>
        <w:pStyle w:val="ListParagraph"/>
        <w:numPr>
          <w:ilvl w:val="0"/>
          <w:numId w:val="1"/>
        </w:numPr>
        <w:spacing w:line="480" w:lineRule="auto"/>
        <w:rPr>
          <w:rFonts w:ascii="Arial" w:eastAsia="Times New Roman" w:hAnsi="Arial" w:cs="Arial"/>
          <w:sz w:val="22"/>
          <w:szCs w:val="22"/>
        </w:rPr>
      </w:pPr>
      <w:r w:rsidRPr="001A1C96">
        <w:rPr>
          <w:rFonts w:ascii="Arial" w:eastAsia="Times New Roman" w:hAnsi="Arial" w:cs="Arial"/>
        </w:rPr>
        <w:t>Antinuclear antibodies were assessed by immunofluorescence</w:t>
      </w:r>
      <w:r>
        <w:rPr>
          <w:rFonts w:ascii="Arial" w:eastAsia="Times New Roman" w:hAnsi="Arial" w:cs="Arial"/>
        </w:rPr>
        <w:t xml:space="preserve"> on HEp-2 cells</w:t>
      </w:r>
    </w:p>
    <w:p w14:paraId="77045AE0" w14:textId="471B51CC" w:rsidR="00263B06" w:rsidRPr="00475759" w:rsidRDefault="00C018E1" w:rsidP="00475759">
      <w:pPr>
        <w:pStyle w:val="ListParagraph"/>
        <w:numPr>
          <w:ilvl w:val="0"/>
          <w:numId w:val="1"/>
        </w:numPr>
        <w:spacing w:line="480" w:lineRule="auto"/>
        <w:rPr>
          <w:rFonts w:ascii="Arial" w:eastAsia="Times New Roman" w:hAnsi="Arial" w:cs="Arial"/>
          <w:sz w:val="22"/>
          <w:szCs w:val="22"/>
        </w:rPr>
      </w:pPr>
      <w:r>
        <w:rPr>
          <w:rFonts w:ascii="Arial" w:eastAsia="Times New Roman" w:hAnsi="Arial" w:cs="Arial"/>
        </w:rPr>
        <w:t>Circulating immune complexes</w:t>
      </w:r>
    </w:p>
    <w:p w14:paraId="0278B24D" w14:textId="00E15592" w:rsidR="00E23451" w:rsidRPr="00265C93" w:rsidRDefault="00E23451" w:rsidP="00F755A8">
      <w:pPr>
        <w:spacing w:line="480" w:lineRule="auto"/>
        <w:rPr>
          <w:rFonts w:ascii="Arial" w:eastAsia="Times New Roman" w:hAnsi="Arial" w:cs="Arial"/>
          <w:b/>
          <w:bCs/>
          <w:sz w:val="28"/>
          <w:szCs w:val="28"/>
        </w:rPr>
      </w:pPr>
      <w:r w:rsidRPr="00265C93">
        <w:rPr>
          <w:rFonts w:ascii="Arial" w:eastAsia="Times New Roman" w:hAnsi="Arial" w:cs="Arial"/>
          <w:b/>
          <w:bCs/>
          <w:sz w:val="28"/>
          <w:szCs w:val="28"/>
        </w:rPr>
        <w:t>Mass Spectrometry</w:t>
      </w:r>
    </w:p>
    <w:p w14:paraId="7A8A8F4C" w14:textId="10EE81B9" w:rsidR="00D75296" w:rsidRPr="00E23451" w:rsidRDefault="00D75296" w:rsidP="00F755A8">
      <w:pPr>
        <w:spacing w:line="480" w:lineRule="auto"/>
        <w:rPr>
          <w:rFonts w:ascii="Arial" w:eastAsia="Times New Roman" w:hAnsi="Arial" w:cs="Arial"/>
        </w:rPr>
      </w:pPr>
      <w:r>
        <w:rPr>
          <w:rFonts w:ascii="Arial" w:eastAsia="Times New Roman" w:hAnsi="Arial" w:cs="Arial"/>
        </w:rPr>
        <w:t xml:space="preserve">Briefly, EV samples were lysed with </w:t>
      </w:r>
      <w:r w:rsidRPr="006C3CB0">
        <w:rPr>
          <w:rFonts w:ascii="Arial" w:eastAsia="Times New Roman" w:hAnsi="Arial" w:cs="Arial"/>
        </w:rPr>
        <w:t>6 M Urea, 100 mM TEAB</w:t>
      </w:r>
      <w:r>
        <w:rPr>
          <w:rFonts w:ascii="Arial" w:eastAsia="Times New Roman" w:hAnsi="Arial" w:cs="Arial"/>
        </w:rPr>
        <w:t>,</w:t>
      </w:r>
      <w:r w:rsidRPr="006C3CB0">
        <w:rPr>
          <w:rFonts w:ascii="Arial" w:eastAsia="Times New Roman" w:hAnsi="Arial" w:cs="Arial"/>
        </w:rPr>
        <w:t xml:space="preserve"> and 1 x Halt protease inhibitor cocktail</w:t>
      </w:r>
      <w:r>
        <w:rPr>
          <w:rFonts w:ascii="Arial" w:eastAsia="Times New Roman" w:hAnsi="Arial" w:cs="Arial"/>
        </w:rPr>
        <w:t>, followed by</w:t>
      </w:r>
      <w:r w:rsidRPr="006C3CB0">
        <w:rPr>
          <w:rFonts w:ascii="Arial" w:eastAsia="Times New Roman" w:hAnsi="Arial" w:cs="Arial"/>
        </w:rPr>
        <w:t xml:space="preserve"> sonication (3 × 5 min cycles of 30 s on/off; Diagenode Bioruptor sonication device)</w:t>
      </w:r>
      <w:r>
        <w:rPr>
          <w:rFonts w:ascii="Arial" w:eastAsia="Times New Roman" w:hAnsi="Arial" w:cs="Arial"/>
        </w:rPr>
        <w:t>.</w:t>
      </w:r>
      <w:r w:rsidRPr="00C64106">
        <w:rPr>
          <w:rFonts w:ascii="Arial" w:eastAsia="Times New Roman" w:hAnsi="Arial" w:cs="Arial"/>
        </w:rPr>
        <w:t xml:space="preserve"> </w:t>
      </w:r>
      <w:r w:rsidRPr="00E81D34">
        <w:rPr>
          <w:rFonts w:ascii="Arial" w:hAnsi="Arial" w:cs="Arial"/>
        </w:rPr>
        <w:t xml:space="preserve">Samples were digested overnight with </w:t>
      </w:r>
      <w:r>
        <w:rPr>
          <w:rFonts w:ascii="Arial" w:hAnsi="Arial" w:cs="Arial"/>
        </w:rPr>
        <w:t>a sequencing-grade Trypsin/Lys-C mix (Promega), desalted using a Sep-Pak C18 96-well plate (Waters), and evaporated to dryness, then</w:t>
      </w:r>
      <w:r w:rsidRPr="00067C9A">
        <w:rPr>
          <w:rFonts w:ascii="Arial" w:hAnsi="Arial" w:cs="Arial"/>
        </w:rPr>
        <w:t xml:space="preserve"> stored at −20 °C.</w:t>
      </w:r>
    </w:p>
    <w:p w14:paraId="2D1748CC" w14:textId="24419187" w:rsidR="00E23451" w:rsidRPr="00E23451" w:rsidRDefault="00E23451" w:rsidP="00F755A8">
      <w:pPr>
        <w:spacing w:line="480" w:lineRule="auto"/>
        <w:rPr>
          <w:rFonts w:ascii="Arial" w:hAnsi="Arial" w:cs="Arial"/>
        </w:rPr>
      </w:pPr>
      <w:r w:rsidRPr="00E23451">
        <w:rPr>
          <w:rFonts w:ascii="Arial" w:eastAsia="Times New Roman" w:hAnsi="Arial" w:cs="Arial"/>
        </w:rPr>
        <w:t xml:space="preserve">Digested peptide samples were dissolved in 0.1% formic acid, and peptide concentration was determined with a NanoDrop device. For DIA analysis, 600 ng of peptides were injected and analyzed in random order. Wash runs were submitted between samples to reduce the potential for peptide carry-over. </w:t>
      </w:r>
      <w:r w:rsidRPr="00E23451">
        <w:rPr>
          <w:rFonts w:ascii="Arial" w:hAnsi="Arial" w:cs="Arial"/>
        </w:rPr>
        <w:t xml:space="preserve">The LC-ESI-MS/MS analysis was performed on an Evosep One HPLC system (Evosep, Odense, Denmark) coupled to the Orbitrap Astral mass spectrometer (Thermo Fisher Scientific, Bremen, Germany) equipped with a nano-electrospray ionization source. Peptides were separated in-line on an 8 cm IonOpticks Aurora Rapid column (150 μm x 8 cm, 1.7 μm C18-beads, AUR3-80150C18-XT). The </w:t>
      </w:r>
      <w:r w:rsidRPr="00E23451">
        <w:rPr>
          <w:rFonts w:ascii="Arial" w:hAnsi="Arial" w:cs="Arial"/>
        </w:rPr>
        <w:lastRenderedPageBreak/>
        <w:t>mobile phase consisted of water with 0.1% formic acid (solvent A) and 0.1% formic acid/99.9% acetonitrile (v/v) (solvent B). Samples were analyzed with 21 min 60 samples per day method.</w:t>
      </w:r>
    </w:p>
    <w:p w14:paraId="71508F73" w14:textId="77777777" w:rsidR="00E23451" w:rsidRPr="00E23451" w:rsidRDefault="00E23451" w:rsidP="00F755A8">
      <w:pPr>
        <w:spacing w:line="480" w:lineRule="auto"/>
        <w:rPr>
          <w:rFonts w:ascii="Arial" w:hAnsi="Arial" w:cs="Arial"/>
        </w:rPr>
      </w:pPr>
      <w:r w:rsidRPr="00E23451">
        <w:rPr>
          <w:rFonts w:ascii="Arial" w:eastAsia="Times New Roman" w:hAnsi="Arial" w:cs="Arial"/>
        </w:rPr>
        <w:t xml:space="preserve">Samples were analyzed by a data-independent acquisition (DIA) LC-MS/MS method. </w:t>
      </w:r>
      <w:r w:rsidRPr="00E23451">
        <w:rPr>
          <w:rFonts w:ascii="Arial" w:hAnsi="Arial" w:cs="Arial"/>
        </w:rPr>
        <w:t xml:space="preserve">MS data was acquired automatically by using Xcalibur 4.1 software (Thermo Fisher Scientific). MS1 spectra were collected in Orbitrap every 0.6 s at a resolution of 240000 with a scan range of 380-980. The normalized AGC target was set to 300% (3e6 charges), with a maximum injection time of 10 ms. The DIA MS2 scans were acquired on the Astral analyzer over the 380-980 m/z range with a 2 Th isolation window. The normalized AGC target was set to 500% (5e4 charges), with a maximum injection time of 2.5 ms. Isolated ions were fragmented using HCD with 25% NCE. </w:t>
      </w:r>
    </w:p>
    <w:p w14:paraId="67ACFDF7" w14:textId="0816EF07" w:rsidR="00D576C6" w:rsidRPr="00D576C6" w:rsidRDefault="00E23451" w:rsidP="00D576C6">
      <w:pPr>
        <w:spacing w:line="480" w:lineRule="auto"/>
        <w:rPr>
          <w:rFonts w:ascii="Arial" w:hAnsi="Arial" w:cs="Arial"/>
          <w:color w:val="000000"/>
        </w:rPr>
      </w:pPr>
      <w:r w:rsidRPr="00E23451">
        <w:rPr>
          <w:rFonts w:ascii="Arial" w:hAnsi="Arial" w:cs="Arial"/>
        </w:rPr>
        <w:t xml:space="preserve">Data analysis consisted of protein identifications and label-free quantifications of protein abundances. Data was analyzed by Spectronaut software (Biognosys; version 20.2). The DirectDIA approach was used to identify proteins, and label-free quantifications were performed with MaxLFQ. Main data analysis parameters in Spectronaut were: Enzyme: Trypsin/P, missed cleavages: 2, Fixed modifications: Carbamidomethyl (Peptides were alkylated with iodoacetamide), Variable modifications: Acetyl (protein N-term) and oxidation (M), Protein databases: Swiss-Prot 2025_03 </w:t>
      </w:r>
      <w:r w:rsidRPr="00E23451">
        <w:rPr>
          <w:rFonts w:ascii="Arial" w:hAnsi="Arial" w:cs="Arial"/>
          <w:i/>
          <w:iCs/>
        </w:rPr>
        <w:t xml:space="preserve">Homo sapiens </w:t>
      </w:r>
      <w:r w:rsidRPr="00E23451">
        <w:rPr>
          <w:rFonts w:ascii="Arial" w:hAnsi="Arial" w:cs="Arial"/>
        </w:rPr>
        <w:t xml:space="preserve">(20405 entries), Universal Protein Contaminant database </w:t>
      </w:r>
      <w:sdt>
        <w:sdtPr>
          <w:rPr>
            <w:rFonts w:ascii="Arial" w:hAnsi="Arial" w:cs="Arial"/>
            <w:color w:val="000000"/>
          </w:rPr>
          <w:tag w:val="MENDELEY_CITATION_v3_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"/>
          <w:id w:val="836344015"/>
          <w:placeholder>
            <w:docPart w:val="9DB65C0D0F5848A89E7660918D12435B"/>
          </w:placeholder>
        </w:sdtPr>
        <w:sdtEndPr/>
        <w:sdtContent>
          <w:r w:rsidR="008B143E" w:rsidRPr="008B143E">
            <w:rPr>
              <w:rFonts w:ascii="Arial" w:hAnsi="Arial" w:cs="Arial"/>
              <w:color w:val="000000"/>
            </w:rPr>
            <w:t>(Frankenfield et al., 2022)</w:t>
          </w:r>
        </w:sdtContent>
      </w:sdt>
      <w:r w:rsidRPr="00E23451">
        <w:rPr>
          <w:rFonts w:ascii="Arial" w:hAnsi="Arial" w:cs="Arial"/>
        </w:rPr>
        <w:t xml:space="preserve">, Precursor FDR Cutoff: 0.01, Protein FDR Cutoff: 0.01, Quantification MS level: MS2, Quantification type: Area under the curve within integration boundaries for each targeted ion, Normalization: Local normalization based on RT dependent local regression model </w:t>
      </w:r>
      <w:sdt>
        <w:sdtPr>
          <w:rPr>
            <w:rFonts w:ascii="Arial" w:hAnsi="Arial" w:cs="Arial"/>
            <w:color w:val="000000"/>
          </w:rPr>
          <w:tag w:val="MENDELEY_CITATION_v3_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"/>
          <w:id w:val="-876540333"/>
          <w:placeholder>
            <w:docPart w:val="9DB65C0D0F5848A89E7660918D12435B"/>
          </w:placeholder>
        </w:sdtPr>
        <w:sdtEndPr/>
        <w:sdtContent>
          <w:r w:rsidR="008B143E" w:rsidRPr="008B143E">
            <w:rPr>
              <w:rFonts w:ascii="Arial" w:hAnsi="Arial" w:cs="Arial"/>
              <w:color w:val="000000"/>
            </w:rPr>
            <w:t>(Callister et al., 2006)</w:t>
          </w:r>
        </w:sdtContent>
      </w:sdt>
      <w:r w:rsidRPr="00E23451">
        <w:rPr>
          <w:rFonts w:ascii="Arial" w:hAnsi="Arial" w:cs="Arial"/>
        </w:rPr>
        <w:t xml:space="preserve">, Differential abundance analysis: Unpaired Student’s t-test with combined MS1 + MS2 statistical model </w:t>
      </w:r>
      <w:sdt>
        <w:sdtPr>
          <w:rPr>
            <w:rFonts w:ascii="Arial" w:hAnsi="Arial" w:cs="Arial"/>
            <w:color w:val="000000"/>
          </w:rPr>
          <w:tag w:val="MENDELEY_CITATION_v3_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"/>
          <w:id w:val="-113916984"/>
          <w:placeholder>
            <w:docPart w:val="9DB65C0D0F5848A89E7660918D12435B"/>
          </w:placeholder>
        </w:sdtPr>
        <w:sdtEndPr/>
        <w:sdtContent>
          <w:r w:rsidR="008B143E" w:rsidRPr="008B143E">
            <w:rPr>
              <w:rFonts w:ascii="Arial" w:hAnsi="Arial" w:cs="Arial"/>
              <w:color w:val="000000"/>
            </w:rPr>
            <w:t>(Huang et al., 2020)</w:t>
          </w:r>
        </w:sdtContent>
      </w:sdt>
      <w:r w:rsidRPr="00E23451">
        <w:rPr>
          <w:rFonts w:ascii="Arial" w:hAnsi="Arial" w:cs="Arial"/>
          <w:color w:val="000000"/>
        </w:rPr>
        <w:t xml:space="preserve"> </w:t>
      </w:r>
      <w:r w:rsidR="00D576C6" w:rsidRPr="00D576C6">
        <w:rPr>
          <w:rFonts w:ascii="Arial" w:hAnsi="Arial" w:cs="Arial"/>
          <w:color w:val="000000"/>
        </w:rPr>
        <w:t>and multiple-testing correction of the p-values with Benjamini-Hochberg method.</w:t>
      </w:r>
    </w:p>
    <w:p w14:paraId="32BDF872" w14:textId="7297E92F" w:rsidR="00E23451" w:rsidRDefault="00E23451" w:rsidP="00F755A8">
      <w:pPr>
        <w:spacing w:line="480" w:lineRule="auto"/>
        <w:rPr>
          <w:rFonts w:ascii="Arial" w:hAnsi="Arial" w:cs="Arial"/>
          <w:color w:val="000000"/>
        </w:rPr>
      </w:pPr>
    </w:p>
    <w:p w14:paraId="649E84E2" w14:textId="29EF2A72" w:rsidR="00E73F27" w:rsidRPr="00E73F27" w:rsidRDefault="00E73F27" w:rsidP="00F755A8">
      <w:pPr>
        <w:spacing w:line="480" w:lineRule="auto"/>
        <w:rPr>
          <w:rFonts w:ascii="Arial" w:hAnsi="Arial" w:cs="Arial"/>
          <w:b/>
          <w:bCs/>
          <w:color w:val="000000"/>
          <w:sz w:val="28"/>
          <w:szCs w:val="28"/>
        </w:rPr>
      </w:pPr>
      <w:r>
        <w:rPr>
          <w:rFonts w:ascii="Arial" w:hAnsi="Arial" w:cs="Arial"/>
          <w:b/>
          <w:bCs/>
          <w:color w:val="000000"/>
          <w:sz w:val="28"/>
          <w:szCs w:val="28"/>
        </w:rPr>
        <w:t>Size c</w:t>
      </w:r>
      <w:r w:rsidRPr="00E73F27">
        <w:rPr>
          <w:rFonts w:ascii="Arial" w:hAnsi="Arial" w:cs="Arial"/>
          <w:b/>
          <w:bCs/>
          <w:color w:val="000000"/>
          <w:sz w:val="28"/>
          <w:szCs w:val="28"/>
        </w:rPr>
        <w:t>omparison of the isolated EVs between group</w:t>
      </w:r>
      <w:r>
        <w:rPr>
          <w:rFonts w:ascii="Arial" w:hAnsi="Arial" w:cs="Arial"/>
          <w:b/>
          <w:bCs/>
          <w:color w:val="000000"/>
          <w:sz w:val="28"/>
          <w:szCs w:val="28"/>
        </w:rPr>
        <w:t>s</w:t>
      </w:r>
    </w:p>
    <w:p w14:paraId="551EC1E5" w14:textId="77777777" w:rsidR="000C0EB9" w:rsidRDefault="000E1676" w:rsidP="00F755A8">
      <w:pPr>
        <w:keepNext/>
        <w:spacing w:line="480" w:lineRule="auto"/>
        <w:rPr>
          <w:rFonts w:ascii="Arial" w:hAnsi="Arial" w:cs="Arial"/>
          <w:color w:val="1F3864" w:themeColor="accent1" w:themeShade="80"/>
        </w:rPr>
      </w:pPr>
      <w:r w:rsidRPr="000E1676">
        <w:rPr>
          <w:noProof/>
        </w:rPr>
        <w:drawing>
          <wp:inline distT="0" distB="0" distL="0" distR="0" wp14:anchorId="6E937454" wp14:editId="1CCF4000">
            <wp:extent cx="4775200" cy="3390900"/>
            <wp:effectExtent l="0" t="0" r="6350" b="0"/>
            <wp:docPr id="15117520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775200" cy="3390900"/>
                    </a:xfrm>
                    <a:prstGeom prst="rect">
                      <a:avLst/>
                    </a:prstGeom>
                    <a:noFill/>
                    <a:ln>
                      <a:noFill/>
                    </a:ln>
                  </pic:spPr>
                </pic:pic>
              </a:graphicData>
            </a:graphic>
          </wp:inline>
        </w:drawing>
      </w:r>
    </w:p>
    <w:p w14:paraId="19CC2B25" w14:textId="7C8D55BA" w:rsidR="000C0EB9" w:rsidRPr="004736E2" w:rsidRDefault="000C0EB9" w:rsidP="00F755A8">
      <w:pPr>
        <w:keepNext/>
        <w:spacing w:line="480" w:lineRule="auto"/>
        <w:rPr>
          <w:sz w:val="20"/>
          <w:szCs w:val="20"/>
        </w:rPr>
      </w:pPr>
      <w:r w:rsidRPr="004736E2">
        <w:rPr>
          <w:rFonts w:ascii="Arial" w:hAnsi="Arial" w:cs="Arial"/>
          <w:i/>
          <w:iCs/>
          <w:color w:val="1F3864" w:themeColor="accent1" w:themeShade="80"/>
          <w:sz w:val="20"/>
          <w:szCs w:val="20"/>
        </w:rPr>
        <w:t>Supplementary Figure 1</w:t>
      </w:r>
      <w:r w:rsidRPr="004736E2">
        <w:rPr>
          <w:rFonts w:ascii="Arial" w:hAnsi="Arial" w:cs="Arial"/>
          <w:color w:val="1F3864" w:themeColor="accent1" w:themeShade="80"/>
          <w:sz w:val="20"/>
          <w:szCs w:val="20"/>
        </w:rPr>
        <w:t xml:space="preserve">- </w:t>
      </w:r>
      <w:r w:rsidRPr="004736E2">
        <w:rPr>
          <w:rFonts w:ascii="Arial" w:hAnsi="Arial" w:cs="Arial"/>
          <w:sz w:val="20"/>
          <w:szCs w:val="20"/>
        </w:rPr>
        <w:t>Size distribution of the isolated extracellular vesicles</w:t>
      </w:r>
    </w:p>
    <w:p w14:paraId="14DCB414" w14:textId="56A88391" w:rsidR="000C0EB9" w:rsidRPr="004736E2" w:rsidRDefault="000C0EB9" w:rsidP="00F755A8">
      <w:pPr>
        <w:pStyle w:val="Caption"/>
        <w:spacing w:line="480" w:lineRule="auto"/>
        <w:rPr>
          <w:rFonts w:ascii="Arial" w:hAnsi="Arial" w:cs="Arial"/>
          <w:i w:val="0"/>
          <w:iCs w:val="0"/>
          <w:color w:val="auto"/>
          <w:sz w:val="20"/>
          <w:szCs w:val="20"/>
        </w:rPr>
      </w:pPr>
      <w:r w:rsidRPr="004736E2">
        <w:rPr>
          <w:rFonts w:ascii="Arial" w:hAnsi="Arial" w:cs="Arial"/>
          <w:i w:val="0"/>
          <w:iCs w:val="0"/>
          <w:color w:val="auto"/>
          <w:sz w:val="20"/>
          <w:szCs w:val="20"/>
        </w:rPr>
        <w:t>Box plots depicting size distribution of serum extracellular vesicles isolated from SLE patients and healthy donors. The cross (+) represents the mean. No statistically significant differences in EV size were observed between groups.</w:t>
      </w:r>
    </w:p>
    <w:p w14:paraId="148BC3C5" w14:textId="7802CB8B" w:rsidR="00F755A8" w:rsidRPr="004736E2" w:rsidRDefault="00F755A8" w:rsidP="00F755A8">
      <w:pPr>
        <w:spacing w:line="480" w:lineRule="auto"/>
        <w:rPr>
          <w:sz w:val="20"/>
          <w:szCs w:val="20"/>
        </w:rPr>
      </w:pPr>
      <w:r w:rsidRPr="004736E2">
        <w:rPr>
          <w:rFonts w:ascii="Arial" w:hAnsi="Arial" w:cs="Arial"/>
          <w:sz w:val="20"/>
          <w:szCs w:val="20"/>
        </w:rPr>
        <w:t>Statistical significance: ns (not significant), *p ≤ 0.05, **p ≤ 0.01, ***p ≤ 0.001, ****p ≤ 0.0001</w:t>
      </w:r>
    </w:p>
    <w:p w14:paraId="7F220414" w14:textId="7EFACA9C" w:rsidR="002109D3" w:rsidRDefault="0093183C" w:rsidP="004736E2">
      <w:pPr>
        <w:spacing w:line="480" w:lineRule="auto"/>
      </w:pPr>
      <w:r w:rsidRPr="0093183C">
        <w:rPr>
          <w:noProof/>
        </w:rPr>
        <w:lastRenderedPageBreak/>
        <w:drawing>
          <wp:inline distT="0" distB="0" distL="0" distR="0" wp14:anchorId="40391A3E" wp14:editId="0FB3CCB6">
            <wp:extent cx="6120130" cy="2759710"/>
            <wp:effectExtent l="0" t="0" r="0" b="2540"/>
            <wp:docPr id="100468119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120130" cy="2759710"/>
                    </a:xfrm>
                    <a:prstGeom prst="rect">
                      <a:avLst/>
                    </a:prstGeom>
                    <a:noFill/>
                    <a:ln>
                      <a:noFill/>
                    </a:ln>
                  </pic:spPr>
                </pic:pic>
              </a:graphicData>
            </a:graphic>
          </wp:inline>
        </w:drawing>
      </w:r>
      <w:r w:rsidR="00137A81" w:rsidRPr="00C7798A">
        <w:rPr>
          <w:rFonts w:ascii="Arial" w:hAnsi="Arial" w:cs="Arial"/>
          <w:i/>
          <w:iCs/>
          <w:color w:val="1F3864" w:themeColor="accent1" w:themeShade="80"/>
          <w:sz w:val="20"/>
          <w:szCs w:val="20"/>
        </w:rPr>
        <w:t>Supplementary Figure 2</w:t>
      </w:r>
      <w:r w:rsidR="00137A81" w:rsidRPr="00C7798A">
        <w:rPr>
          <w:rFonts w:ascii="Arial" w:hAnsi="Arial" w:cs="Arial"/>
          <w:color w:val="1F3864" w:themeColor="accent1" w:themeShade="80"/>
          <w:sz w:val="20"/>
          <w:szCs w:val="20"/>
        </w:rPr>
        <w:t xml:space="preserve">- </w:t>
      </w:r>
      <w:r w:rsidR="00184FDC" w:rsidRPr="00C7798A">
        <w:rPr>
          <w:rFonts w:ascii="Arial" w:hAnsi="Arial" w:cs="Arial"/>
          <w:sz w:val="20"/>
          <w:szCs w:val="20"/>
        </w:rPr>
        <w:t>Sample used for the western blotting</w:t>
      </w:r>
      <w:r w:rsidR="00DE4BC1" w:rsidRPr="00C7798A">
        <w:rPr>
          <w:rFonts w:ascii="Arial" w:hAnsi="Arial" w:cs="Arial"/>
          <w:sz w:val="20"/>
          <w:szCs w:val="20"/>
        </w:rPr>
        <w:t>.Western blotting of the isolated EVs: EV-associated tetraspanin markers CD</w:t>
      </w:r>
      <w:r w:rsidR="007A2D44" w:rsidRPr="00C7798A">
        <w:rPr>
          <w:rFonts w:ascii="Arial" w:hAnsi="Arial" w:cs="Arial"/>
          <w:sz w:val="20"/>
          <w:szCs w:val="20"/>
        </w:rPr>
        <w:t>63</w:t>
      </w:r>
      <w:r w:rsidR="00DE4BC1" w:rsidRPr="00C7798A">
        <w:rPr>
          <w:rFonts w:ascii="Arial" w:hAnsi="Arial" w:cs="Arial"/>
          <w:sz w:val="20"/>
          <w:szCs w:val="20"/>
        </w:rPr>
        <w:t>, and CD81, as well as cytosolic marker TSG101</w:t>
      </w:r>
    </w:p>
    <w:p w14:paraId="2CAB8F54" w14:textId="77777777" w:rsidR="004736E2" w:rsidRPr="004736E2" w:rsidRDefault="004736E2" w:rsidP="004736E2">
      <w:pPr>
        <w:spacing w:line="480" w:lineRule="auto"/>
      </w:pPr>
    </w:p>
    <w:p w14:paraId="33F3A49E" w14:textId="1D192008" w:rsidR="00141784" w:rsidRDefault="002109D3" w:rsidP="00F755A8">
      <w:pPr>
        <w:keepNext/>
        <w:spacing w:line="480" w:lineRule="auto"/>
        <w:rPr>
          <w:rFonts w:ascii="Arial" w:hAnsi="Arial" w:cs="Arial"/>
        </w:rPr>
      </w:pPr>
      <w:r w:rsidRPr="002109D3">
        <w:rPr>
          <w:noProof/>
        </w:rPr>
        <w:drawing>
          <wp:inline distT="0" distB="0" distL="0" distR="0" wp14:anchorId="724595FA" wp14:editId="483E167B">
            <wp:extent cx="6120130" cy="2219325"/>
            <wp:effectExtent l="0" t="0" r="0" b="0"/>
            <wp:docPr id="84863915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20130" cy="2219325"/>
                    </a:xfrm>
                    <a:prstGeom prst="rect">
                      <a:avLst/>
                    </a:prstGeom>
                    <a:noFill/>
                    <a:ln>
                      <a:noFill/>
                    </a:ln>
                  </pic:spPr>
                </pic:pic>
              </a:graphicData>
            </a:graphic>
          </wp:inline>
        </w:drawing>
      </w:r>
    </w:p>
    <w:p w14:paraId="4EFC3AA8" w14:textId="16297598" w:rsidR="002109D3" w:rsidRPr="00C7798A" w:rsidRDefault="002109D3" w:rsidP="002109D3">
      <w:pPr>
        <w:keepNext/>
        <w:spacing w:line="480" w:lineRule="auto"/>
        <w:rPr>
          <w:rFonts w:ascii="Arial" w:hAnsi="Arial" w:cs="Arial"/>
          <w:sz w:val="20"/>
          <w:szCs w:val="20"/>
        </w:rPr>
      </w:pPr>
      <w:r w:rsidRPr="00C7798A">
        <w:rPr>
          <w:rFonts w:ascii="Arial" w:hAnsi="Arial" w:cs="Arial"/>
          <w:i/>
          <w:iCs/>
          <w:color w:val="1F3864" w:themeColor="accent1" w:themeShade="80"/>
          <w:sz w:val="20"/>
          <w:szCs w:val="20"/>
        </w:rPr>
        <w:t>Supplementary Figure 3</w:t>
      </w:r>
      <w:r w:rsidRPr="00C7798A">
        <w:rPr>
          <w:rFonts w:ascii="Arial" w:hAnsi="Arial" w:cs="Arial"/>
          <w:color w:val="1F3864" w:themeColor="accent1" w:themeShade="80"/>
          <w:sz w:val="20"/>
          <w:szCs w:val="20"/>
        </w:rPr>
        <w:t xml:space="preserve">- </w:t>
      </w:r>
      <w:r w:rsidR="00C7798A">
        <w:rPr>
          <w:rFonts w:ascii="Arial" w:hAnsi="Arial" w:cs="Arial"/>
          <w:sz w:val="20"/>
          <w:szCs w:val="20"/>
        </w:rPr>
        <w:t>Transmission electron microscopy</w:t>
      </w:r>
      <w:r w:rsidRPr="00C7798A">
        <w:rPr>
          <w:rFonts w:ascii="Arial" w:hAnsi="Arial" w:cs="Arial"/>
          <w:sz w:val="20"/>
          <w:szCs w:val="20"/>
        </w:rPr>
        <w:t>.</w:t>
      </w:r>
    </w:p>
    <w:p w14:paraId="0E5E57C2" w14:textId="42F453E5" w:rsidR="00AE684C" w:rsidRPr="004736E2" w:rsidRDefault="00C7798A" w:rsidP="004736E2">
      <w:pPr>
        <w:keepNext/>
        <w:spacing w:line="480" w:lineRule="auto"/>
        <w:rPr>
          <w:rFonts w:ascii="Arial" w:hAnsi="Arial" w:cs="Arial"/>
          <w:sz w:val="20"/>
          <w:szCs w:val="20"/>
        </w:rPr>
      </w:pPr>
      <w:r w:rsidRPr="00C7798A">
        <w:rPr>
          <w:rFonts w:ascii="Arial" w:hAnsi="Arial" w:cs="Arial"/>
          <w:sz w:val="20"/>
          <w:szCs w:val="20"/>
        </w:rPr>
        <w:t>TEM images of isolated EVs obtained by negative staining, showing the</w:t>
      </w:r>
      <w:r w:rsidRPr="00C7798A">
        <w:rPr>
          <w:sz w:val="20"/>
          <w:szCs w:val="20"/>
        </w:rPr>
        <w:t xml:space="preserve"> </w:t>
      </w:r>
      <w:r w:rsidRPr="00C7798A">
        <w:rPr>
          <w:rFonts w:ascii="Arial" w:hAnsi="Arial" w:cs="Arial"/>
          <w:sz w:val="20"/>
          <w:szCs w:val="20"/>
        </w:rPr>
        <w:t>characteristic lipid bilayer structure of the EVs in healthy controls (left) and SLE patients (right).</w:t>
      </w:r>
    </w:p>
    <w:p w14:paraId="65DC51AB" w14:textId="19FCEDF6" w:rsidR="000E1676" w:rsidRPr="000C0EB9" w:rsidRDefault="000C0EB9" w:rsidP="00F755A8">
      <w:pPr>
        <w:spacing w:line="480" w:lineRule="auto"/>
        <w:rPr>
          <w:rFonts w:ascii="Arial" w:hAnsi="Arial" w:cs="Arial"/>
          <w:b/>
          <w:bCs/>
          <w:color w:val="000000"/>
          <w:sz w:val="28"/>
          <w:szCs w:val="28"/>
        </w:rPr>
      </w:pPr>
      <w:r w:rsidRPr="000C0EB9">
        <w:rPr>
          <w:rFonts w:ascii="Arial" w:hAnsi="Arial" w:cs="Arial"/>
          <w:b/>
          <w:bCs/>
          <w:color w:val="000000"/>
          <w:sz w:val="28"/>
          <w:szCs w:val="28"/>
        </w:rPr>
        <w:t>References</w:t>
      </w:r>
    </w:p>
    <w:sdt>
      <w:sdtPr>
        <w:rPr>
          <w:rFonts w:ascii="Calibri" w:hAnsi="Calibri" w:cs="Calibri"/>
          <w:color w:val="000000"/>
        </w:rPr>
        <w:tag w:val="MENDELEY_BIBLIOGRAPHY"/>
        <w:id w:val="2037076198"/>
        <w:placeholder>
          <w:docPart w:val="DefaultPlaceholder_-1854013440"/>
        </w:placeholder>
      </w:sdtPr>
      <w:sdtEndPr/>
      <w:sdtContent>
        <w:p w14:paraId="4DED7E88" w14:textId="77777777" w:rsidR="008B143E" w:rsidRPr="008B143E" w:rsidRDefault="008B143E" w:rsidP="00F755A8">
          <w:pPr>
            <w:autoSpaceDE w:val="0"/>
            <w:autoSpaceDN w:val="0"/>
            <w:spacing w:line="480" w:lineRule="auto"/>
            <w:ind w:hanging="480"/>
            <w:divId w:val="5719999"/>
            <w:rPr>
              <w:rFonts w:ascii="Calibri" w:eastAsia="Times New Roman" w:hAnsi="Calibri" w:cs="Calibri"/>
              <w:color w:val="000000"/>
              <w:kern w:val="0"/>
              <w14:ligatures w14:val="none"/>
            </w:rPr>
          </w:pPr>
          <w:r w:rsidRPr="008B143E">
            <w:rPr>
              <w:rFonts w:ascii="Calibri" w:eastAsia="Times New Roman" w:hAnsi="Calibri" w:cs="Calibri"/>
              <w:color w:val="000000"/>
            </w:rPr>
            <w:t xml:space="preserve">Callister, S. J., Barry, R. C., Adkins, J. N., Johnson, E. T., Qian, W. J., Webb-Robertson, B. J. M., Smith, R. D., &amp; Lipton, M. S. (2006). Normalization approaches for removing systematic biases </w:t>
          </w:r>
          <w:r w:rsidRPr="008B143E">
            <w:rPr>
              <w:rFonts w:ascii="Calibri" w:eastAsia="Times New Roman" w:hAnsi="Calibri" w:cs="Calibri"/>
              <w:color w:val="000000"/>
            </w:rPr>
            <w:lastRenderedPageBreak/>
            <w:t xml:space="preserve">associated with mass spectrometry and label-free proteomics. </w:t>
          </w:r>
          <w:r w:rsidRPr="008B143E">
            <w:rPr>
              <w:rFonts w:ascii="Calibri" w:eastAsia="Times New Roman" w:hAnsi="Calibri" w:cs="Calibri"/>
              <w:i/>
              <w:iCs/>
              <w:color w:val="000000"/>
            </w:rPr>
            <w:t>Journal of Proteome Research</w:t>
          </w:r>
          <w:r w:rsidRPr="008B143E">
            <w:rPr>
              <w:rFonts w:ascii="Calibri" w:eastAsia="Times New Roman" w:hAnsi="Calibri" w:cs="Calibri"/>
              <w:color w:val="000000"/>
            </w:rPr>
            <w:t xml:space="preserve">, </w:t>
          </w:r>
          <w:r w:rsidRPr="008B143E">
            <w:rPr>
              <w:rFonts w:ascii="Calibri" w:eastAsia="Times New Roman" w:hAnsi="Calibri" w:cs="Calibri"/>
              <w:i/>
              <w:iCs/>
              <w:color w:val="000000"/>
            </w:rPr>
            <w:t>5</w:t>
          </w:r>
          <w:r w:rsidRPr="008B143E">
            <w:rPr>
              <w:rFonts w:ascii="Calibri" w:eastAsia="Times New Roman" w:hAnsi="Calibri" w:cs="Calibri"/>
              <w:color w:val="000000"/>
            </w:rPr>
            <w:t>(2), 277–286. https://doi.org/10.1021/pr050300l</w:t>
          </w:r>
        </w:p>
        <w:p w14:paraId="2B1C04FE" w14:textId="77777777" w:rsidR="008B143E" w:rsidRPr="008B143E" w:rsidRDefault="008B143E" w:rsidP="00F755A8">
          <w:pPr>
            <w:autoSpaceDE w:val="0"/>
            <w:autoSpaceDN w:val="0"/>
            <w:spacing w:line="480" w:lineRule="auto"/>
            <w:ind w:hanging="480"/>
            <w:divId w:val="264460684"/>
            <w:rPr>
              <w:rFonts w:ascii="Calibri" w:eastAsia="Times New Roman" w:hAnsi="Calibri" w:cs="Calibri"/>
              <w:color w:val="000000"/>
            </w:rPr>
          </w:pPr>
          <w:r w:rsidRPr="008B143E">
            <w:rPr>
              <w:rFonts w:ascii="Calibri" w:eastAsia="Times New Roman" w:hAnsi="Calibri" w:cs="Calibri"/>
              <w:color w:val="000000"/>
            </w:rPr>
            <w:t xml:space="preserve">Frankenfield, A. M., Ni, J., Ahmed, M., &amp; Hao, L. (2022). Protein Contaminants Matter: Building Universal Protein Contaminant Libraries for DDA and DIA Proteomics. </w:t>
          </w:r>
          <w:r w:rsidRPr="008B143E">
            <w:rPr>
              <w:rFonts w:ascii="Calibri" w:eastAsia="Times New Roman" w:hAnsi="Calibri" w:cs="Calibri"/>
              <w:i/>
              <w:iCs/>
              <w:color w:val="000000"/>
            </w:rPr>
            <w:t>Journal of Proteome Research</w:t>
          </w:r>
          <w:r w:rsidRPr="008B143E">
            <w:rPr>
              <w:rFonts w:ascii="Calibri" w:eastAsia="Times New Roman" w:hAnsi="Calibri" w:cs="Calibri"/>
              <w:color w:val="000000"/>
            </w:rPr>
            <w:t xml:space="preserve">, </w:t>
          </w:r>
          <w:r w:rsidRPr="008B143E">
            <w:rPr>
              <w:rFonts w:ascii="Calibri" w:eastAsia="Times New Roman" w:hAnsi="Calibri" w:cs="Calibri"/>
              <w:i/>
              <w:iCs/>
              <w:color w:val="000000"/>
            </w:rPr>
            <w:t>21</w:t>
          </w:r>
          <w:r w:rsidRPr="008B143E">
            <w:rPr>
              <w:rFonts w:ascii="Calibri" w:eastAsia="Times New Roman" w:hAnsi="Calibri" w:cs="Calibri"/>
              <w:color w:val="000000"/>
            </w:rPr>
            <w:t>(9), 2104–2113. https://doi.org/10.1021/acs.jproteome.2c00145</w:t>
          </w:r>
        </w:p>
        <w:p w14:paraId="6CF85917" w14:textId="77777777" w:rsidR="008B143E" w:rsidRPr="008B143E" w:rsidRDefault="008B143E" w:rsidP="00F755A8">
          <w:pPr>
            <w:autoSpaceDE w:val="0"/>
            <w:autoSpaceDN w:val="0"/>
            <w:spacing w:line="480" w:lineRule="auto"/>
            <w:ind w:hanging="480"/>
            <w:divId w:val="1663509197"/>
            <w:rPr>
              <w:rFonts w:ascii="Calibri" w:eastAsia="Times New Roman" w:hAnsi="Calibri" w:cs="Calibri"/>
              <w:color w:val="000000"/>
            </w:rPr>
          </w:pPr>
          <w:r w:rsidRPr="008B143E">
            <w:rPr>
              <w:rFonts w:ascii="Calibri" w:eastAsia="Times New Roman" w:hAnsi="Calibri" w:cs="Calibri"/>
              <w:color w:val="000000"/>
            </w:rPr>
            <w:t xml:space="preserve">Huang, T., Bruderer, R., Muntel, J., Xuan, Y., Vitek, O., &amp; Reiter, L. (2020). Combining precursor and fragment information for improved detection of differential abundance in data independent acquisition*□s. </w:t>
          </w:r>
          <w:r w:rsidRPr="008B143E">
            <w:rPr>
              <w:rFonts w:ascii="Calibri" w:eastAsia="Times New Roman" w:hAnsi="Calibri" w:cs="Calibri"/>
              <w:i/>
              <w:iCs/>
              <w:color w:val="000000"/>
            </w:rPr>
            <w:t>Molecular and Cellular Proteomics</w:t>
          </w:r>
          <w:r w:rsidRPr="008B143E">
            <w:rPr>
              <w:rFonts w:ascii="Calibri" w:eastAsia="Times New Roman" w:hAnsi="Calibri" w:cs="Calibri"/>
              <w:color w:val="000000"/>
            </w:rPr>
            <w:t xml:space="preserve">, </w:t>
          </w:r>
          <w:r w:rsidRPr="008B143E">
            <w:rPr>
              <w:rFonts w:ascii="Calibri" w:eastAsia="Times New Roman" w:hAnsi="Calibri" w:cs="Calibri"/>
              <w:i/>
              <w:iCs/>
              <w:color w:val="000000"/>
            </w:rPr>
            <w:t>19</w:t>
          </w:r>
          <w:r w:rsidRPr="008B143E">
            <w:rPr>
              <w:rFonts w:ascii="Calibri" w:eastAsia="Times New Roman" w:hAnsi="Calibri" w:cs="Calibri"/>
              <w:color w:val="000000"/>
            </w:rPr>
            <w:t>(2), 421–430. https://doi.org/10.1074/mcp.RA119.001705</w:t>
          </w:r>
        </w:p>
        <w:p w14:paraId="0018FE92" w14:textId="0E7EB8E0" w:rsidR="003123FB" w:rsidRDefault="008B143E" w:rsidP="00F755A8">
          <w:pPr>
            <w:spacing w:line="480" w:lineRule="auto"/>
            <w:rPr>
              <w:rFonts w:ascii="Arial" w:hAnsi="Arial" w:cs="Arial"/>
              <w:color w:val="000000"/>
            </w:rPr>
          </w:pPr>
          <w:r w:rsidRPr="008B143E">
            <w:rPr>
              <w:rFonts w:ascii="Calibri" w:eastAsia="Times New Roman" w:hAnsi="Calibri" w:cs="Calibri"/>
              <w:color w:val="000000"/>
            </w:rPr>
            <w:t> </w:t>
          </w:r>
        </w:p>
      </w:sdtContent>
    </w:sdt>
    <w:p w14:paraId="64A62B0D" w14:textId="60AF8F41" w:rsidR="00265C93" w:rsidRDefault="00265C93" w:rsidP="00F755A8">
      <w:pPr>
        <w:spacing w:line="480" w:lineRule="auto"/>
      </w:pPr>
    </w:p>
    <w:p w14:paraId="50978A1A" w14:textId="77777777" w:rsidR="00D5177E" w:rsidRPr="00265C93" w:rsidRDefault="00D5177E" w:rsidP="00F755A8">
      <w:pPr>
        <w:spacing w:line="480" w:lineRule="auto"/>
      </w:pPr>
    </w:p>
    <w:sectPr w:rsidR="00D5177E" w:rsidRPr="00265C93" w:rsidSect="00E23451">
      <w:pgSz w:w="11906" w:h="16838"/>
      <w:pgMar w:top="1417" w:right="1134" w:bottom="1417" w:left="1134" w:header="708" w:footer="708"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C67D99" w14:textId="77777777" w:rsidR="003109E5" w:rsidRDefault="003109E5" w:rsidP="00E23451">
      <w:pPr>
        <w:spacing w:after="0" w:line="240" w:lineRule="auto"/>
      </w:pPr>
      <w:r>
        <w:separator/>
      </w:r>
    </w:p>
  </w:endnote>
  <w:endnote w:type="continuationSeparator" w:id="0">
    <w:p w14:paraId="0F009761" w14:textId="77777777" w:rsidR="003109E5" w:rsidRDefault="003109E5" w:rsidP="00E234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A5BB42" w14:textId="77777777" w:rsidR="003109E5" w:rsidRDefault="003109E5" w:rsidP="00E23451">
      <w:pPr>
        <w:spacing w:after="0" w:line="240" w:lineRule="auto"/>
      </w:pPr>
      <w:r>
        <w:separator/>
      </w:r>
    </w:p>
  </w:footnote>
  <w:footnote w:type="continuationSeparator" w:id="0">
    <w:p w14:paraId="0655637B" w14:textId="77777777" w:rsidR="003109E5" w:rsidRDefault="003109E5" w:rsidP="00E2345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02D4C11"/>
    <w:multiLevelType w:val="hybridMultilevel"/>
    <w:tmpl w:val="26668E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897642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3451"/>
    <w:rsid w:val="000734DB"/>
    <w:rsid w:val="0008376E"/>
    <w:rsid w:val="000C0EB9"/>
    <w:rsid w:val="000E1676"/>
    <w:rsid w:val="000E6F39"/>
    <w:rsid w:val="00113824"/>
    <w:rsid w:val="00137A81"/>
    <w:rsid w:val="00141784"/>
    <w:rsid w:val="0016387B"/>
    <w:rsid w:val="00184FDC"/>
    <w:rsid w:val="00194ACB"/>
    <w:rsid w:val="001B48D7"/>
    <w:rsid w:val="001C3909"/>
    <w:rsid w:val="001E7433"/>
    <w:rsid w:val="001F0BF3"/>
    <w:rsid w:val="001F2269"/>
    <w:rsid w:val="001F3853"/>
    <w:rsid w:val="002109D3"/>
    <w:rsid w:val="00222D06"/>
    <w:rsid w:val="00234828"/>
    <w:rsid w:val="00260C56"/>
    <w:rsid w:val="002624E4"/>
    <w:rsid w:val="002638AC"/>
    <w:rsid w:val="00263B06"/>
    <w:rsid w:val="00265C93"/>
    <w:rsid w:val="00287A8A"/>
    <w:rsid w:val="0029474E"/>
    <w:rsid w:val="002B2CA4"/>
    <w:rsid w:val="002D121F"/>
    <w:rsid w:val="003109E5"/>
    <w:rsid w:val="003123FB"/>
    <w:rsid w:val="003442A2"/>
    <w:rsid w:val="00355A09"/>
    <w:rsid w:val="003C1C03"/>
    <w:rsid w:val="003F0099"/>
    <w:rsid w:val="003F5F05"/>
    <w:rsid w:val="00413279"/>
    <w:rsid w:val="0041383C"/>
    <w:rsid w:val="00437F6E"/>
    <w:rsid w:val="00443FCD"/>
    <w:rsid w:val="00447259"/>
    <w:rsid w:val="004736E2"/>
    <w:rsid w:val="00475759"/>
    <w:rsid w:val="004855DB"/>
    <w:rsid w:val="004A0653"/>
    <w:rsid w:val="004A7C11"/>
    <w:rsid w:val="004B7BB4"/>
    <w:rsid w:val="004D67EC"/>
    <w:rsid w:val="004D68E9"/>
    <w:rsid w:val="004F79D6"/>
    <w:rsid w:val="00515B4D"/>
    <w:rsid w:val="005305E9"/>
    <w:rsid w:val="00552566"/>
    <w:rsid w:val="00562F91"/>
    <w:rsid w:val="00565B0E"/>
    <w:rsid w:val="00572178"/>
    <w:rsid w:val="005915E5"/>
    <w:rsid w:val="00595831"/>
    <w:rsid w:val="005B50FF"/>
    <w:rsid w:val="005E6765"/>
    <w:rsid w:val="00614D89"/>
    <w:rsid w:val="00617ECA"/>
    <w:rsid w:val="00655BE4"/>
    <w:rsid w:val="00680042"/>
    <w:rsid w:val="006957B4"/>
    <w:rsid w:val="006C2EDA"/>
    <w:rsid w:val="00702286"/>
    <w:rsid w:val="007145CB"/>
    <w:rsid w:val="00781B05"/>
    <w:rsid w:val="00790D68"/>
    <w:rsid w:val="00796B30"/>
    <w:rsid w:val="007A1B4B"/>
    <w:rsid w:val="007A2D44"/>
    <w:rsid w:val="007D5D66"/>
    <w:rsid w:val="008B143E"/>
    <w:rsid w:val="00923FDA"/>
    <w:rsid w:val="0093183C"/>
    <w:rsid w:val="00943D84"/>
    <w:rsid w:val="00951941"/>
    <w:rsid w:val="0096157B"/>
    <w:rsid w:val="00991DBB"/>
    <w:rsid w:val="00996EC2"/>
    <w:rsid w:val="009A0F4E"/>
    <w:rsid w:val="009D6C08"/>
    <w:rsid w:val="009E14D4"/>
    <w:rsid w:val="009F7536"/>
    <w:rsid w:val="00A10608"/>
    <w:rsid w:val="00A75D6A"/>
    <w:rsid w:val="00A816B7"/>
    <w:rsid w:val="00AB5E24"/>
    <w:rsid w:val="00AD1DC4"/>
    <w:rsid w:val="00AE053B"/>
    <w:rsid w:val="00AE684C"/>
    <w:rsid w:val="00AF03C2"/>
    <w:rsid w:val="00B0131F"/>
    <w:rsid w:val="00B52CDE"/>
    <w:rsid w:val="00B713E4"/>
    <w:rsid w:val="00B7706D"/>
    <w:rsid w:val="00BB0F60"/>
    <w:rsid w:val="00C018E1"/>
    <w:rsid w:val="00C51885"/>
    <w:rsid w:val="00C525C0"/>
    <w:rsid w:val="00C7798A"/>
    <w:rsid w:val="00C9333B"/>
    <w:rsid w:val="00D12B48"/>
    <w:rsid w:val="00D1552D"/>
    <w:rsid w:val="00D33270"/>
    <w:rsid w:val="00D5177E"/>
    <w:rsid w:val="00D56E01"/>
    <w:rsid w:val="00D576C6"/>
    <w:rsid w:val="00D57967"/>
    <w:rsid w:val="00D744FC"/>
    <w:rsid w:val="00D75296"/>
    <w:rsid w:val="00DA4E9F"/>
    <w:rsid w:val="00DA71CC"/>
    <w:rsid w:val="00DD7931"/>
    <w:rsid w:val="00DE02B5"/>
    <w:rsid w:val="00DE4BC1"/>
    <w:rsid w:val="00E0782F"/>
    <w:rsid w:val="00E23451"/>
    <w:rsid w:val="00E34981"/>
    <w:rsid w:val="00E45B9E"/>
    <w:rsid w:val="00E73F27"/>
    <w:rsid w:val="00F05098"/>
    <w:rsid w:val="00F23694"/>
    <w:rsid w:val="00F3770A"/>
    <w:rsid w:val="00F4027B"/>
    <w:rsid w:val="00F474C9"/>
    <w:rsid w:val="00F571ED"/>
    <w:rsid w:val="00F70A06"/>
    <w:rsid w:val="00F755A8"/>
    <w:rsid w:val="00FB31A3"/>
  </w:rsids>
  <m:mathPr>
    <m:mathFont m:val="Cambria Math"/>
    <m:brkBin m:val="before"/>
    <m:brkBinSub m:val="--"/>
    <m:smallFrac m:val="0"/>
    <m:dispDef/>
    <m:lMargin m:val="0"/>
    <m:rMargin m:val="0"/>
    <m:defJc m:val="centerGroup"/>
    <m:wrapIndent m:val="1440"/>
    <m:intLim m:val="subSup"/>
    <m:naryLim m:val="undOvr"/>
  </m:mathPr>
  <w:themeFontLang w:val="fi-FI"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A3DFFF"/>
  <w15:chartTrackingRefBased/>
  <w15:docId w15:val="{494163BD-913C-4CEB-AA70-4CF56B4971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14D4"/>
  </w:style>
  <w:style w:type="paragraph" w:styleId="Heading1">
    <w:name w:val="heading 1"/>
    <w:basedOn w:val="Normal"/>
    <w:next w:val="Normal"/>
    <w:link w:val="Heading1Char"/>
    <w:uiPriority w:val="9"/>
    <w:qFormat/>
    <w:rsid w:val="00E2345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2345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2345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2345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2345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2345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2345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2345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2345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2345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2345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2345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2345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2345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2345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2345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2345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23451"/>
    <w:rPr>
      <w:rFonts w:eastAsiaTheme="majorEastAsia" w:cstheme="majorBidi"/>
      <w:color w:val="272727" w:themeColor="text1" w:themeTint="D8"/>
    </w:rPr>
  </w:style>
  <w:style w:type="paragraph" w:styleId="Title">
    <w:name w:val="Title"/>
    <w:basedOn w:val="Normal"/>
    <w:next w:val="Normal"/>
    <w:link w:val="TitleChar"/>
    <w:uiPriority w:val="10"/>
    <w:qFormat/>
    <w:rsid w:val="00E2345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2345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2345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2345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23451"/>
    <w:pPr>
      <w:spacing w:before="160"/>
      <w:jc w:val="center"/>
    </w:pPr>
    <w:rPr>
      <w:i/>
      <w:iCs/>
      <w:color w:val="404040" w:themeColor="text1" w:themeTint="BF"/>
    </w:rPr>
  </w:style>
  <w:style w:type="character" w:customStyle="1" w:styleId="QuoteChar">
    <w:name w:val="Quote Char"/>
    <w:basedOn w:val="DefaultParagraphFont"/>
    <w:link w:val="Quote"/>
    <w:uiPriority w:val="29"/>
    <w:rsid w:val="00E23451"/>
    <w:rPr>
      <w:i/>
      <w:iCs/>
      <w:color w:val="404040" w:themeColor="text1" w:themeTint="BF"/>
    </w:rPr>
  </w:style>
  <w:style w:type="paragraph" w:styleId="ListParagraph">
    <w:name w:val="List Paragraph"/>
    <w:basedOn w:val="Normal"/>
    <w:uiPriority w:val="34"/>
    <w:qFormat/>
    <w:rsid w:val="00E23451"/>
    <w:pPr>
      <w:ind w:left="720"/>
      <w:contextualSpacing/>
    </w:pPr>
  </w:style>
  <w:style w:type="character" w:styleId="IntenseEmphasis">
    <w:name w:val="Intense Emphasis"/>
    <w:basedOn w:val="DefaultParagraphFont"/>
    <w:uiPriority w:val="21"/>
    <w:qFormat/>
    <w:rsid w:val="00E23451"/>
    <w:rPr>
      <w:i/>
      <w:iCs/>
      <w:color w:val="2F5496" w:themeColor="accent1" w:themeShade="BF"/>
    </w:rPr>
  </w:style>
  <w:style w:type="paragraph" w:styleId="IntenseQuote">
    <w:name w:val="Intense Quote"/>
    <w:basedOn w:val="Normal"/>
    <w:next w:val="Normal"/>
    <w:link w:val="IntenseQuoteChar"/>
    <w:uiPriority w:val="30"/>
    <w:qFormat/>
    <w:rsid w:val="00E2345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23451"/>
    <w:rPr>
      <w:i/>
      <w:iCs/>
      <w:color w:val="2F5496" w:themeColor="accent1" w:themeShade="BF"/>
    </w:rPr>
  </w:style>
  <w:style w:type="character" w:styleId="IntenseReference">
    <w:name w:val="Intense Reference"/>
    <w:basedOn w:val="DefaultParagraphFont"/>
    <w:uiPriority w:val="32"/>
    <w:qFormat/>
    <w:rsid w:val="00E23451"/>
    <w:rPr>
      <w:b/>
      <w:bCs/>
      <w:smallCaps/>
      <w:color w:val="2F5496" w:themeColor="accent1" w:themeShade="BF"/>
      <w:spacing w:val="5"/>
    </w:rPr>
  </w:style>
  <w:style w:type="character" w:styleId="LineNumber">
    <w:name w:val="line number"/>
    <w:basedOn w:val="DefaultParagraphFont"/>
    <w:uiPriority w:val="99"/>
    <w:semiHidden/>
    <w:unhideWhenUsed/>
    <w:rsid w:val="00E23451"/>
  </w:style>
  <w:style w:type="paragraph" w:styleId="FootnoteText">
    <w:name w:val="footnote text"/>
    <w:basedOn w:val="Normal"/>
    <w:link w:val="FootnoteTextChar"/>
    <w:uiPriority w:val="99"/>
    <w:semiHidden/>
    <w:unhideWhenUsed/>
    <w:rsid w:val="00E2345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23451"/>
    <w:rPr>
      <w:sz w:val="20"/>
      <w:szCs w:val="20"/>
    </w:rPr>
  </w:style>
  <w:style w:type="character" w:styleId="FootnoteReference">
    <w:name w:val="footnote reference"/>
    <w:basedOn w:val="DefaultParagraphFont"/>
    <w:uiPriority w:val="99"/>
    <w:semiHidden/>
    <w:unhideWhenUsed/>
    <w:rsid w:val="00E23451"/>
    <w:rPr>
      <w:vertAlign w:val="superscript"/>
    </w:rPr>
  </w:style>
  <w:style w:type="character" w:styleId="PlaceholderText">
    <w:name w:val="Placeholder Text"/>
    <w:basedOn w:val="DefaultParagraphFont"/>
    <w:uiPriority w:val="99"/>
    <w:semiHidden/>
    <w:rsid w:val="00E23451"/>
    <w:rPr>
      <w:color w:val="666666"/>
    </w:rPr>
  </w:style>
  <w:style w:type="paragraph" w:styleId="Caption">
    <w:name w:val="caption"/>
    <w:basedOn w:val="Normal"/>
    <w:next w:val="Normal"/>
    <w:uiPriority w:val="35"/>
    <w:unhideWhenUsed/>
    <w:qFormat/>
    <w:rsid w:val="003123FB"/>
    <w:pPr>
      <w:spacing w:after="200" w:line="240" w:lineRule="auto"/>
    </w:pPr>
    <w:rPr>
      <w:i/>
      <w:iCs/>
      <w:color w:val="44546A" w:themeColor="text2"/>
      <w:sz w:val="18"/>
      <w:szCs w:val="18"/>
    </w:rPr>
  </w:style>
  <w:style w:type="table" w:styleId="TableGrid">
    <w:name w:val="Table Grid"/>
    <w:basedOn w:val="TableNormal"/>
    <w:uiPriority w:val="39"/>
    <w:rsid w:val="00DA71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semiHidden/>
    <w:unhideWhenUsed/>
    <w:rsid w:val="00D576C6"/>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D576C6"/>
    <w:rPr>
      <w:rFonts w:ascii="Consolas" w:hAnsi="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19999">
      <w:marLeft w:val="480"/>
      <w:marRight w:val="0"/>
      <w:marTop w:val="0"/>
      <w:marBottom w:val="0"/>
      <w:divBdr>
        <w:top w:val="none" w:sz="0" w:space="0" w:color="auto"/>
        <w:left w:val="none" w:sz="0" w:space="0" w:color="auto"/>
        <w:bottom w:val="none" w:sz="0" w:space="0" w:color="auto"/>
        <w:right w:val="none" w:sz="0" w:space="0" w:color="auto"/>
      </w:divBdr>
    </w:div>
    <w:div w:id="26109089">
      <w:marLeft w:val="480"/>
      <w:marRight w:val="0"/>
      <w:marTop w:val="0"/>
      <w:marBottom w:val="0"/>
      <w:divBdr>
        <w:top w:val="none" w:sz="0" w:space="0" w:color="auto"/>
        <w:left w:val="none" w:sz="0" w:space="0" w:color="auto"/>
        <w:bottom w:val="none" w:sz="0" w:space="0" w:color="auto"/>
        <w:right w:val="none" w:sz="0" w:space="0" w:color="auto"/>
      </w:divBdr>
    </w:div>
    <w:div w:id="47190740">
      <w:marLeft w:val="480"/>
      <w:marRight w:val="0"/>
      <w:marTop w:val="0"/>
      <w:marBottom w:val="0"/>
      <w:divBdr>
        <w:top w:val="none" w:sz="0" w:space="0" w:color="auto"/>
        <w:left w:val="none" w:sz="0" w:space="0" w:color="auto"/>
        <w:bottom w:val="none" w:sz="0" w:space="0" w:color="auto"/>
        <w:right w:val="none" w:sz="0" w:space="0" w:color="auto"/>
      </w:divBdr>
    </w:div>
    <w:div w:id="68575731">
      <w:marLeft w:val="480"/>
      <w:marRight w:val="0"/>
      <w:marTop w:val="0"/>
      <w:marBottom w:val="0"/>
      <w:divBdr>
        <w:top w:val="none" w:sz="0" w:space="0" w:color="auto"/>
        <w:left w:val="none" w:sz="0" w:space="0" w:color="auto"/>
        <w:bottom w:val="none" w:sz="0" w:space="0" w:color="auto"/>
        <w:right w:val="none" w:sz="0" w:space="0" w:color="auto"/>
      </w:divBdr>
    </w:div>
    <w:div w:id="76249726">
      <w:marLeft w:val="480"/>
      <w:marRight w:val="0"/>
      <w:marTop w:val="0"/>
      <w:marBottom w:val="0"/>
      <w:divBdr>
        <w:top w:val="none" w:sz="0" w:space="0" w:color="auto"/>
        <w:left w:val="none" w:sz="0" w:space="0" w:color="auto"/>
        <w:bottom w:val="none" w:sz="0" w:space="0" w:color="auto"/>
        <w:right w:val="none" w:sz="0" w:space="0" w:color="auto"/>
      </w:divBdr>
    </w:div>
    <w:div w:id="100688432">
      <w:marLeft w:val="480"/>
      <w:marRight w:val="0"/>
      <w:marTop w:val="0"/>
      <w:marBottom w:val="0"/>
      <w:divBdr>
        <w:top w:val="none" w:sz="0" w:space="0" w:color="auto"/>
        <w:left w:val="none" w:sz="0" w:space="0" w:color="auto"/>
        <w:bottom w:val="none" w:sz="0" w:space="0" w:color="auto"/>
        <w:right w:val="none" w:sz="0" w:space="0" w:color="auto"/>
      </w:divBdr>
    </w:div>
    <w:div w:id="130902699">
      <w:marLeft w:val="480"/>
      <w:marRight w:val="0"/>
      <w:marTop w:val="0"/>
      <w:marBottom w:val="0"/>
      <w:divBdr>
        <w:top w:val="none" w:sz="0" w:space="0" w:color="auto"/>
        <w:left w:val="none" w:sz="0" w:space="0" w:color="auto"/>
        <w:bottom w:val="none" w:sz="0" w:space="0" w:color="auto"/>
        <w:right w:val="none" w:sz="0" w:space="0" w:color="auto"/>
      </w:divBdr>
    </w:div>
    <w:div w:id="152113109">
      <w:marLeft w:val="480"/>
      <w:marRight w:val="0"/>
      <w:marTop w:val="0"/>
      <w:marBottom w:val="0"/>
      <w:divBdr>
        <w:top w:val="none" w:sz="0" w:space="0" w:color="auto"/>
        <w:left w:val="none" w:sz="0" w:space="0" w:color="auto"/>
        <w:bottom w:val="none" w:sz="0" w:space="0" w:color="auto"/>
        <w:right w:val="none" w:sz="0" w:space="0" w:color="auto"/>
      </w:divBdr>
    </w:div>
    <w:div w:id="178005554">
      <w:marLeft w:val="480"/>
      <w:marRight w:val="0"/>
      <w:marTop w:val="0"/>
      <w:marBottom w:val="0"/>
      <w:divBdr>
        <w:top w:val="none" w:sz="0" w:space="0" w:color="auto"/>
        <w:left w:val="none" w:sz="0" w:space="0" w:color="auto"/>
        <w:bottom w:val="none" w:sz="0" w:space="0" w:color="auto"/>
        <w:right w:val="none" w:sz="0" w:space="0" w:color="auto"/>
      </w:divBdr>
    </w:div>
    <w:div w:id="187333533">
      <w:marLeft w:val="480"/>
      <w:marRight w:val="0"/>
      <w:marTop w:val="0"/>
      <w:marBottom w:val="0"/>
      <w:divBdr>
        <w:top w:val="none" w:sz="0" w:space="0" w:color="auto"/>
        <w:left w:val="none" w:sz="0" w:space="0" w:color="auto"/>
        <w:bottom w:val="none" w:sz="0" w:space="0" w:color="auto"/>
        <w:right w:val="none" w:sz="0" w:space="0" w:color="auto"/>
      </w:divBdr>
    </w:div>
    <w:div w:id="203489389">
      <w:marLeft w:val="480"/>
      <w:marRight w:val="0"/>
      <w:marTop w:val="0"/>
      <w:marBottom w:val="0"/>
      <w:divBdr>
        <w:top w:val="none" w:sz="0" w:space="0" w:color="auto"/>
        <w:left w:val="none" w:sz="0" w:space="0" w:color="auto"/>
        <w:bottom w:val="none" w:sz="0" w:space="0" w:color="auto"/>
        <w:right w:val="none" w:sz="0" w:space="0" w:color="auto"/>
      </w:divBdr>
    </w:div>
    <w:div w:id="211617882">
      <w:marLeft w:val="480"/>
      <w:marRight w:val="0"/>
      <w:marTop w:val="0"/>
      <w:marBottom w:val="0"/>
      <w:divBdr>
        <w:top w:val="none" w:sz="0" w:space="0" w:color="auto"/>
        <w:left w:val="none" w:sz="0" w:space="0" w:color="auto"/>
        <w:bottom w:val="none" w:sz="0" w:space="0" w:color="auto"/>
        <w:right w:val="none" w:sz="0" w:space="0" w:color="auto"/>
      </w:divBdr>
    </w:div>
    <w:div w:id="212161131">
      <w:marLeft w:val="480"/>
      <w:marRight w:val="0"/>
      <w:marTop w:val="0"/>
      <w:marBottom w:val="0"/>
      <w:divBdr>
        <w:top w:val="none" w:sz="0" w:space="0" w:color="auto"/>
        <w:left w:val="none" w:sz="0" w:space="0" w:color="auto"/>
        <w:bottom w:val="none" w:sz="0" w:space="0" w:color="auto"/>
        <w:right w:val="none" w:sz="0" w:space="0" w:color="auto"/>
      </w:divBdr>
    </w:div>
    <w:div w:id="262959081">
      <w:marLeft w:val="480"/>
      <w:marRight w:val="0"/>
      <w:marTop w:val="0"/>
      <w:marBottom w:val="0"/>
      <w:divBdr>
        <w:top w:val="none" w:sz="0" w:space="0" w:color="auto"/>
        <w:left w:val="none" w:sz="0" w:space="0" w:color="auto"/>
        <w:bottom w:val="none" w:sz="0" w:space="0" w:color="auto"/>
        <w:right w:val="none" w:sz="0" w:space="0" w:color="auto"/>
      </w:divBdr>
    </w:div>
    <w:div w:id="264460684">
      <w:marLeft w:val="480"/>
      <w:marRight w:val="0"/>
      <w:marTop w:val="0"/>
      <w:marBottom w:val="0"/>
      <w:divBdr>
        <w:top w:val="none" w:sz="0" w:space="0" w:color="auto"/>
        <w:left w:val="none" w:sz="0" w:space="0" w:color="auto"/>
        <w:bottom w:val="none" w:sz="0" w:space="0" w:color="auto"/>
        <w:right w:val="none" w:sz="0" w:space="0" w:color="auto"/>
      </w:divBdr>
    </w:div>
    <w:div w:id="278070804">
      <w:marLeft w:val="480"/>
      <w:marRight w:val="0"/>
      <w:marTop w:val="0"/>
      <w:marBottom w:val="0"/>
      <w:divBdr>
        <w:top w:val="none" w:sz="0" w:space="0" w:color="auto"/>
        <w:left w:val="none" w:sz="0" w:space="0" w:color="auto"/>
        <w:bottom w:val="none" w:sz="0" w:space="0" w:color="auto"/>
        <w:right w:val="none" w:sz="0" w:space="0" w:color="auto"/>
      </w:divBdr>
    </w:div>
    <w:div w:id="312608571">
      <w:marLeft w:val="480"/>
      <w:marRight w:val="0"/>
      <w:marTop w:val="0"/>
      <w:marBottom w:val="0"/>
      <w:divBdr>
        <w:top w:val="none" w:sz="0" w:space="0" w:color="auto"/>
        <w:left w:val="none" w:sz="0" w:space="0" w:color="auto"/>
        <w:bottom w:val="none" w:sz="0" w:space="0" w:color="auto"/>
        <w:right w:val="none" w:sz="0" w:space="0" w:color="auto"/>
      </w:divBdr>
    </w:div>
    <w:div w:id="318506129">
      <w:marLeft w:val="480"/>
      <w:marRight w:val="0"/>
      <w:marTop w:val="0"/>
      <w:marBottom w:val="0"/>
      <w:divBdr>
        <w:top w:val="none" w:sz="0" w:space="0" w:color="auto"/>
        <w:left w:val="none" w:sz="0" w:space="0" w:color="auto"/>
        <w:bottom w:val="none" w:sz="0" w:space="0" w:color="auto"/>
        <w:right w:val="none" w:sz="0" w:space="0" w:color="auto"/>
      </w:divBdr>
    </w:div>
    <w:div w:id="348725537">
      <w:marLeft w:val="480"/>
      <w:marRight w:val="0"/>
      <w:marTop w:val="0"/>
      <w:marBottom w:val="0"/>
      <w:divBdr>
        <w:top w:val="none" w:sz="0" w:space="0" w:color="auto"/>
        <w:left w:val="none" w:sz="0" w:space="0" w:color="auto"/>
        <w:bottom w:val="none" w:sz="0" w:space="0" w:color="auto"/>
        <w:right w:val="none" w:sz="0" w:space="0" w:color="auto"/>
      </w:divBdr>
    </w:div>
    <w:div w:id="356200414">
      <w:marLeft w:val="480"/>
      <w:marRight w:val="0"/>
      <w:marTop w:val="0"/>
      <w:marBottom w:val="0"/>
      <w:divBdr>
        <w:top w:val="none" w:sz="0" w:space="0" w:color="auto"/>
        <w:left w:val="none" w:sz="0" w:space="0" w:color="auto"/>
        <w:bottom w:val="none" w:sz="0" w:space="0" w:color="auto"/>
        <w:right w:val="none" w:sz="0" w:space="0" w:color="auto"/>
      </w:divBdr>
    </w:div>
    <w:div w:id="359555335">
      <w:marLeft w:val="480"/>
      <w:marRight w:val="0"/>
      <w:marTop w:val="0"/>
      <w:marBottom w:val="0"/>
      <w:divBdr>
        <w:top w:val="none" w:sz="0" w:space="0" w:color="auto"/>
        <w:left w:val="none" w:sz="0" w:space="0" w:color="auto"/>
        <w:bottom w:val="none" w:sz="0" w:space="0" w:color="auto"/>
        <w:right w:val="none" w:sz="0" w:space="0" w:color="auto"/>
      </w:divBdr>
    </w:div>
    <w:div w:id="363673081">
      <w:marLeft w:val="480"/>
      <w:marRight w:val="0"/>
      <w:marTop w:val="0"/>
      <w:marBottom w:val="0"/>
      <w:divBdr>
        <w:top w:val="none" w:sz="0" w:space="0" w:color="auto"/>
        <w:left w:val="none" w:sz="0" w:space="0" w:color="auto"/>
        <w:bottom w:val="none" w:sz="0" w:space="0" w:color="auto"/>
        <w:right w:val="none" w:sz="0" w:space="0" w:color="auto"/>
      </w:divBdr>
    </w:div>
    <w:div w:id="382213314">
      <w:marLeft w:val="480"/>
      <w:marRight w:val="0"/>
      <w:marTop w:val="0"/>
      <w:marBottom w:val="0"/>
      <w:divBdr>
        <w:top w:val="none" w:sz="0" w:space="0" w:color="auto"/>
        <w:left w:val="none" w:sz="0" w:space="0" w:color="auto"/>
        <w:bottom w:val="none" w:sz="0" w:space="0" w:color="auto"/>
        <w:right w:val="none" w:sz="0" w:space="0" w:color="auto"/>
      </w:divBdr>
    </w:div>
    <w:div w:id="387265489">
      <w:marLeft w:val="480"/>
      <w:marRight w:val="0"/>
      <w:marTop w:val="0"/>
      <w:marBottom w:val="0"/>
      <w:divBdr>
        <w:top w:val="none" w:sz="0" w:space="0" w:color="auto"/>
        <w:left w:val="none" w:sz="0" w:space="0" w:color="auto"/>
        <w:bottom w:val="none" w:sz="0" w:space="0" w:color="auto"/>
        <w:right w:val="none" w:sz="0" w:space="0" w:color="auto"/>
      </w:divBdr>
    </w:div>
    <w:div w:id="396167321">
      <w:marLeft w:val="480"/>
      <w:marRight w:val="0"/>
      <w:marTop w:val="0"/>
      <w:marBottom w:val="0"/>
      <w:divBdr>
        <w:top w:val="none" w:sz="0" w:space="0" w:color="auto"/>
        <w:left w:val="none" w:sz="0" w:space="0" w:color="auto"/>
        <w:bottom w:val="none" w:sz="0" w:space="0" w:color="auto"/>
        <w:right w:val="none" w:sz="0" w:space="0" w:color="auto"/>
      </w:divBdr>
    </w:div>
    <w:div w:id="408625254">
      <w:marLeft w:val="480"/>
      <w:marRight w:val="0"/>
      <w:marTop w:val="0"/>
      <w:marBottom w:val="0"/>
      <w:divBdr>
        <w:top w:val="none" w:sz="0" w:space="0" w:color="auto"/>
        <w:left w:val="none" w:sz="0" w:space="0" w:color="auto"/>
        <w:bottom w:val="none" w:sz="0" w:space="0" w:color="auto"/>
        <w:right w:val="none" w:sz="0" w:space="0" w:color="auto"/>
      </w:divBdr>
    </w:div>
    <w:div w:id="421529031">
      <w:marLeft w:val="480"/>
      <w:marRight w:val="0"/>
      <w:marTop w:val="0"/>
      <w:marBottom w:val="0"/>
      <w:divBdr>
        <w:top w:val="none" w:sz="0" w:space="0" w:color="auto"/>
        <w:left w:val="none" w:sz="0" w:space="0" w:color="auto"/>
        <w:bottom w:val="none" w:sz="0" w:space="0" w:color="auto"/>
        <w:right w:val="none" w:sz="0" w:space="0" w:color="auto"/>
      </w:divBdr>
    </w:div>
    <w:div w:id="445807581">
      <w:marLeft w:val="480"/>
      <w:marRight w:val="0"/>
      <w:marTop w:val="0"/>
      <w:marBottom w:val="0"/>
      <w:divBdr>
        <w:top w:val="none" w:sz="0" w:space="0" w:color="auto"/>
        <w:left w:val="none" w:sz="0" w:space="0" w:color="auto"/>
        <w:bottom w:val="none" w:sz="0" w:space="0" w:color="auto"/>
        <w:right w:val="none" w:sz="0" w:space="0" w:color="auto"/>
      </w:divBdr>
    </w:div>
    <w:div w:id="459612051">
      <w:marLeft w:val="480"/>
      <w:marRight w:val="0"/>
      <w:marTop w:val="0"/>
      <w:marBottom w:val="0"/>
      <w:divBdr>
        <w:top w:val="none" w:sz="0" w:space="0" w:color="auto"/>
        <w:left w:val="none" w:sz="0" w:space="0" w:color="auto"/>
        <w:bottom w:val="none" w:sz="0" w:space="0" w:color="auto"/>
        <w:right w:val="none" w:sz="0" w:space="0" w:color="auto"/>
      </w:divBdr>
    </w:div>
    <w:div w:id="485511726">
      <w:marLeft w:val="480"/>
      <w:marRight w:val="0"/>
      <w:marTop w:val="0"/>
      <w:marBottom w:val="0"/>
      <w:divBdr>
        <w:top w:val="none" w:sz="0" w:space="0" w:color="auto"/>
        <w:left w:val="none" w:sz="0" w:space="0" w:color="auto"/>
        <w:bottom w:val="none" w:sz="0" w:space="0" w:color="auto"/>
        <w:right w:val="none" w:sz="0" w:space="0" w:color="auto"/>
      </w:divBdr>
    </w:div>
    <w:div w:id="496460519">
      <w:marLeft w:val="480"/>
      <w:marRight w:val="0"/>
      <w:marTop w:val="0"/>
      <w:marBottom w:val="0"/>
      <w:divBdr>
        <w:top w:val="none" w:sz="0" w:space="0" w:color="auto"/>
        <w:left w:val="none" w:sz="0" w:space="0" w:color="auto"/>
        <w:bottom w:val="none" w:sz="0" w:space="0" w:color="auto"/>
        <w:right w:val="none" w:sz="0" w:space="0" w:color="auto"/>
      </w:divBdr>
    </w:div>
    <w:div w:id="511532509">
      <w:marLeft w:val="480"/>
      <w:marRight w:val="0"/>
      <w:marTop w:val="0"/>
      <w:marBottom w:val="0"/>
      <w:divBdr>
        <w:top w:val="none" w:sz="0" w:space="0" w:color="auto"/>
        <w:left w:val="none" w:sz="0" w:space="0" w:color="auto"/>
        <w:bottom w:val="none" w:sz="0" w:space="0" w:color="auto"/>
        <w:right w:val="none" w:sz="0" w:space="0" w:color="auto"/>
      </w:divBdr>
    </w:div>
    <w:div w:id="521746075">
      <w:marLeft w:val="480"/>
      <w:marRight w:val="0"/>
      <w:marTop w:val="0"/>
      <w:marBottom w:val="0"/>
      <w:divBdr>
        <w:top w:val="none" w:sz="0" w:space="0" w:color="auto"/>
        <w:left w:val="none" w:sz="0" w:space="0" w:color="auto"/>
        <w:bottom w:val="none" w:sz="0" w:space="0" w:color="auto"/>
        <w:right w:val="none" w:sz="0" w:space="0" w:color="auto"/>
      </w:divBdr>
    </w:div>
    <w:div w:id="525367061">
      <w:marLeft w:val="480"/>
      <w:marRight w:val="0"/>
      <w:marTop w:val="0"/>
      <w:marBottom w:val="0"/>
      <w:divBdr>
        <w:top w:val="none" w:sz="0" w:space="0" w:color="auto"/>
        <w:left w:val="none" w:sz="0" w:space="0" w:color="auto"/>
        <w:bottom w:val="none" w:sz="0" w:space="0" w:color="auto"/>
        <w:right w:val="none" w:sz="0" w:space="0" w:color="auto"/>
      </w:divBdr>
    </w:div>
    <w:div w:id="545796462">
      <w:marLeft w:val="480"/>
      <w:marRight w:val="0"/>
      <w:marTop w:val="0"/>
      <w:marBottom w:val="0"/>
      <w:divBdr>
        <w:top w:val="none" w:sz="0" w:space="0" w:color="auto"/>
        <w:left w:val="none" w:sz="0" w:space="0" w:color="auto"/>
        <w:bottom w:val="none" w:sz="0" w:space="0" w:color="auto"/>
        <w:right w:val="none" w:sz="0" w:space="0" w:color="auto"/>
      </w:divBdr>
    </w:div>
    <w:div w:id="554858558">
      <w:marLeft w:val="480"/>
      <w:marRight w:val="0"/>
      <w:marTop w:val="0"/>
      <w:marBottom w:val="0"/>
      <w:divBdr>
        <w:top w:val="none" w:sz="0" w:space="0" w:color="auto"/>
        <w:left w:val="none" w:sz="0" w:space="0" w:color="auto"/>
        <w:bottom w:val="none" w:sz="0" w:space="0" w:color="auto"/>
        <w:right w:val="none" w:sz="0" w:space="0" w:color="auto"/>
      </w:divBdr>
    </w:div>
    <w:div w:id="562298924">
      <w:marLeft w:val="480"/>
      <w:marRight w:val="0"/>
      <w:marTop w:val="0"/>
      <w:marBottom w:val="0"/>
      <w:divBdr>
        <w:top w:val="none" w:sz="0" w:space="0" w:color="auto"/>
        <w:left w:val="none" w:sz="0" w:space="0" w:color="auto"/>
        <w:bottom w:val="none" w:sz="0" w:space="0" w:color="auto"/>
        <w:right w:val="none" w:sz="0" w:space="0" w:color="auto"/>
      </w:divBdr>
    </w:div>
    <w:div w:id="572198076">
      <w:marLeft w:val="480"/>
      <w:marRight w:val="0"/>
      <w:marTop w:val="0"/>
      <w:marBottom w:val="0"/>
      <w:divBdr>
        <w:top w:val="none" w:sz="0" w:space="0" w:color="auto"/>
        <w:left w:val="none" w:sz="0" w:space="0" w:color="auto"/>
        <w:bottom w:val="none" w:sz="0" w:space="0" w:color="auto"/>
        <w:right w:val="none" w:sz="0" w:space="0" w:color="auto"/>
      </w:divBdr>
    </w:div>
    <w:div w:id="595140176">
      <w:marLeft w:val="480"/>
      <w:marRight w:val="0"/>
      <w:marTop w:val="0"/>
      <w:marBottom w:val="0"/>
      <w:divBdr>
        <w:top w:val="none" w:sz="0" w:space="0" w:color="auto"/>
        <w:left w:val="none" w:sz="0" w:space="0" w:color="auto"/>
        <w:bottom w:val="none" w:sz="0" w:space="0" w:color="auto"/>
        <w:right w:val="none" w:sz="0" w:space="0" w:color="auto"/>
      </w:divBdr>
    </w:div>
    <w:div w:id="596910502">
      <w:marLeft w:val="480"/>
      <w:marRight w:val="0"/>
      <w:marTop w:val="0"/>
      <w:marBottom w:val="0"/>
      <w:divBdr>
        <w:top w:val="none" w:sz="0" w:space="0" w:color="auto"/>
        <w:left w:val="none" w:sz="0" w:space="0" w:color="auto"/>
        <w:bottom w:val="none" w:sz="0" w:space="0" w:color="auto"/>
        <w:right w:val="none" w:sz="0" w:space="0" w:color="auto"/>
      </w:divBdr>
    </w:div>
    <w:div w:id="597063123">
      <w:marLeft w:val="480"/>
      <w:marRight w:val="0"/>
      <w:marTop w:val="0"/>
      <w:marBottom w:val="0"/>
      <w:divBdr>
        <w:top w:val="none" w:sz="0" w:space="0" w:color="auto"/>
        <w:left w:val="none" w:sz="0" w:space="0" w:color="auto"/>
        <w:bottom w:val="none" w:sz="0" w:space="0" w:color="auto"/>
        <w:right w:val="none" w:sz="0" w:space="0" w:color="auto"/>
      </w:divBdr>
    </w:div>
    <w:div w:id="600069910">
      <w:marLeft w:val="480"/>
      <w:marRight w:val="0"/>
      <w:marTop w:val="0"/>
      <w:marBottom w:val="0"/>
      <w:divBdr>
        <w:top w:val="none" w:sz="0" w:space="0" w:color="auto"/>
        <w:left w:val="none" w:sz="0" w:space="0" w:color="auto"/>
        <w:bottom w:val="none" w:sz="0" w:space="0" w:color="auto"/>
        <w:right w:val="none" w:sz="0" w:space="0" w:color="auto"/>
      </w:divBdr>
    </w:div>
    <w:div w:id="610818693">
      <w:marLeft w:val="480"/>
      <w:marRight w:val="0"/>
      <w:marTop w:val="0"/>
      <w:marBottom w:val="0"/>
      <w:divBdr>
        <w:top w:val="none" w:sz="0" w:space="0" w:color="auto"/>
        <w:left w:val="none" w:sz="0" w:space="0" w:color="auto"/>
        <w:bottom w:val="none" w:sz="0" w:space="0" w:color="auto"/>
        <w:right w:val="none" w:sz="0" w:space="0" w:color="auto"/>
      </w:divBdr>
    </w:div>
    <w:div w:id="628441580">
      <w:marLeft w:val="480"/>
      <w:marRight w:val="0"/>
      <w:marTop w:val="0"/>
      <w:marBottom w:val="0"/>
      <w:divBdr>
        <w:top w:val="none" w:sz="0" w:space="0" w:color="auto"/>
        <w:left w:val="none" w:sz="0" w:space="0" w:color="auto"/>
        <w:bottom w:val="none" w:sz="0" w:space="0" w:color="auto"/>
        <w:right w:val="none" w:sz="0" w:space="0" w:color="auto"/>
      </w:divBdr>
    </w:div>
    <w:div w:id="629868577">
      <w:marLeft w:val="480"/>
      <w:marRight w:val="0"/>
      <w:marTop w:val="0"/>
      <w:marBottom w:val="0"/>
      <w:divBdr>
        <w:top w:val="none" w:sz="0" w:space="0" w:color="auto"/>
        <w:left w:val="none" w:sz="0" w:space="0" w:color="auto"/>
        <w:bottom w:val="none" w:sz="0" w:space="0" w:color="auto"/>
        <w:right w:val="none" w:sz="0" w:space="0" w:color="auto"/>
      </w:divBdr>
    </w:div>
    <w:div w:id="647635344">
      <w:marLeft w:val="480"/>
      <w:marRight w:val="0"/>
      <w:marTop w:val="0"/>
      <w:marBottom w:val="0"/>
      <w:divBdr>
        <w:top w:val="none" w:sz="0" w:space="0" w:color="auto"/>
        <w:left w:val="none" w:sz="0" w:space="0" w:color="auto"/>
        <w:bottom w:val="none" w:sz="0" w:space="0" w:color="auto"/>
        <w:right w:val="none" w:sz="0" w:space="0" w:color="auto"/>
      </w:divBdr>
    </w:div>
    <w:div w:id="653265091">
      <w:marLeft w:val="480"/>
      <w:marRight w:val="0"/>
      <w:marTop w:val="0"/>
      <w:marBottom w:val="0"/>
      <w:divBdr>
        <w:top w:val="none" w:sz="0" w:space="0" w:color="auto"/>
        <w:left w:val="none" w:sz="0" w:space="0" w:color="auto"/>
        <w:bottom w:val="none" w:sz="0" w:space="0" w:color="auto"/>
        <w:right w:val="none" w:sz="0" w:space="0" w:color="auto"/>
      </w:divBdr>
    </w:div>
    <w:div w:id="678657308">
      <w:marLeft w:val="480"/>
      <w:marRight w:val="0"/>
      <w:marTop w:val="0"/>
      <w:marBottom w:val="0"/>
      <w:divBdr>
        <w:top w:val="none" w:sz="0" w:space="0" w:color="auto"/>
        <w:left w:val="none" w:sz="0" w:space="0" w:color="auto"/>
        <w:bottom w:val="none" w:sz="0" w:space="0" w:color="auto"/>
        <w:right w:val="none" w:sz="0" w:space="0" w:color="auto"/>
      </w:divBdr>
    </w:div>
    <w:div w:id="749933396">
      <w:marLeft w:val="480"/>
      <w:marRight w:val="0"/>
      <w:marTop w:val="0"/>
      <w:marBottom w:val="0"/>
      <w:divBdr>
        <w:top w:val="none" w:sz="0" w:space="0" w:color="auto"/>
        <w:left w:val="none" w:sz="0" w:space="0" w:color="auto"/>
        <w:bottom w:val="none" w:sz="0" w:space="0" w:color="auto"/>
        <w:right w:val="none" w:sz="0" w:space="0" w:color="auto"/>
      </w:divBdr>
    </w:div>
    <w:div w:id="753009350">
      <w:marLeft w:val="480"/>
      <w:marRight w:val="0"/>
      <w:marTop w:val="0"/>
      <w:marBottom w:val="0"/>
      <w:divBdr>
        <w:top w:val="none" w:sz="0" w:space="0" w:color="auto"/>
        <w:left w:val="none" w:sz="0" w:space="0" w:color="auto"/>
        <w:bottom w:val="none" w:sz="0" w:space="0" w:color="auto"/>
        <w:right w:val="none" w:sz="0" w:space="0" w:color="auto"/>
      </w:divBdr>
    </w:div>
    <w:div w:id="760681000">
      <w:marLeft w:val="480"/>
      <w:marRight w:val="0"/>
      <w:marTop w:val="0"/>
      <w:marBottom w:val="0"/>
      <w:divBdr>
        <w:top w:val="none" w:sz="0" w:space="0" w:color="auto"/>
        <w:left w:val="none" w:sz="0" w:space="0" w:color="auto"/>
        <w:bottom w:val="none" w:sz="0" w:space="0" w:color="auto"/>
        <w:right w:val="none" w:sz="0" w:space="0" w:color="auto"/>
      </w:divBdr>
    </w:div>
    <w:div w:id="766389490">
      <w:marLeft w:val="480"/>
      <w:marRight w:val="0"/>
      <w:marTop w:val="0"/>
      <w:marBottom w:val="0"/>
      <w:divBdr>
        <w:top w:val="none" w:sz="0" w:space="0" w:color="auto"/>
        <w:left w:val="none" w:sz="0" w:space="0" w:color="auto"/>
        <w:bottom w:val="none" w:sz="0" w:space="0" w:color="auto"/>
        <w:right w:val="none" w:sz="0" w:space="0" w:color="auto"/>
      </w:divBdr>
    </w:div>
    <w:div w:id="780950193">
      <w:marLeft w:val="480"/>
      <w:marRight w:val="0"/>
      <w:marTop w:val="0"/>
      <w:marBottom w:val="0"/>
      <w:divBdr>
        <w:top w:val="none" w:sz="0" w:space="0" w:color="auto"/>
        <w:left w:val="none" w:sz="0" w:space="0" w:color="auto"/>
        <w:bottom w:val="none" w:sz="0" w:space="0" w:color="auto"/>
        <w:right w:val="none" w:sz="0" w:space="0" w:color="auto"/>
      </w:divBdr>
    </w:div>
    <w:div w:id="786703880">
      <w:marLeft w:val="480"/>
      <w:marRight w:val="0"/>
      <w:marTop w:val="0"/>
      <w:marBottom w:val="0"/>
      <w:divBdr>
        <w:top w:val="none" w:sz="0" w:space="0" w:color="auto"/>
        <w:left w:val="none" w:sz="0" w:space="0" w:color="auto"/>
        <w:bottom w:val="none" w:sz="0" w:space="0" w:color="auto"/>
        <w:right w:val="none" w:sz="0" w:space="0" w:color="auto"/>
      </w:divBdr>
    </w:div>
    <w:div w:id="790830029">
      <w:marLeft w:val="480"/>
      <w:marRight w:val="0"/>
      <w:marTop w:val="0"/>
      <w:marBottom w:val="0"/>
      <w:divBdr>
        <w:top w:val="none" w:sz="0" w:space="0" w:color="auto"/>
        <w:left w:val="none" w:sz="0" w:space="0" w:color="auto"/>
        <w:bottom w:val="none" w:sz="0" w:space="0" w:color="auto"/>
        <w:right w:val="none" w:sz="0" w:space="0" w:color="auto"/>
      </w:divBdr>
    </w:div>
    <w:div w:id="807362608">
      <w:marLeft w:val="480"/>
      <w:marRight w:val="0"/>
      <w:marTop w:val="0"/>
      <w:marBottom w:val="0"/>
      <w:divBdr>
        <w:top w:val="none" w:sz="0" w:space="0" w:color="auto"/>
        <w:left w:val="none" w:sz="0" w:space="0" w:color="auto"/>
        <w:bottom w:val="none" w:sz="0" w:space="0" w:color="auto"/>
        <w:right w:val="none" w:sz="0" w:space="0" w:color="auto"/>
      </w:divBdr>
    </w:div>
    <w:div w:id="816268655">
      <w:marLeft w:val="480"/>
      <w:marRight w:val="0"/>
      <w:marTop w:val="0"/>
      <w:marBottom w:val="0"/>
      <w:divBdr>
        <w:top w:val="none" w:sz="0" w:space="0" w:color="auto"/>
        <w:left w:val="none" w:sz="0" w:space="0" w:color="auto"/>
        <w:bottom w:val="none" w:sz="0" w:space="0" w:color="auto"/>
        <w:right w:val="none" w:sz="0" w:space="0" w:color="auto"/>
      </w:divBdr>
    </w:div>
    <w:div w:id="818956720">
      <w:marLeft w:val="480"/>
      <w:marRight w:val="0"/>
      <w:marTop w:val="0"/>
      <w:marBottom w:val="0"/>
      <w:divBdr>
        <w:top w:val="none" w:sz="0" w:space="0" w:color="auto"/>
        <w:left w:val="none" w:sz="0" w:space="0" w:color="auto"/>
        <w:bottom w:val="none" w:sz="0" w:space="0" w:color="auto"/>
        <w:right w:val="none" w:sz="0" w:space="0" w:color="auto"/>
      </w:divBdr>
    </w:div>
    <w:div w:id="849560747">
      <w:marLeft w:val="480"/>
      <w:marRight w:val="0"/>
      <w:marTop w:val="0"/>
      <w:marBottom w:val="0"/>
      <w:divBdr>
        <w:top w:val="none" w:sz="0" w:space="0" w:color="auto"/>
        <w:left w:val="none" w:sz="0" w:space="0" w:color="auto"/>
        <w:bottom w:val="none" w:sz="0" w:space="0" w:color="auto"/>
        <w:right w:val="none" w:sz="0" w:space="0" w:color="auto"/>
      </w:divBdr>
    </w:div>
    <w:div w:id="887957670">
      <w:marLeft w:val="480"/>
      <w:marRight w:val="0"/>
      <w:marTop w:val="0"/>
      <w:marBottom w:val="0"/>
      <w:divBdr>
        <w:top w:val="none" w:sz="0" w:space="0" w:color="auto"/>
        <w:left w:val="none" w:sz="0" w:space="0" w:color="auto"/>
        <w:bottom w:val="none" w:sz="0" w:space="0" w:color="auto"/>
        <w:right w:val="none" w:sz="0" w:space="0" w:color="auto"/>
      </w:divBdr>
    </w:div>
    <w:div w:id="894707755">
      <w:marLeft w:val="480"/>
      <w:marRight w:val="0"/>
      <w:marTop w:val="0"/>
      <w:marBottom w:val="0"/>
      <w:divBdr>
        <w:top w:val="none" w:sz="0" w:space="0" w:color="auto"/>
        <w:left w:val="none" w:sz="0" w:space="0" w:color="auto"/>
        <w:bottom w:val="none" w:sz="0" w:space="0" w:color="auto"/>
        <w:right w:val="none" w:sz="0" w:space="0" w:color="auto"/>
      </w:divBdr>
    </w:div>
    <w:div w:id="940526800">
      <w:marLeft w:val="480"/>
      <w:marRight w:val="0"/>
      <w:marTop w:val="0"/>
      <w:marBottom w:val="0"/>
      <w:divBdr>
        <w:top w:val="none" w:sz="0" w:space="0" w:color="auto"/>
        <w:left w:val="none" w:sz="0" w:space="0" w:color="auto"/>
        <w:bottom w:val="none" w:sz="0" w:space="0" w:color="auto"/>
        <w:right w:val="none" w:sz="0" w:space="0" w:color="auto"/>
      </w:divBdr>
    </w:div>
    <w:div w:id="949624552">
      <w:marLeft w:val="480"/>
      <w:marRight w:val="0"/>
      <w:marTop w:val="0"/>
      <w:marBottom w:val="0"/>
      <w:divBdr>
        <w:top w:val="none" w:sz="0" w:space="0" w:color="auto"/>
        <w:left w:val="none" w:sz="0" w:space="0" w:color="auto"/>
        <w:bottom w:val="none" w:sz="0" w:space="0" w:color="auto"/>
        <w:right w:val="none" w:sz="0" w:space="0" w:color="auto"/>
      </w:divBdr>
    </w:div>
    <w:div w:id="977345981">
      <w:marLeft w:val="480"/>
      <w:marRight w:val="0"/>
      <w:marTop w:val="0"/>
      <w:marBottom w:val="0"/>
      <w:divBdr>
        <w:top w:val="none" w:sz="0" w:space="0" w:color="auto"/>
        <w:left w:val="none" w:sz="0" w:space="0" w:color="auto"/>
        <w:bottom w:val="none" w:sz="0" w:space="0" w:color="auto"/>
        <w:right w:val="none" w:sz="0" w:space="0" w:color="auto"/>
      </w:divBdr>
    </w:div>
    <w:div w:id="996542016">
      <w:marLeft w:val="480"/>
      <w:marRight w:val="0"/>
      <w:marTop w:val="0"/>
      <w:marBottom w:val="0"/>
      <w:divBdr>
        <w:top w:val="none" w:sz="0" w:space="0" w:color="auto"/>
        <w:left w:val="none" w:sz="0" w:space="0" w:color="auto"/>
        <w:bottom w:val="none" w:sz="0" w:space="0" w:color="auto"/>
        <w:right w:val="none" w:sz="0" w:space="0" w:color="auto"/>
      </w:divBdr>
    </w:div>
    <w:div w:id="1032724912">
      <w:marLeft w:val="480"/>
      <w:marRight w:val="0"/>
      <w:marTop w:val="0"/>
      <w:marBottom w:val="0"/>
      <w:divBdr>
        <w:top w:val="none" w:sz="0" w:space="0" w:color="auto"/>
        <w:left w:val="none" w:sz="0" w:space="0" w:color="auto"/>
        <w:bottom w:val="none" w:sz="0" w:space="0" w:color="auto"/>
        <w:right w:val="none" w:sz="0" w:space="0" w:color="auto"/>
      </w:divBdr>
    </w:div>
    <w:div w:id="1036808831">
      <w:marLeft w:val="480"/>
      <w:marRight w:val="0"/>
      <w:marTop w:val="0"/>
      <w:marBottom w:val="0"/>
      <w:divBdr>
        <w:top w:val="none" w:sz="0" w:space="0" w:color="auto"/>
        <w:left w:val="none" w:sz="0" w:space="0" w:color="auto"/>
        <w:bottom w:val="none" w:sz="0" w:space="0" w:color="auto"/>
        <w:right w:val="none" w:sz="0" w:space="0" w:color="auto"/>
      </w:divBdr>
    </w:div>
    <w:div w:id="1057317745">
      <w:marLeft w:val="480"/>
      <w:marRight w:val="0"/>
      <w:marTop w:val="0"/>
      <w:marBottom w:val="0"/>
      <w:divBdr>
        <w:top w:val="none" w:sz="0" w:space="0" w:color="auto"/>
        <w:left w:val="none" w:sz="0" w:space="0" w:color="auto"/>
        <w:bottom w:val="none" w:sz="0" w:space="0" w:color="auto"/>
        <w:right w:val="none" w:sz="0" w:space="0" w:color="auto"/>
      </w:divBdr>
    </w:div>
    <w:div w:id="1060714213">
      <w:marLeft w:val="480"/>
      <w:marRight w:val="0"/>
      <w:marTop w:val="0"/>
      <w:marBottom w:val="0"/>
      <w:divBdr>
        <w:top w:val="none" w:sz="0" w:space="0" w:color="auto"/>
        <w:left w:val="none" w:sz="0" w:space="0" w:color="auto"/>
        <w:bottom w:val="none" w:sz="0" w:space="0" w:color="auto"/>
        <w:right w:val="none" w:sz="0" w:space="0" w:color="auto"/>
      </w:divBdr>
    </w:div>
    <w:div w:id="1073501881">
      <w:marLeft w:val="480"/>
      <w:marRight w:val="0"/>
      <w:marTop w:val="0"/>
      <w:marBottom w:val="0"/>
      <w:divBdr>
        <w:top w:val="none" w:sz="0" w:space="0" w:color="auto"/>
        <w:left w:val="none" w:sz="0" w:space="0" w:color="auto"/>
        <w:bottom w:val="none" w:sz="0" w:space="0" w:color="auto"/>
        <w:right w:val="none" w:sz="0" w:space="0" w:color="auto"/>
      </w:divBdr>
    </w:div>
    <w:div w:id="1074934736">
      <w:marLeft w:val="480"/>
      <w:marRight w:val="0"/>
      <w:marTop w:val="0"/>
      <w:marBottom w:val="0"/>
      <w:divBdr>
        <w:top w:val="none" w:sz="0" w:space="0" w:color="auto"/>
        <w:left w:val="none" w:sz="0" w:space="0" w:color="auto"/>
        <w:bottom w:val="none" w:sz="0" w:space="0" w:color="auto"/>
        <w:right w:val="none" w:sz="0" w:space="0" w:color="auto"/>
      </w:divBdr>
    </w:div>
    <w:div w:id="1085610117">
      <w:marLeft w:val="480"/>
      <w:marRight w:val="0"/>
      <w:marTop w:val="0"/>
      <w:marBottom w:val="0"/>
      <w:divBdr>
        <w:top w:val="none" w:sz="0" w:space="0" w:color="auto"/>
        <w:left w:val="none" w:sz="0" w:space="0" w:color="auto"/>
        <w:bottom w:val="none" w:sz="0" w:space="0" w:color="auto"/>
        <w:right w:val="none" w:sz="0" w:space="0" w:color="auto"/>
      </w:divBdr>
    </w:div>
    <w:div w:id="1094088680">
      <w:marLeft w:val="480"/>
      <w:marRight w:val="0"/>
      <w:marTop w:val="0"/>
      <w:marBottom w:val="0"/>
      <w:divBdr>
        <w:top w:val="none" w:sz="0" w:space="0" w:color="auto"/>
        <w:left w:val="none" w:sz="0" w:space="0" w:color="auto"/>
        <w:bottom w:val="none" w:sz="0" w:space="0" w:color="auto"/>
        <w:right w:val="none" w:sz="0" w:space="0" w:color="auto"/>
      </w:divBdr>
    </w:div>
    <w:div w:id="1131628209">
      <w:marLeft w:val="480"/>
      <w:marRight w:val="0"/>
      <w:marTop w:val="0"/>
      <w:marBottom w:val="0"/>
      <w:divBdr>
        <w:top w:val="none" w:sz="0" w:space="0" w:color="auto"/>
        <w:left w:val="none" w:sz="0" w:space="0" w:color="auto"/>
        <w:bottom w:val="none" w:sz="0" w:space="0" w:color="auto"/>
        <w:right w:val="none" w:sz="0" w:space="0" w:color="auto"/>
      </w:divBdr>
    </w:div>
    <w:div w:id="1137451511">
      <w:marLeft w:val="480"/>
      <w:marRight w:val="0"/>
      <w:marTop w:val="0"/>
      <w:marBottom w:val="0"/>
      <w:divBdr>
        <w:top w:val="none" w:sz="0" w:space="0" w:color="auto"/>
        <w:left w:val="none" w:sz="0" w:space="0" w:color="auto"/>
        <w:bottom w:val="none" w:sz="0" w:space="0" w:color="auto"/>
        <w:right w:val="none" w:sz="0" w:space="0" w:color="auto"/>
      </w:divBdr>
    </w:div>
    <w:div w:id="1138569636">
      <w:marLeft w:val="480"/>
      <w:marRight w:val="0"/>
      <w:marTop w:val="0"/>
      <w:marBottom w:val="0"/>
      <w:divBdr>
        <w:top w:val="none" w:sz="0" w:space="0" w:color="auto"/>
        <w:left w:val="none" w:sz="0" w:space="0" w:color="auto"/>
        <w:bottom w:val="none" w:sz="0" w:space="0" w:color="auto"/>
        <w:right w:val="none" w:sz="0" w:space="0" w:color="auto"/>
      </w:divBdr>
    </w:div>
    <w:div w:id="1151210252">
      <w:marLeft w:val="480"/>
      <w:marRight w:val="0"/>
      <w:marTop w:val="0"/>
      <w:marBottom w:val="0"/>
      <w:divBdr>
        <w:top w:val="none" w:sz="0" w:space="0" w:color="auto"/>
        <w:left w:val="none" w:sz="0" w:space="0" w:color="auto"/>
        <w:bottom w:val="none" w:sz="0" w:space="0" w:color="auto"/>
        <w:right w:val="none" w:sz="0" w:space="0" w:color="auto"/>
      </w:divBdr>
    </w:div>
    <w:div w:id="1184779380">
      <w:marLeft w:val="480"/>
      <w:marRight w:val="0"/>
      <w:marTop w:val="0"/>
      <w:marBottom w:val="0"/>
      <w:divBdr>
        <w:top w:val="none" w:sz="0" w:space="0" w:color="auto"/>
        <w:left w:val="none" w:sz="0" w:space="0" w:color="auto"/>
        <w:bottom w:val="none" w:sz="0" w:space="0" w:color="auto"/>
        <w:right w:val="none" w:sz="0" w:space="0" w:color="auto"/>
      </w:divBdr>
    </w:div>
    <w:div w:id="1195654675">
      <w:marLeft w:val="480"/>
      <w:marRight w:val="0"/>
      <w:marTop w:val="0"/>
      <w:marBottom w:val="0"/>
      <w:divBdr>
        <w:top w:val="none" w:sz="0" w:space="0" w:color="auto"/>
        <w:left w:val="none" w:sz="0" w:space="0" w:color="auto"/>
        <w:bottom w:val="none" w:sz="0" w:space="0" w:color="auto"/>
        <w:right w:val="none" w:sz="0" w:space="0" w:color="auto"/>
      </w:divBdr>
    </w:div>
    <w:div w:id="1197813180">
      <w:marLeft w:val="480"/>
      <w:marRight w:val="0"/>
      <w:marTop w:val="0"/>
      <w:marBottom w:val="0"/>
      <w:divBdr>
        <w:top w:val="none" w:sz="0" w:space="0" w:color="auto"/>
        <w:left w:val="none" w:sz="0" w:space="0" w:color="auto"/>
        <w:bottom w:val="none" w:sz="0" w:space="0" w:color="auto"/>
        <w:right w:val="none" w:sz="0" w:space="0" w:color="auto"/>
      </w:divBdr>
    </w:div>
    <w:div w:id="1207372909">
      <w:marLeft w:val="480"/>
      <w:marRight w:val="0"/>
      <w:marTop w:val="0"/>
      <w:marBottom w:val="0"/>
      <w:divBdr>
        <w:top w:val="none" w:sz="0" w:space="0" w:color="auto"/>
        <w:left w:val="none" w:sz="0" w:space="0" w:color="auto"/>
        <w:bottom w:val="none" w:sz="0" w:space="0" w:color="auto"/>
        <w:right w:val="none" w:sz="0" w:space="0" w:color="auto"/>
      </w:divBdr>
    </w:div>
    <w:div w:id="1210800258">
      <w:marLeft w:val="480"/>
      <w:marRight w:val="0"/>
      <w:marTop w:val="0"/>
      <w:marBottom w:val="0"/>
      <w:divBdr>
        <w:top w:val="none" w:sz="0" w:space="0" w:color="auto"/>
        <w:left w:val="none" w:sz="0" w:space="0" w:color="auto"/>
        <w:bottom w:val="none" w:sz="0" w:space="0" w:color="auto"/>
        <w:right w:val="none" w:sz="0" w:space="0" w:color="auto"/>
      </w:divBdr>
    </w:div>
    <w:div w:id="1237085670">
      <w:marLeft w:val="480"/>
      <w:marRight w:val="0"/>
      <w:marTop w:val="0"/>
      <w:marBottom w:val="0"/>
      <w:divBdr>
        <w:top w:val="none" w:sz="0" w:space="0" w:color="auto"/>
        <w:left w:val="none" w:sz="0" w:space="0" w:color="auto"/>
        <w:bottom w:val="none" w:sz="0" w:space="0" w:color="auto"/>
        <w:right w:val="none" w:sz="0" w:space="0" w:color="auto"/>
      </w:divBdr>
    </w:div>
    <w:div w:id="1249074954">
      <w:marLeft w:val="480"/>
      <w:marRight w:val="0"/>
      <w:marTop w:val="0"/>
      <w:marBottom w:val="0"/>
      <w:divBdr>
        <w:top w:val="none" w:sz="0" w:space="0" w:color="auto"/>
        <w:left w:val="none" w:sz="0" w:space="0" w:color="auto"/>
        <w:bottom w:val="none" w:sz="0" w:space="0" w:color="auto"/>
        <w:right w:val="none" w:sz="0" w:space="0" w:color="auto"/>
      </w:divBdr>
    </w:div>
    <w:div w:id="1254824519">
      <w:marLeft w:val="480"/>
      <w:marRight w:val="0"/>
      <w:marTop w:val="0"/>
      <w:marBottom w:val="0"/>
      <w:divBdr>
        <w:top w:val="none" w:sz="0" w:space="0" w:color="auto"/>
        <w:left w:val="none" w:sz="0" w:space="0" w:color="auto"/>
        <w:bottom w:val="none" w:sz="0" w:space="0" w:color="auto"/>
        <w:right w:val="none" w:sz="0" w:space="0" w:color="auto"/>
      </w:divBdr>
    </w:div>
    <w:div w:id="1257250446">
      <w:marLeft w:val="480"/>
      <w:marRight w:val="0"/>
      <w:marTop w:val="0"/>
      <w:marBottom w:val="0"/>
      <w:divBdr>
        <w:top w:val="none" w:sz="0" w:space="0" w:color="auto"/>
        <w:left w:val="none" w:sz="0" w:space="0" w:color="auto"/>
        <w:bottom w:val="none" w:sz="0" w:space="0" w:color="auto"/>
        <w:right w:val="none" w:sz="0" w:space="0" w:color="auto"/>
      </w:divBdr>
    </w:div>
    <w:div w:id="1258711445">
      <w:marLeft w:val="480"/>
      <w:marRight w:val="0"/>
      <w:marTop w:val="0"/>
      <w:marBottom w:val="0"/>
      <w:divBdr>
        <w:top w:val="none" w:sz="0" w:space="0" w:color="auto"/>
        <w:left w:val="none" w:sz="0" w:space="0" w:color="auto"/>
        <w:bottom w:val="none" w:sz="0" w:space="0" w:color="auto"/>
        <w:right w:val="none" w:sz="0" w:space="0" w:color="auto"/>
      </w:divBdr>
    </w:div>
    <w:div w:id="1273901626">
      <w:marLeft w:val="480"/>
      <w:marRight w:val="0"/>
      <w:marTop w:val="0"/>
      <w:marBottom w:val="0"/>
      <w:divBdr>
        <w:top w:val="none" w:sz="0" w:space="0" w:color="auto"/>
        <w:left w:val="none" w:sz="0" w:space="0" w:color="auto"/>
        <w:bottom w:val="none" w:sz="0" w:space="0" w:color="auto"/>
        <w:right w:val="none" w:sz="0" w:space="0" w:color="auto"/>
      </w:divBdr>
    </w:div>
    <w:div w:id="1317614488">
      <w:marLeft w:val="480"/>
      <w:marRight w:val="0"/>
      <w:marTop w:val="0"/>
      <w:marBottom w:val="0"/>
      <w:divBdr>
        <w:top w:val="none" w:sz="0" w:space="0" w:color="auto"/>
        <w:left w:val="none" w:sz="0" w:space="0" w:color="auto"/>
        <w:bottom w:val="none" w:sz="0" w:space="0" w:color="auto"/>
        <w:right w:val="none" w:sz="0" w:space="0" w:color="auto"/>
      </w:divBdr>
    </w:div>
    <w:div w:id="1328439612">
      <w:marLeft w:val="480"/>
      <w:marRight w:val="0"/>
      <w:marTop w:val="0"/>
      <w:marBottom w:val="0"/>
      <w:divBdr>
        <w:top w:val="none" w:sz="0" w:space="0" w:color="auto"/>
        <w:left w:val="none" w:sz="0" w:space="0" w:color="auto"/>
        <w:bottom w:val="none" w:sz="0" w:space="0" w:color="auto"/>
        <w:right w:val="none" w:sz="0" w:space="0" w:color="auto"/>
      </w:divBdr>
    </w:div>
    <w:div w:id="1344471600">
      <w:marLeft w:val="480"/>
      <w:marRight w:val="0"/>
      <w:marTop w:val="0"/>
      <w:marBottom w:val="0"/>
      <w:divBdr>
        <w:top w:val="none" w:sz="0" w:space="0" w:color="auto"/>
        <w:left w:val="none" w:sz="0" w:space="0" w:color="auto"/>
        <w:bottom w:val="none" w:sz="0" w:space="0" w:color="auto"/>
        <w:right w:val="none" w:sz="0" w:space="0" w:color="auto"/>
      </w:divBdr>
    </w:div>
    <w:div w:id="1371490129">
      <w:marLeft w:val="480"/>
      <w:marRight w:val="0"/>
      <w:marTop w:val="0"/>
      <w:marBottom w:val="0"/>
      <w:divBdr>
        <w:top w:val="none" w:sz="0" w:space="0" w:color="auto"/>
        <w:left w:val="none" w:sz="0" w:space="0" w:color="auto"/>
        <w:bottom w:val="none" w:sz="0" w:space="0" w:color="auto"/>
        <w:right w:val="none" w:sz="0" w:space="0" w:color="auto"/>
      </w:divBdr>
    </w:div>
    <w:div w:id="1404136390">
      <w:marLeft w:val="480"/>
      <w:marRight w:val="0"/>
      <w:marTop w:val="0"/>
      <w:marBottom w:val="0"/>
      <w:divBdr>
        <w:top w:val="none" w:sz="0" w:space="0" w:color="auto"/>
        <w:left w:val="none" w:sz="0" w:space="0" w:color="auto"/>
        <w:bottom w:val="none" w:sz="0" w:space="0" w:color="auto"/>
        <w:right w:val="none" w:sz="0" w:space="0" w:color="auto"/>
      </w:divBdr>
    </w:div>
    <w:div w:id="1441217225">
      <w:marLeft w:val="480"/>
      <w:marRight w:val="0"/>
      <w:marTop w:val="0"/>
      <w:marBottom w:val="0"/>
      <w:divBdr>
        <w:top w:val="none" w:sz="0" w:space="0" w:color="auto"/>
        <w:left w:val="none" w:sz="0" w:space="0" w:color="auto"/>
        <w:bottom w:val="none" w:sz="0" w:space="0" w:color="auto"/>
        <w:right w:val="none" w:sz="0" w:space="0" w:color="auto"/>
      </w:divBdr>
    </w:div>
    <w:div w:id="1446801792">
      <w:marLeft w:val="480"/>
      <w:marRight w:val="0"/>
      <w:marTop w:val="0"/>
      <w:marBottom w:val="0"/>
      <w:divBdr>
        <w:top w:val="none" w:sz="0" w:space="0" w:color="auto"/>
        <w:left w:val="none" w:sz="0" w:space="0" w:color="auto"/>
        <w:bottom w:val="none" w:sz="0" w:space="0" w:color="auto"/>
        <w:right w:val="none" w:sz="0" w:space="0" w:color="auto"/>
      </w:divBdr>
    </w:div>
    <w:div w:id="1457286521">
      <w:marLeft w:val="480"/>
      <w:marRight w:val="0"/>
      <w:marTop w:val="0"/>
      <w:marBottom w:val="0"/>
      <w:divBdr>
        <w:top w:val="none" w:sz="0" w:space="0" w:color="auto"/>
        <w:left w:val="none" w:sz="0" w:space="0" w:color="auto"/>
        <w:bottom w:val="none" w:sz="0" w:space="0" w:color="auto"/>
        <w:right w:val="none" w:sz="0" w:space="0" w:color="auto"/>
      </w:divBdr>
    </w:div>
    <w:div w:id="1475831787">
      <w:marLeft w:val="480"/>
      <w:marRight w:val="0"/>
      <w:marTop w:val="0"/>
      <w:marBottom w:val="0"/>
      <w:divBdr>
        <w:top w:val="none" w:sz="0" w:space="0" w:color="auto"/>
        <w:left w:val="none" w:sz="0" w:space="0" w:color="auto"/>
        <w:bottom w:val="none" w:sz="0" w:space="0" w:color="auto"/>
        <w:right w:val="none" w:sz="0" w:space="0" w:color="auto"/>
      </w:divBdr>
    </w:div>
    <w:div w:id="1483160130">
      <w:marLeft w:val="480"/>
      <w:marRight w:val="0"/>
      <w:marTop w:val="0"/>
      <w:marBottom w:val="0"/>
      <w:divBdr>
        <w:top w:val="none" w:sz="0" w:space="0" w:color="auto"/>
        <w:left w:val="none" w:sz="0" w:space="0" w:color="auto"/>
        <w:bottom w:val="none" w:sz="0" w:space="0" w:color="auto"/>
        <w:right w:val="none" w:sz="0" w:space="0" w:color="auto"/>
      </w:divBdr>
    </w:div>
    <w:div w:id="1487864555">
      <w:marLeft w:val="480"/>
      <w:marRight w:val="0"/>
      <w:marTop w:val="0"/>
      <w:marBottom w:val="0"/>
      <w:divBdr>
        <w:top w:val="none" w:sz="0" w:space="0" w:color="auto"/>
        <w:left w:val="none" w:sz="0" w:space="0" w:color="auto"/>
        <w:bottom w:val="none" w:sz="0" w:space="0" w:color="auto"/>
        <w:right w:val="none" w:sz="0" w:space="0" w:color="auto"/>
      </w:divBdr>
    </w:div>
    <w:div w:id="1511721341">
      <w:marLeft w:val="480"/>
      <w:marRight w:val="0"/>
      <w:marTop w:val="0"/>
      <w:marBottom w:val="0"/>
      <w:divBdr>
        <w:top w:val="none" w:sz="0" w:space="0" w:color="auto"/>
        <w:left w:val="none" w:sz="0" w:space="0" w:color="auto"/>
        <w:bottom w:val="none" w:sz="0" w:space="0" w:color="auto"/>
        <w:right w:val="none" w:sz="0" w:space="0" w:color="auto"/>
      </w:divBdr>
    </w:div>
    <w:div w:id="1516962930">
      <w:bodyDiv w:val="1"/>
      <w:marLeft w:val="0"/>
      <w:marRight w:val="0"/>
      <w:marTop w:val="0"/>
      <w:marBottom w:val="0"/>
      <w:divBdr>
        <w:top w:val="none" w:sz="0" w:space="0" w:color="auto"/>
        <w:left w:val="none" w:sz="0" w:space="0" w:color="auto"/>
        <w:bottom w:val="none" w:sz="0" w:space="0" w:color="auto"/>
        <w:right w:val="none" w:sz="0" w:space="0" w:color="auto"/>
      </w:divBdr>
    </w:div>
    <w:div w:id="1523320949">
      <w:marLeft w:val="480"/>
      <w:marRight w:val="0"/>
      <w:marTop w:val="0"/>
      <w:marBottom w:val="0"/>
      <w:divBdr>
        <w:top w:val="none" w:sz="0" w:space="0" w:color="auto"/>
        <w:left w:val="none" w:sz="0" w:space="0" w:color="auto"/>
        <w:bottom w:val="none" w:sz="0" w:space="0" w:color="auto"/>
        <w:right w:val="none" w:sz="0" w:space="0" w:color="auto"/>
      </w:divBdr>
    </w:div>
    <w:div w:id="1537082142">
      <w:marLeft w:val="480"/>
      <w:marRight w:val="0"/>
      <w:marTop w:val="0"/>
      <w:marBottom w:val="0"/>
      <w:divBdr>
        <w:top w:val="none" w:sz="0" w:space="0" w:color="auto"/>
        <w:left w:val="none" w:sz="0" w:space="0" w:color="auto"/>
        <w:bottom w:val="none" w:sz="0" w:space="0" w:color="auto"/>
        <w:right w:val="none" w:sz="0" w:space="0" w:color="auto"/>
      </w:divBdr>
    </w:div>
    <w:div w:id="1538663223">
      <w:marLeft w:val="480"/>
      <w:marRight w:val="0"/>
      <w:marTop w:val="0"/>
      <w:marBottom w:val="0"/>
      <w:divBdr>
        <w:top w:val="none" w:sz="0" w:space="0" w:color="auto"/>
        <w:left w:val="none" w:sz="0" w:space="0" w:color="auto"/>
        <w:bottom w:val="none" w:sz="0" w:space="0" w:color="auto"/>
        <w:right w:val="none" w:sz="0" w:space="0" w:color="auto"/>
      </w:divBdr>
    </w:div>
    <w:div w:id="1573082479">
      <w:marLeft w:val="480"/>
      <w:marRight w:val="0"/>
      <w:marTop w:val="0"/>
      <w:marBottom w:val="0"/>
      <w:divBdr>
        <w:top w:val="none" w:sz="0" w:space="0" w:color="auto"/>
        <w:left w:val="none" w:sz="0" w:space="0" w:color="auto"/>
        <w:bottom w:val="none" w:sz="0" w:space="0" w:color="auto"/>
        <w:right w:val="none" w:sz="0" w:space="0" w:color="auto"/>
      </w:divBdr>
    </w:div>
    <w:div w:id="1575700699">
      <w:marLeft w:val="480"/>
      <w:marRight w:val="0"/>
      <w:marTop w:val="0"/>
      <w:marBottom w:val="0"/>
      <w:divBdr>
        <w:top w:val="none" w:sz="0" w:space="0" w:color="auto"/>
        <w:left w:val="none" w:sz="0" w:space="0" w:color="auto"/>
        <w:bottom w:val="none" w:sz="0" w:space="0" w:color="auto"/>
        <w:right w:val="none" w:sz="0" w:space="0" w:color="auto"/>
      </w:divBdr>
    </w:div>
    <w:div w:id="1591499160">
      <w:marLeft w:val="480"/>
      <w:marRight w:val="0"/>
      <w:marTop w:val="0"/>
      <w:marBottom w:val="0"/>
      <w:divBdr>
        <w:top w:val="none" w:sz="0" w:space="0" w:color="auto"/>
        <w:left w:val="none" w:sz="0" w:space="0" w:color="auto"/>
        <w:bottom w:val="none" w:sz="0" w:space="0" w:color="auto"/>
        <w:right w:val="none" w:sz="0" w:space="0" w:color="auto"/>
      </w:divBdr>
    </w:div>
    <w:div w:id="1608151337">
      <w:marLeft w:val="480"/>
      <w:marRight w:val="0"/>
      <w:marTop w:val="0"/>
      <w:marBottom w:val="0"/>
      <w:divBdr>
        <w:top w:val="none" w:sz="0" w:space="0" w:color="auto"/>
        <w:left w:val="none" w:sz="0" w:space="0" w:color="auto"/>
        <w:bottom w:val="none" w:sz="0" w:space="0" w:color="auto"/>
        <w:right w:val="none" w:sz="0" w:space="0" w:color="auto"/>
      </w:divBdr>
    </w:div>
    <w:div w:id="1610089772">
      <w:marLeft w:val="480"/>
      <w:marRight w:val="0"/>
      <w:marTop w:val="0"/>
      <w:marBottom w:val="0"/>
      <w:divBdr>
        <w:top w:val="none" w:sz="0" w:space="0" w:color="auto"/>
        <w:left w:val="none" w:sz="0" w:space="0" w:color="auto"/>
        <w:bottom w:val="none" w:sz="0" w:space="0" w:color="auto"/>
        <w:right w:val="none" w:sz="0" w:space="0" w:color="auto"/>
      </w:divBdr>
    </w:div>
    <w:div w:id="1610233988">
      <w:marLeft w:val="480"/>
      <w:marRight w:val="0"/>
      <w:marTop w:val="0"/>
      <w:marBottom w:val="0"/>
      <w:divBdr>
        <w:top w:val="none" w:sz="0" w:space="0" w:color="auto"/>
        <w:left w:val="none" w:sz="0" w:space="0" w:color="auto"/>
        <w:bottom w:val="none" w:sz="0" w:space="0" w:color="auto"/>
        <w:right w:val="none" w:sz="0" w:space="0" w:color="auto"/>
      </w:divBdr>
    </w:div>
    <w:div w:id="1611888140">
      <w:marLeft w:val="480"/>
      <w:marRight w:val="0"/>
      <w:marTop w:val="0"/>
      <w:marBottom w:val="0"/>
      <w:divBdr>
        <w:top w:val="none" w:sz="0" w:space="0" w:color="auto"/>
        <w:left w:val="none" w:sz="0" w:space="0" w:color="auto"/>
        <w:bottom w:val="none" w:sz="0" w:space="0" w:color="auto"/>
        <w:right w:val="none" w:sz="0" w:space="0" w:color="auto"/>
      </w:divBdr>
    </w:div>
    <w:div w:id="1633946972">
      <w:marLeft w:val="480"/>
      <w:marRight w:val="0"/>
      <w:marTop w:val="0"/>
      <w:marBottom w:val="0"/>
      <w:divBdr>
        <w:top w:val="none" w:sz="0" w:space="0" w:color="auto"/>
        <w:left w:val="none" w:sz="0" w:space="0" w:color="auto"/>
        <w:bottom w:val="none" w:sz="0" w:space="0" w:color="auto"/>
        <w:right w:val="none" w:sz="0" w:space="0" w:color="auto"/>
      </w:divBdr>
    </w:div>
    <w:div w:id="1663509197">
      <w:marLeft w:val="480"/>
      <w:marRight w:val="0"/>
      <w:marTop w:val="0"/>
      <w:marBottom w:val="0"/>
      <w:divBdr>
        <w:top w:val="none" w:sz="0" w:space="0" w:color="auto"/>
        <w:left w:val="none" w:sz="0" w:space="0" w:color="auto"/>
        <w:bottom w:val="none" w:sz="0" w:space="0" w:color="auto"/>
        <w:right w:val="none" w:sz="0" w:space="0" w:color="auto"/>
      </w:divBdr>
    </w:div>
    <w:div w:id="1704134718">
      <w:marLeft w:val="480"/>
      <w:marRight w:val="0"/>
      <w:marTop w:val="0"/>
      <w:marBottom w:val="0"/>
      <w:divBdr>
        <w:top w:val="none" w:sz="0" w:space="0" w:color="auto"/>
        <w:left w:val="none" w:sz="0" w:space="0" w:color="auto"/>
        <w:bottom w:val="none" w:sz="0" w:space="0" w:color="auto"/>
        <w:right w:val="none" w:sz="0" w:space="0" w:color="auto"/>
      </w:divBdr>
    </w:div>
    <w:div w:id="1722899156">
      <w:marLeft w:val="480"/>
      <w:marRight w:val="0"/>
      <w:marTop w:val="0"/>
      <w:marBottom w:val="0"/>
      <w:divBdr>
        <w:top w:val="none" w:sz="0" w:space="0" w:color="auto"/>
        <w:left w:val="none" w:sz="0" w:space="0" w:color="auto"/>
        <w:bottom w:val="none" w:sz="0" w:space="0" w:color="auto"/>
        <w:right w:val="none" w:sz="0" w:space="0" w:color="auto"/>
      </w:divBdr>
    </w:div>
    <w:div w:id="1737387338">
      <w:marLeft w:val="480"/>
      <w:marRight w:val="0"/>
      <w:marTop w:val="0"/>
      <w:marBottom w:val="0"/>
      <w:divBdr>
        <w:top w:val="none" w:sz="0" w:space="0" w:color="auto"/>
        <w:left w:val="none" w:sz="0" w:space="0" w:color="auto"/>
        <w:bottom w:val="none" w:sz="0" w:space="0" w:color="auto"/>
        <w:right w:val="none" w:sz="0" w:space="0" w:color="auto"/>
      </w:divBdr>
    </w:div>
    <w:div w:id="1743209621">
      <w:marLeft w:val="480"/>
      <w:marRight w:val="0"/>
      <w:marTop w:val="0"/>
      <w:marBottom w:val="0"/>
      <w:divBdr>
        <w:top w:val="none" w:sz="0" w:space="0" w:color="auto"/>
        <w:left w:val="none" w:sz="0" w:space="0" w:color="auto"/>
        <w:bottom w:val="none" w:sz="0" w:space="0" w:color="auto"/>
        <w:right w:val="none" w:sz="0" w:space="0" w:color="auto"/>
      </w:divBdr>
    </w:div>
    <w:div w:id="1771468664">
      <w:marLeft w:val="480"/>
      <w:marRight w:val="0"/>
      <w:marTop w:val="0"/>
      <w:marBottom w:val="0"/>
      <w:divBdr>
        <w:top w:val="none" w:sz="0" w:space="0" w:color="auto"/>
        <w:left w:val="none" w:sz="0" w:space="0" w:color="auto"/>
        <w:bottom w:val="none" w:sz="0" w:space="0" w:color="auto"/>
        <w:right w:val="none" w:sz="0" w:space="0" w:color="auto"/>
      </w:divBdr>
    </w:div>
    <w:div w:id="1786580167">
      <w:marLeft w:val="480"/>
      <w:marRight w:val="0"/>
      <w:marTop w:val="0"/>
      <w:marBottom w:val="0"/>
      <w:divBdr>
        <w:top w:val="none" w:sz="0" w:space="0" w:color="auto"/>
        <w:left w:val="none" w:sz="0" w:space="0" w:color="auto"/>
        <w:bottom w:val="none" w:sz="0" w:space="0" w:color="auto"/>
        <w:right w:val="none" w:sz="0" w:space="0" w:color="auto"/>
      </w:divBdr>
    </w:div>
    <w:div w:id="1810588272">
      <w:marLeft w:val="480"/>
      <w:marRight w:val="0"/>
      <w:marTop w:val="0"/>
      <w:marBottom w:val="0"/>
      <w:divBdr>
        <w:top w:val="none" w:sz="0" w:space="0" w:color="auto"/>
        <w:left w:val="none" w:sz="0" w:space="0" w:color="auto"/>
        <w:bottom w:val="none" w:sz="0" w:space="0" w:color="auto"/>
        <w:right w:val="none" w:sz="0" w:space="0" w:color="auto"/>
      </w:divBdr>
    </w:div>
    <w:div w:id="1848865232">
      <w:marLeft w:val="480"/>
      <w:marRight w:val="0"/>
      <w:marTop w:val="0"/>
      <w:marBottom w:val="0"/>
      <w:divBdr>
        <w:top w:val="none" w:sz="0" w:space="0" w:color="auto"/>
        <w:left w:val="none" w:sz="0" w:space="0" w:color="auto"/>
        <w:bottom w:val="none" w:sz="0" w:space="0" w:color="auto"/>
        <w:right w:val="none" w:sz="0" w:space="0" w:color="auto"/>
      </w:divBdr>
    </w:div>
    <w:div w:id="1850368295">
      <w:marLeft w:val="480"/>
      <w:marRight w:val="0"/>
      <w:marTop w:val="0"/>
      <w:marBottom w:val="0"/>
      <w:divBdr>
        <w:top w:val="none" w:sz="0" w:space="0" w:color="auto"/>
        <w:left w:val="none" w:sz="0" w:space="0" w:color="auto"/>
        <w:bottom w:val="none" w:sz="0" w:space="0" w:color="auto"/>
        <w:right w:val="none" w:sz="0" w:space="0" w:color="auto"/>
      </w:divBdr>
    </w:div>
    <w:div w:id="1853299756">
      <w:marLeft w:val="480"/>
      <w:marRight w:val="0"/>
      <w:marTop w:val="0"/>
      <w:marBottom w:val="0"/>
      <w:divBdr>
        <w:top w:val="none" w:sz="0" w:space="0" w:color="auto"/>
        <w:left w:val="none" w:sz="0" w:space="0" w:color="auto"/>
        <w:bottom w:val="none" w:sz="0" w:space="0" w:color="auto"/>
        <w:right w:val="none" w:sz="0" w:space="0" w:color="auto"/>
      </w:divBdr>
    </w:div>
    <w:div w:id="1856265538">
      <w:marLeft w:val="480"/>
      <w:marRight w:val="0"/>
      <w:marTop w:val="0"/>
      <w:marBottom w:val="0"/>
      <w:divBdr>
        <w:top w:val="none" w:sz="0" w:space="0" w:color="auto"/>
        <w:left w:val="none" w:sz="0" w:space="0" w:color="auto"/>
        <w:bottom w:val="none" w:sz="0" w:space="0" w:color="auto"/>
        <w:right w:val="none" w:sz="0" w:space="0" w:color="auto"/>
      </w:divBdr>
    </w:div>
    <w:div w:id="1860662855">
      <w:marLeft w:val="480"/>
      <w:marRight w:val="0"/>
      <w:marTop w:val="0"/>
      <w:marBottom w:val="0"/>
      <w:divBdr>
        <w:top w:val="none" w:sz="0" w:space="0" w:color="auto"/>
        <w:left w:val="none" w:sz="0" w:space="0" w:color="auto"/>
        <w:bottom w:val="none" w:sz="0" w:space="0" w:color="auto"/>
        <w:right w:val="none" w:sz="0" w:space="0" w:color="auto"/>
      </w:divBdr>
    </w:div>
    <w:div w:id="1866823812">
      <w:marLeft w:val="480"/>
      <w:marRight w:val="0"/>
      <w:marTop w:val="0"/>
      <w:marBottom w:val="0"/>
      <w:divBdr>
        <w:top w:val="none" w:sz="0" w:space="0" w:color="auto"/>
        <w:left w:val="none" w:sz="0" w:space="0" w:color="auto"/>
        <w:bottom w:val="none" w:sz="0" w:space="0" w:color="auto"/>
        <w:right w:val="none" w:sz="0" w:space="0" w:color="auto"/>
      </w:divBdr>
    </w:div>
    <w:div w:id="1898516514">
      <w:marLeft w:val="480"/>
      <w:marRight w:val="0"/>
      <w:marTop w:val="0"/>
      <w:marBottom w:val="0"/>
      <w:divBdr>
        <w:top w:val="none" w:sz="0" w:space="0" w:color="auto"/>
        <w:left w:val="none" w:sz="0" w:space="0" w:color="auto"/>
        <w:bottom w:val="none" w:sz="0" w:space="0" w:color="auto"/>
        <w:right w:val="none" w:sz="0" w:space="0" w:color="auto"/>
      </w:divBdr>
    </w:div>
    <w:div w:id="1931573225">
      <w:marLeft w:val="480"/>
      <w:marRight w:val="0"/>
      <w:marTop w:val="0"/>
      <w:marBottom w:val="0"/>
      <w:divBdr>
        <w:top w:val="none" w:sz="0" w:space="0" w:color="auto"/>
        <w:left w:val="none" w:sz="0" w:space="0" w:color="auto"/>
        <w:bottom w:val="none" w:sz="0" w:space="0" w:color="auto"/>
        <w:right w:val="none" w:sz="0" w:space="0" w:color="auto"/>
      </w:divBdr>
    </w:div>
    <w:div w:id="1940093634">
      <w:marLeft w:val="480"/>
      <w:marRight w:val="0"/>
      <w:marTop w:val="0"/>
      <w:marBottom w:val="0"/>
      <w:divBdr>
        <w:top w:val="none" w:sz="0" w:space="0" w:color="auto"/>
        <w:left w:val="none" w:sz="0" w:space="0" w:color="auto"/>
        <w:bottom w:val="none" w:sz="0" w:space="0" w:color="auto"/>
        <w:right w:val="none" w:sz="0" w:space="0" w:color="auto"/>
      </w:divBdr>
    </w:div>
    <w:div w:id="1941183654">
      <w:marLeft w:val="480"/>
      <w:marRight w:val="0"/>
      <w:marTop w:val="0"/>
      <w:marBottom w:val="0"/>
      <w:divBdr>
        <w:top w:val="none" w:sz="0" w:space="0" w:color="auto"/>
        <w:left w:val="none" w:sz="0" w:space="0" w:color="auto"/>
        <w:bottom w:val="none" w:sz="0" w:space="0" w:color="auto"/>
        <w:right w:val="none" w:sz="0" w:space="0" w:color="auto"/>
      </w:divBdr>
    </w:div>
    <w:div w:id="1941528844">
      <w:marLeft w:val="480"/>
      <w:marRight w:val="0"/>
      <w:marTop w:val="0"/>
      <w:marBottom w:val="0"/>
      <w:divBdr>
        <w:top w:val="none" w:sz="0" w:space="0" w:color="auto"/>
        <w:left w:val="none" w:sz="0" w:space="0" w:color="auto"/>
        <w:bottom w:val="none" w:sz="0" w:space="0" w:color="auto"/>
        <w:right w:val="none" w:sz="0" w:space="0" w:color="auto"/>
      </w:divBdr>
    </w:div>
    <w:div w:id="1970670513">
      <w:marLeft w:val="480"/>
      <w:marRight w:val="0"/>
      <w:marTop w:val="0"/>
      <w:marBottom w:val="0"/>
      <w:divBdr>
        <w:top w:val="none" w:sz="0" w:space="0" w:color="auto"/>
        <w:left w:val="none" w:sz="0" w:space="0" w:color="auto"/>
        <w:bottom w:val="none" w:sz="0" w:space="0" w:color="auto"/>
        <w:right w:val="none" w:sz="0" w:space="0" w:color="auto"/>
      </w:divBdr>
    </w:div>
    <w:div w:id="1981419174">
      <w:marLeft w:val="480"/>
      <w:marRight w:val="0"/>
      <w:marTop w:val="0"/>
      <w:marBottom w:val="0"/>
      <w:divBdr>
        <w:top w:val="none" w:sz="0" w:space="0" w:color="auto"/>
        <w:left w:val="none" w:sz="0" w:space="0" w:color="auto"/>
        <w:bottom w:val="none" w:sz="0" w:space="0" w:color="auto"/>
        <w:right w:val="none" w:sz="0" w:space="0" w:color="auto"/>
      </w:divBdr>
    </w:div>
    <w:div w:id="1988320660">
      <w:marLeft w:val="480"/>
      <w:marRight w:val="0"/>
      <w:marTop w:val="0"/>
      <w:marBottom w:val="0"/>
      <w:divBdr>
        <w:top w:val="none" w:sz="0" w:space="0" w:color="auto"/>
        <w:left w:val="none" w:sz="0" w:space="0" w:color="auto"/>
        <w:bottom w:val="none" w:sz="0" w:space="0" w:color="auto"/>
        <w:right w:val="none" w:sz="0" w:space="0" w:color="auto"/>
      </w:divBdr>
    </w:div>
    <w:div w:id="1989311943">
      <w:marLeft w:val="480"/>
      <w:marRight w:val="0"/>
      <w:marTop w:val="0"/>
      <w:marBottom w:val="0"/>
      <w:divBdr>
        <w:top w:val="none" w:sz="0" w:space="0" w:color="auto"/>
        <w:left w:val="none" w:sz="0" w:space="0" w:color="auto"/>
        <w:bottom w:val="none" w:sz="0" w:space="0" w:color="auto"/>
        <w:right w:val="none" w:sz="0" w:space="0" w:color="auto"/>
      </w:divBdr>
    </w:div>
    <w:div w:id="1995797230">
      <w:marLeft w:val="480"/>
      <w:marRight w:val="0"/>
      <w:marTop w:val="0"/>
      <w:marBottom w:val="0"/>
      <w:divBdr>
        <w:top w:val="none" w:sz="0" w:space="0" w:color="auto"/>
        <w:left w:val="none" w:sz="0" w:space="0" w:color="auto"/>
        <w:bottom w:val="none" w:sz="0" w:space="0" w:color="auto"/>
        <w:right w:val="none" w:sz="0" w:space="0" w:color="auto"/>
      </w:divBdr>
    </w:div>
    <w:div w:id="1998655370">
      <w:bodyDiv w:val="1"/>
      <w:marLeft w:val="0"/>
      <w:marRight w:val="0"/>
      <w:marTop w:val="0"/>
      <w:marBottom w:val="0"/>
      <w:divBdr>
        <w:top w:val="none" w:sz="0" w:space="0" w:color="auto"/>
        <w:left w:val="none" w:sz="0" w:space="0" w:color="auto"/>
        <w:bottom w:val="none" w:sz="0" w:space="0" w:color="auto"/>
        <w:right w:val="none" w:sz="0" w:space="0" w:color="auto"/>
      </w:divBdr>
    </w:div>
    <w:div w:id="2002536721">
      <w:marLeft w:val="480"/>
      <w:marRight w:val="0"/>
      <w:marTop w:val="0"/>
      <w:marBottom w:val="0"/>
      <w:divBdr>
        <w:top w:val="none" w:sz="0" w:space="0" w:color="auto"/>
        <w:left w:val="none" w:sz="0" w:space="0" w:color="auto"/>
        <w:bottom w:val="none" w:sz="0" w:space="0" w:color="auto"/>
        <w:right w:val="none" w:sz="0" w:space="0" w:color="auto"/>
      </w:divBdr>
    </w:div>
    <w:div w:id="2010789432">
      <w:marLeft w:val="480"/>
      <w:marRight w:val="0"/>
      <w:marTop w:val="0"/>
      <w:marBottom w:val="0"/>
      <w:divBdr>
        <w:top w:val="none" w:sz="0" w:space="0" w:color="auto"/>
        <w:left w:val="none" w:sz="0" w:space="0" w:color="auto"/>
        <w:bottom w:val="none" w:sz="0" w:space="0" w:color="auto"/>
        <w:right w:val="none" w:sz="0" w:space="0" w:color="auto"/>
      </w:divBdr>
    </w:div>
    <w:div w:id="2041733929">
      <w:marLeft w:val="480"/>
      <w:marRight w:val="0"/>
      <w:marTop w:val="0"/>
      <w:marBottom w:val="0"/>
      <w:divBdr>
        <w:top w:val="none" w:sz="0" w:space="0" w:color="auto"/>
        <w:left w:val="none" w:sz="0" w:space="0" w:color="auto"/>
        <w:bottom w:val="none" w:sz="0" w:space="0" w:color="auto"/>
        <w:right w:val="none" w:sz="0" w:space="0" w:color="auto"/>
      </w:divBdr>
    </w:div>
    <w:div w:id="2052269543">
      <w:marLeft w:val="480"/>
      <w:marRight w:val="0"/>
      <w:marTop w:val="0"/>
      <w:marBottom w:val="0"/>
      <w:divBdr>
        <w:top w:val="none" w:sz="0" w:space="0" w:color="auto"/>
        <w:left w:val="none" w:sz="0" w:space="0" w:color="auto"/>
        <w:bottom w:val="none" w:sz="0" w:space="0" w:color="auto"/>
        <w:right w:val="none" w:sz="0" w:space="0" w:color="auto"/>
      </w:divBdr>
    </w:div>
    <w:div w:id="2054187609">
      <w:marLeft w:val="480"/>
      <w:marRight w:val="0"/>
      <w:marTop w:val="0"/>
      <w:marBottom w:val="0"/>
      <w:divBdr>
        <w:top w:val="none" w:sz="0" w:space="0" w:color="auto"/>
        <w:left w:val="none" w:sz="0" w:space="0" w:color="auto"/>
        <w:bottom w:val="none" w:sz="0" w:space="0" w:color="auto"/>
        <w:right w:val="none" w:sz="0" w:space="0" w:color="auto"/>
      </w:divBdr>
    </w:div>
    <w:div w:id="2063671537">
      <w:marLeft w:val="480"/>
      <w:marRight w:val="0"/>
      <w:marTop w:val="0"/>
      <w:marBottom w:val="0"/>
      <w:divBdr>
        <w:top w:val="none" w:sz="0" w:space="0" w:color="auto"/>
        <w:left w:val="none" w:sz="0" w:space="0" w:color="auto"/>
        <w:bottom w:val="none" w:sz="0" w:space="0" w:color="auto"/>
        <w:right w:val="none" w:sz="0" w:space="0" w:color="auto"/>
      </w:divBdr>
    </w:div>
    <w:div w:id="2080710510">
      <w:marLeft w:val="480"/>
      <w:marRight w:val="0"/>
      <w:marTop w:val="0"/>
      <w:marBottom w:val="0"/>
      <w:divBdr>
        <w:top w:val="none" w:sz="0" w:space="0" w:color="auto"/>
        <w:left w:val="none" w:sz="0" w:space="0" w:color="auto"/>
        <w:bottom w:val="none" w:sz="0" w:space="0" w:color="auto"/>
        <w:right w:val="none" w:sz="0" w:space="0" w:color="auto"/>
      </w:divBdr>
    </w:div>
    <w:div w:id="2088841643">
      <w:marLeft w:val="480"/>
      <w:marRight w:val="0"/>
      <w:marTop w:val="0"/>
      <w:marBottom w:val="0"/>
      <w:divBdr>
        <w:top w:val="none" w:sz="0" w:space="0" w:color="auto"/>
        <w:left w:val="none" w:sz="0" w:space="0" w:color="auto"/>
        <w:bottom w:val="none" w:sz="0" w:space="0" w:color="auto"/>
        <w:right w:val="none" w:sz="0" w:space="0" w:color="auto"/>
      </w:divBdr>
    </w:div>
    <w:div w:id="2099788141">
      <w:marLeft w:val="480"/>
      <w:marRight w:val="0"/>
      <w:marTop w:val="0"/>
      <w:marBottom w:val="0"/>
      <w:divBdr>
        <w:top w:val="none" w:sz="0" w:space="0" w:color="auto"/>
        <w:left w:val="none" w:sz="0" w:space="0" w:color="auto"/>
        <w:bottom w:val="none" w:sz="0" w:space="0" w:color="auto"/>
        <w:right w:val="none" w:sz="0" w:space="0" w:color="auto"/>
      </w:divBdr>
    </w:div>
    <w:div w:id="2101490195">
      <w:marLeft w:val="480"/>
      <w:marRight w:val="0"/>
      <w:marTop w:val="0"/>
      <w:marBottom w:val="0"/>
      <w:divBdr>
        <w:top w:val="none" w:sz="0" w:space="0" w:color="auto"/>
        <w:left w:val="none" w:sz="0" w:space="0" w:color="auto"/>
        <w:bottom w:val="none" w:sz="0" w:space="0" w:color="auto"/>
        <w:right w:val="none" w:sz="0" w:space="0" w:color="auto"/>
      </w:divBdr>
    </w:div>
    <w:div w:id="2101757853">
      <w:marLeft w:val="480"/>
      <w:marRight w:val="0"/>
      <w:marTop w:val="0"/>
      <w:marBottom w:val="0"/>
      <w:divBdr>
        <w:top w:val="none" w:sz="0" w:space="0" w:color="auto"/>
        <w:left w:val="none" w:sz="0" w:space="0" w:color="auto"/>
        <w:bottom w:val="none" w:sz="0" w:space="0" w:color="auto"/>
        <w:right w:val="none" w:sz="0" w:space="0" w:color="auto"/>
      </w:divBdr>
    </w:div>
    <w:div w:id="2104915095">
      <w:marLeft w:val="480"/>
      <w:marRight w:val="0"/>
      <w:marTop w:val="0"/>
      <w:marBottom w:val="0"/>
      <w:divBdr>
        <w:top w:val="none" w:sz="0" w:space="0" w:color="auto"/>
        <w:left w:val="none" w:sz="0" w:space="0" w:color="auto"/>
        <w:bottom w:val="none" w:sz="0" w:space="0" w:color="auto"/>
        <w:right w:val="none" w:sz="0" w:space="0" w:color="auto"/>
      </w:divBdr>
    </w:div>
    <w:div w:id="2107653276">
      <w:marLeft w:val="480"/>
      <w:marRight w:val="0"/>
      <w:marTop w:val="0"/>
      <w:marBottom w:val="0"/>
      <w:divBdr>
        <w:top w:val="none" w:sz="0" w:space="0" w:color="auto"/>
        <w:left w:val="none" w:sz="0" w:space="0" w:color="auto"/>
        <w:bottom w:val="none" w:sz="0" w:space="0" w:color="auto"/>
        <w:right w:val="none" w:sz="0" w:space="0" w:color="auto"/>
      </w:divBdr>
    </w:div>
    <w:div w:id="2140371925">
      <w:marLeft w:val="480"/>
      <w:marRight w:val="0"/>
      <w:marTop w:val="0"/>
      <w:marBottom w:val="0"/>
      <w:divBdr>
        <w:top w:val="none" w:sz="0" w:space="0" w:color="auto"/>
        <w:left w:val="none" w:sz="0" w:space="0" w:color="auto"/>
        <w:bottom w:val="none" w:sz="0" w:space="0" w:color="auto"/>
        <w:right w:val="none" w:sz="0" w:space="0" w:color="auto"/>
      </w:divBdr>
    </w:div>
    <w:div w:id="2143889560">
      <w:marLeft w:val="48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emf"/><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emf"/><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DB65C0D0F5848A89E7660918D12435B"/>
        <w:category>
          <w:name w:val="General"/>
          <w:gallery w:val="placeholder"/>
        </w:category>
        <w:types>
          <w:type w:val="bbPlcHdr"/>
        </w:types>
        <w:behaviors>
          <w:behavior w:val="content"/>
        </w:behaviors>
        <w:guid w:val="{FD0361E2-BF35-4632-A96B-D09C78EF3E1F}"/>
      </w:docPartPr>
      <w:docPartBody>
        <w:p w:rsidR="00AF056B" w:rsidRDefault="00854EE3" w:rsidP="00854EE3">
          <w:pPr>
            <w:pStyle w:val="9DB65C0D0F5848A89E7660918D12435B"/>
          </w:pPr>
          <w:r w:rsidRPr="003F6BDD">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C4375F4F-1AE0-4716-8D85-0AAFA1752014}"/>
      </w:docPartPr>
      <w:docPartBody>
        <w:p w:rsidR="00AF056B" w:rsidRDefault="00854EE3">
          <w:r w:rsidRPr="00E51A6B">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00"/>
    <w:family w:val="roman"/>
    <w:notTrueType/>
    <w:pitch w:val="default"/>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4EE3"/>
    <w:rsid w:val="000637CB"/>
    <w:rsid w:val="000734DB"/>
    <w:rsid w:val="00437F6E"/>
    <w:rsid w:val="005C19CE"/>
    <w:rsid w:val="005E6765"/>
    <w:rsid w:val="007A1B4B"/>
    <w:rsid w:val="00854EE3"/>
    <w:rsid w:val="00AF056B"/>
    <w:rsid w:val="00E45B9E"/>
    <w:rsid w:val="00EA36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54EE3"/>
    <w:rPr>
      <w:color w:val="666666"/>
    </w:rPr>
  </w:style>
  <w:style w:type="paragraph" w:customStyle="1" w:styleId="9DB65C0D0F5848A89E7660918D12435B">
    <w:name w:val="9DB65C0D0F5848A89E7660918D12435B"/>
    <w:rsid w:val="00854EE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B94E8198-8826-40DC-821B-12E51C7B8BB2}">
  <we:reference id="wa104382081" version="1.55.1.0" store="en-US" storeType="OMEX"/>
  <we:alternateReferences>
    <we:reference id="WA104382081" version="1.55.1.0" store="WA104382081" storeType="OMEX"/>
  </we:alternateReferences>
  <we:properties>
    <we:property name="MENDELEY_BIBLIOGRAPHY_IS_DIRTY" value="false"/>
    <we:property name="MENDELEY_BIBLIOGRAPHY_LAST_MODIFIED" value="1780326671087"/>
    <we:property name="MENDELEY_CITATIONS" value="[{&quot;citationID&quot;:&quot;MENDELEY_CITATION_1bfc7074-8194-43de-8930-0aa6ec8e8b0d&quot;,&quot;properties&quot;:{&quot;noteIndex&quot;:0},&quot;isEdited&quot;:false,&quot;manualOverride&quot;:{&quot;isManuallyOverridden&quot;:false,&quot;citeprocText&quot;:&quot;(Frankenfield et al., 2022)&quot;,&quot;manualOverrideText&quot;:&quot;&quot;},&quot;citationTag&quot;:&quot;MENDELEY_CITATION_v3_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&quot;,&quot;citationItems&quot;:[{&quot;id&quot;:&quot;8a42569b-8d35-34ec-b301-6040828f17ae&quot;,&quot;itemData&quot;:{&quot;type&quot;:&quot;article-journal&quot;,&quot;id&quot;:&quot;8a42569b-8d35-34ec-b301-6040828f17ae&quot;,&quot;title&quot;:&quot;Protein Contaminants Matter: Building Universal Protein Contaminant Libraries for DDA and DIA Proteomics&quot;,&quot;author&quot;:[{&quot;family&quot;:&quot;Frankenfield&quot;,&quot;given&quot;:&quot;Ashley M.&quot;,&quot;parse-names&quot;:false,&quot;dropping-particle&quot;:&quot;&quot;,&quot;non-dropping-particle&quot;:&quot;&quot;},{&quot;family&quot;:&quot;Ni&quot;,&quot;given&quot;:&quot;Jiawei&quot;,&quot;parse-names&quot;:false,&quot;dropping-particle&quot;:&quot;&quot;,&quot;non-dropping-particle&quot;:&quot;&quot;},{&quot;family&quot;:&quot;Ahmed&quot;,&quot;given&quot;:&quot;Mustafa&quot;,&quot;parse-names&quot;:false,&quot;dropping-particle&quot;:&quot;&quot;,&quot;non-dropping-particle&quot;:&quot;&quot;},{&quot;family&quot;:&quot;Hao&quot;,&quot;given&quot;:&quot;Ling&quot;,&quot;parse-names&quot;:false,&quot;dropping-particle&quot;:&quot;&quot;,&quot;non-dropping-particle&quot;:&quot;&quot;}],&quot;container-title&quot;:&quot;Journal of Proteome Research&quot;,&quot;container-title-short&quot;:&quot;J. Proteome Res.&quot;,&quot;DOI&quot;:&quot;10.1021/acs.jproteome.2c00145&quot;,&quot;ISSN&quot;:&quot;15353907&quot;,&quot;PMID&quot;:&quot;35793413&quot;,&quot;issued&quot;:{&quot;date-parts&quot;:[[2022,9,2]]},&quot;page&quot;:&quot;2104-2113&quot;,&quot;abstract&quot;:&quot;Mass spectrometry-based proteomics is constantly challenged by the presence of contaminant background signals. In particular, protein contaminants from reagents and sample handling are almost impossible to avoid. For data-dependent acquisition (DDA) proteomics, an exclusion list can be used to reduce the influence of protein contaminants. However, protein contamination has not been evaluated and is rarely addressed in data-independent acquisition (DIA). How protein contaminants influence proteomic data is also unclear. In this study, we established new protein contaminant FASTA and spectral libraries that are applicable to all proteomic workflows and evaluated the impact of protein contaminants on both DDA and DIA proteomics. We demonstrated that including our contaminant libraries can reduce false discoveries and increase protein identifications, without influencing the quantification accuracy in various proteomic software platforms. With the pressing need to standardize proteomic workflow in the research community, we highly recommend including our contaminant FASTA and spectral libraries in all bottom-up proteomic data analysis. Our contaminant libraries and a step-by-step tutorial to incorporate these libraries in various DDA and DIA data analysis platforms can be valuable resources for proteomic researchers, freely accessible at https://github.com/HaoGroup-ProtContLib.&quot;,&quot;publisher&quot;:&quot;American Chemical Society&quot;,&quot;issue&quot;:&quot;9&quot;,&quot;volume&quot;:&quot;21&quot;},&quot;isTemporary&quot;:false}]},{&quot;citationID&quot;:&quot;MENDELEY_CITATION_fd2ecece-2fc4-4ed1-a8ce-f334c47131ab&quot;,&quot;properties&quot;:{&quot;noteIndex&quot;:0},&quot;isEdited&quot;:false,&quot;manualOverride&quot;:{&quot;isManuallyOverridden&quot;:false,&quot;citeprocText&quot;:&quot;(Callister et al., 2006)&quot;,&quot;manualOverrideText&quot;:&quot;&quot;},&quot;citationTag&quot;:&quot;MENDELEY_CITATION_v3_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&quot;,&quot;citationItems&quot;:[{&quot;id&quot;:&quot;24c0ae72-91b2-3e86-bc07-e7a5806c706d&quot;,&quot;itemData&quot;:{&quot;type&quot;:&quot;article-journal&quot;,&quot;id&quot;:&quot;24c0ae72-91b2-3e86-bc07-e7a5806c706d&quot;,&quot;title&quot;:&quot;Normalization approaches for removing systematic biases associated with mass spectrometry and label-free proteomics&quot;,&quot;author&quot;:[{&quot;family&quot;:&quot;Callister&quot;,&quot;given&quot;:&quot;Stephen J.&quot;,&quot;parse-names&quot;:false,&quot;dropping-particle&quot;:&quot;&quot;,&quot;non-dropping-particle&quot;:&quot;&quot;},{&quot;family&quot;:&quot;Barry&quot;,&quot;given&quot;:&quot;Richard C.&quot;,&quot;parse-names&quot;:false,&quot;dropping-particle&quot;:&quot;&quot;,&quot;non-dropping-particle&quot;:&quot;&quot;},{&quot;family&quot;:&quot;Adkins&quot;,&quot;given&quot;:&quot;Joshua N.&quot;,&quot;parse-names&quot;:false,&quot;dropping-particle&quot;:&quot;&quot;,&quot;non-dropping-particle&quot;:&quot;&quot;},{&quot;family&quot;:&quot;Johnson&quot;,&quot;given&quot;:&quot;Ethan T.&quot;,&quot;parse-names&quot;:false,&quot;dropping-particle&quot;:&quot;&quot;,&quot;non-dropping-particle&quot;:&quot;&quot;},{&quot;family&quot;:&quot;Qian&quot;,&quot;given&quot;:&quot;Wei Jun&quot;,&quot;parse-names&quot;:false,&quot;dropping-particle&quot;:&quot;&quot;,&quot;non-dropping-particle&quot;:&quot;&quot;},{&quot;family&quot;:&quot;Webb-Robertson&quot;,&quot;given&quot;:&quot;Bobbie Jo M.&quot;,&quot;parse-names&quot;:false,&quot;dropping-particle&quot;:&quot;&quot;,&quot;non-dropping-particle&quot;:&quot;&quot;},{&quot;family&quot;:&quot;Smith&quot;,&quot;given&quot;:&quot;Richard D.&quot;,&quot;parse-names&quot;:false,&quot;dropping-particle&quot;:&quot;&quot;,&quot;non-dropping-particle&quot;:&quot;&quot;},{&quot;family&quot;:&quot;Lipton&quot;,&quot;given&quot;:&quot;Mary S.&quot;,&quot;parse-names&quot;:false,&quot;dropping-particle&quot;:&quot;&quot;,&quot;non-dropping-particle&quot;:&quot;&quot;}],&quot;container-title&quot;:&quot;Journal of Proteome Research&quot;,&quot;container-title-short&quot;:&quot;J. Proteome Res.&quot;,&quot;DOI&quot;:&quot;10.1021/pr050300l&quot;,&quot;ISSN&quot;:&quot;15353893&quot;,&quot;PMID&quot;:&quot;16457593&quot;,&quot;issued&quot;:{&quot;date-parts&quot;:[[2006,2]]},&quot;page&quot;:&quot;277-286&quot;,&quot;abstract&quot;:&quot;Central tendency, linear regression, locally weighted regression, and quantile techniques were investigated for normalization of peptide abundance measurements obtained from high-throughput liquid chromatography-Fourier transform ion cyclotron resonance mass spectrometry (LC-FTICR MS). Arbitrary abundances of peptides were obtained from three sample sets, including a standard protein sample, two Deinococcus radiodurans samples taken from different growth phases, and two mouse striatum samples from control and methamphetamine-stressed mice (strain C57BL/6). The selected normalization techniques were evaluated in both the absence and presence of biological variability by estimating extraneous variability prior to and following normalization. Prior to normalization, replicate runs from each sample set were observed to be statistically different, while following normalization replicate runs were no longer statistically different. Although all techniques reduced systematic bias to some degree, assigned ranks among the techniques revealed that for most LC-FTICR-MS analyses linear regression normalization ranked either first or second. However, the lack of a definitive trend among the techniques suggested the need for additional investigation into adapting normalization approaches for label-free proteomics. Nevertheless, this study serves as an important step for evaluating approaches that address systematic biases related to relative quantification and label-free proteomics. © 2006 American Chemical Society.&quot;,&quot;issue&quot;:&quot;2&quot;,&quot;volume&quot;:&quot;5&quot;},&quot;isTemporary&quot;:false}]},{&quot;citationID&quot;:&quot;MENDELEY_CITATION_a1f0347f-85a4-4088-a078-620a0485e576&quot;,&quot;properties&quot;:{&quot;noteIndex&quot;:0},&quot;isEdited&quot;:false,&quot;manualOverride&quot;:{&quot;isManuallyOverridden&quot;:false,&quot;citeprocText&quot;:&quot;(Huang et al., 2020)&quot;,&quot;manualOverrideText&quot;:&quot;&quot;},&quot;citationTag&quot;:&quot;MENDELEY_CITATION_v3_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&quot;,&quot;citationItems&quot;:[{&quot;id&quot;:&quot;509e6160-7066-36c2-a510-d59913be0680&quot;,&quot;itemData&quot;:{&quot;type&quot;:&quot;article-journal&quot;,&quot;id&quot;:&quot;509e6160-7066-36c2-a510-d59913be0680&quot;,&quot;title&quot;:&quot;Combining precursor and fragment information for improved detection of differential abundance in data independent acquisition*□s&quot;,&quot;author&quot;:[{&quot;family&quot;:&quot;Huang&quot;,&quot;given&quot;:&quot;Ting&quot;,&quot;parse-names&quot;:false,&quot;dropping-particle&quot;:&quot;&quot;,&quot;non-dropping-particle&quot;:&quot;&quot;},{&quot;family&quot;:&quot;Bruderer&quot;,&quot;given&quot;:&quot;Roland&quot;,&quot;parse-names&quot;:false,&quot;dropping-particle&quot;:&quot;&quot;,&quot;non-dropping-particle&quot;:&quot;&quot;},{&quot;family&quot;:&quot;Muntel&quot;,&quot;given&quot;:&quot;Jan&quot;,&quot;parse-names&quot;:false,&quot;dropping-particle&quot;:&quot;&quot;,&quot;non-dropping-particle&quot;:&quot;&quot;},{&quot;family&quot;:&quot;Xuan&quot;,&quot;given&quot;:&quot;Yue&quot;,&quot;parse-names&quot;:false,&quot;dropping-particle&quot;:&quot;&quot;,&quot;non-dropping-particle&quot;:&quot;&quot;},{&quot;family&quot;:&quot;Vitek&quot;,&quot;given&quot;:&quot;Olga&quot;,&quot;parse-names&quot;:false,&quot;dropping-particle&quot;:&quot;&quot;,&quot;non-dropping-particle&quot;:&quot;&quot;},{&quot;family&quot;:&quot;Reiter&quot;,&quot;given&quot;:&quot;Lukas&quot;,&quot;parse-names&quot;:false,&quot;dropping-particle&quot;:&quot;&quot;,&quot;non-dropping-particle&quot;:&quot;&quot;}],&quot;container-title&quot;:&quot;Molecular and Cellular Proteomics&quot;,&quot;DOI&quot;:&quot;10.1074/mcp.RA119.001705&quot;,&quot;ISSN&quot;:&quot;15359484&quot;,&quot;PMID&quot;:&quot;31888964&quot;,&quot;issued&quot;:{&quot;date-parts&quot;:[[2020]]},&quot;page&quot;:&quot;421-430&quot;,&quot;abstract&quot;:&quot;In bottom-up, label-free discovery proteomics, biological samples are acquired in a data-dependent (DDA) or data-independent (DIA) manner, with peptide signals recorded in an intact (MS1) and fragmented (MS2) form. While DDA has only the MS1 space for quantification, DIA contains both MS1 and MS2 at high quantitative quality. DIA profiles of complex biological matrices such as tissues or cells can contain quantitative interferences, and the interferences at the MS1 and the MS2 signals are often independent. When comparing biological conditions, the interferences can compromise the detection of differential peptide or protein abundance and lead to false positive or false negative conclusions. We hypothesized that the combined use of MS1 and MS2 quantitative signals could improve our ability to detect differentially abundant proteins. Therefore, we developed a statistical procedure incorporating both MS1 and MS2 quantitative information of DIA. We benchmarked the performance of the MS1-MS2-combined method to the individual use of MS1 or MS2 in DIA using four previously published controlled mixtures, as well as in two previously unpublished controlled mixtures. In the majority of the comparisons, the combined method outperformed the individual use of MS1 or MS2. This was particularly true for comparisons with low fold changes, few replicates, and situations where MS1 and MS2 were of similar quality. When applied to a previously unpublished investigation of lung cancer, the MS1-MS2-combined method increased the coverage of known activated pathways. Since recent technological developments continue to increase the quality of MS1 signals (e.g. using the BoxCar scan mode for Orbitrap instruments), the combination of the MS1 and MS2 information has a high potential for future statistical analysis of DIA data.&quot;,&quot;publisher&quot;:&quot;American Society for Biochemistry and Molecular Biology Inc.&quot;,&quot;issue&quot;:&quot;2&quot;,&quot;volume&quot;:&quot;19&quot;,&quot;container-title-short&quot;:&quot;&quot;},&quot;isTemporary&quot;:false}]}]"/>
    <we:property name="MENDELEY_CITATIONS_STYLE" value="{&quot;id&quot;:&quot;https://www.zotero.org/styles/apa&quot;,&quot;title&quot;:&quot;APA Style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DE1DF65658E774BBE0ED35E2C06A7B6" ma:contentTypeVersion="4" ma:contentTypeDescription="Create a new document." ma:contentTypeScope="" ma:versionID="99de00c66ed331962d311d646af5d11a">
  <xsd:schema xmlns:xsd="http://www.w3.org/2001/XMLSchema" xmlns:xs="http://www.w3.org/2001/XMLSchema" xmlns:p="http://schemas.microsoft.com/office/2006/metadata/properties" xmlns:ns3="2ff38afc-cf2b-4308-8305-7db9c9b112a8" targetNamespace="http://schemas.microsoft.com/office/2006/metadata/properties" ma:root="true" ma:fieldsID="6ac598720241ecfc74e2f0c94600c31d" ns3:_="">
    <xsd:import namespace="2ff38afc-cf2b-4308-8305-7db9c9b112a8"/>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f38afc-cf2b-4308-8305-7db9c9b112a8"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C9BF18-63C3-4B52-92E5-1D559786975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846698E-6252-4775-9037-F102AE22186B}">
  <ds:schemaRefs>
    <ds:schemaRef ds:uri="http://schemas.microsoft.com/sharepoint/v3/contenttype/forms"/>
  </ds:schemaRefs>
</ds:datastoreItem>
</file>

<file path=customXml/itemProps3.xml><?xml version="1.0" encoding="utf-8"?>
<ds:datastoreItem xmlns:ds="http://schemas.openxmlformats.org/officeDocument/2006/customXml" ds:itemID="{53819EEC-FE96-4A90-B6AC-924AF02EA0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f38afc-cf2b-4308-8305-7db9c9b112a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48F035A-0A1F-45B3-A711-2F40E94171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6</Pages>
  <Words>699</Words>
  <Characters>5668</Characters>
  <Application>Microsoft Office Word</Application>
  <DocSecurity>0</DocSecurity>
  <Lines>47</Lines>
  <Paragraphs>12</Paragraphs>
  <ScaleCrop>false</ScaleCrop>
  <HeadingPairs>
    <vt:vector size="2" baseType="variant">
      <vt:variant>
        <vt:lpstr>Title</vt:lpstr>
      </vt:variant>
      <vt:variant>
        <vt:i4>1</vt:i4>
      </vt:variant>
    </vt:vector>
  </HeadingPairs>
  <TitlesOfParts>
    <vt:vector size="1" baseType="lpstr">
      <vt:lpstr/>
    </vt:vector>
  </TitlesOfParts>
  <Company>University of Turku</Company>
  <LinksUpToDate>false</LinksUpToDate>
  <CharactersWithSpaces>6355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Umar Tabrez</dc:creator>
  <cp:keywords/>
  <dc:description/>
  <cp:lastModifiedBy>Arno Hänninen</cp:lastModifiedBy>
  <cp:revision>4</cp:revision>
  <dcterms:created xsi:type="dcterms:W3CDTF">2026-08-19T11:16:00Z</dcterms:created>
  <dcterms:modified xsi:type="dcterms:W3CDTF">2026-08-21T08:51:00Z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6535bc11-9cfa-4a41-a1b2-643388074e0a</vt:lpwstr>
  </property>
  <property fmtid="{D5CDD505-2E9C-101B-9397-08002B2CF9AE}" pid="3" name="ContentTypeId">
    <vt:lpwstr>0x0101002DE1DF65658E774BBE0ED35E2C06A7B6</vt:lpwstr>
  </property>
</Properties>
</file>