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A8B57" w14:textId="77777777" w:rsidR="0035265C" w:rsidRPr="00075BA1" w:rsidRDefault="0035265C" w:rsidP="0035265C">
      <w:pPr>
        <w:pStyle w:val="Title2"/>
        <w:rPr>
          <w:color w:val="000000"/>
          <w:sz w:val="32"/>
          <w:szCs w:val="32"/>
        </w:rPr>
      </w:pPr>
      <w:r w:rsidRPr="00075BA1">
        <w:rPr>
          <w:color w:val="000000"/>
          <w:sz w:val="32"/>
          <w:szCs w:val="32"/>
        </w:rPr>
        <w:t xml:space="preserve">Supplementary Information </w:t>
      </w:r>
    </w:p>
    <w:p w14:paraId="17F05B67" w14:textId="77777777" w:rsidR="0035265C" w:rsidRPr="00075BA1" w:rsidRDefault="0035265C" w:rsidP="0035265C">
      <w:pPr>
        <w:pStyle w:val="Title2"/>
        <w:rPr>
          <w:b w:val="0"/>
          <w:color w:val="FF0000"/>
        </w:rPr>
      </w:pPr>
    </w:p>
    <w:p w14:paraId="7AEF4D3D" w14:textId="77777777" w:rsidR="0035265C" w:rsidRPr="00075BA1" w:rsidRDefault="0035265C" w:rsidP="0035265C">
      <w:r w:rsidRPr="00075BA1">
        <w:t xml:space="preserve">for </w:t>
      </w:r>
      <w:r w:rsidRPr="00075BA1">
        <w:rPr>
          <w:i/>
        </w:rPr>
        <w:t>Scientific Report</w:t>
      </w:r>
      <w:r w:rsidRPr="00075BA1">
        <w:t xml:space="preserve"> </w:t>
      </w:r>
    </w:p>
    <w:p w14:paraId="497320A9" w14:textId="77777777" w:rsidR="0035265C" w:rsidRPr="00075BA1" w:rsidRDefault="0035265C" w:rsidP="0035265C">
      <w:pPr>
        <w:pStyle w:val="Tableofcontents"/>
      </w:pPr>
    </w:p>
    <w:p w14:paraId="60B8C4D7" w14:textId="77777777" w:rsidR="0035265C" w:rsidRPr="00075BA1" w:rsidRDefault="0035265C" w:rsidP="0035265C">
      <w:pPr>
        <w:pStyle w:val="TitleA"/>
      </w:pPr>
      <w:r w:rsidRPr="00075BA1">
        <w:t xml:space="preserve">Title: </w:t>
      </w:r>
    </w:p>
    <w:p w14:paraId="2B6456F4" w14:textId="77777777" w:rsidR="0035265C" w:rsidRPr="00075BA1" w:rsidRDefault="0035265C" w:rsidP="0035265C">
      <w:pPr>
        <w:pStyle w:val="TitleA"/>
      </w:pPr>
      <w:r w:rsidRPr="00075BA1">
        <w:t>Cell-fiber-based 3D tissue array for drug response assay</w:t>
      </w:r>
    </w:p>
    <w:p w14:paraId="4368A93B" w14:textId="77777777" w:rsidR="0035265C" w:rsidRPr="00075BA1" w:rsidRDefault="0035265C" w:rsidP="0035265C">
      <w:pPr>
        <w:pStyle w:val="1"/>
        <w:rPr>
          <w:rFonts w:ascii="Times New Roman" w:hAnsi="Times New Roman"/>
        </w:rPr>
      </w:pPr>
    </w:p>
    <w:p w14:paraId="21310710" w14:textId="77777777" w:rsidR="0035265C" w:rsidRPr="00075BA1" w:rsidRDefault="0035265C" w:rsidP="0035265C">
      <w:pPr>
        <w:pStyle w:val="Maintext"/>
      </w:pPr>
      <w:r w:rsidRPr="00075BA1">
        <w:t xml:space="preserve">Midori Kato-Negishi, Jun </w:t>
      </w:r>
      <w:proofErr w:type="spellStart"/>
      <w:r w:rsidRPr="00075BA1">
        <w:t>Sawayama</w:t>
      </w:r>
      <w:proofErr w:type="spellEnd"/>
      <w:r w:rsidRPr="00075BA1">
        <w:t xml:space="preserve">, Masahiro </w:t>
      </w:r>
      <w:proofErr w:type="gramStart"/>
      <w:r w:rsidRPr="00075BA1">
        <w:t>Kawahara</w:t>
      </w:r>
      <w:proofErr w:type="gramEnd"/>
      <w:r w:rsidRPr="00075BA1">
        <w:t xml:space="preserve"> and Shoji Takeuchi*</w:t>
      </w:r>
    </w:p>
    <w:p w14:paraId="70E8C75A" w14:textId="77777777" w:rsidR="0035265C" w:rsidRPr="00075BA1" w:rsidRDefault="0035265C" w:rsidP="0035265C">
      <w:pPr>
        <w:pStyle w:val="Maintext"/>
      </w:pPr>
    </w:p>
    <w:p w14:paraId="2D34C008" w14:textId="77777777" w:rsidR="0035265C" w:rsidRPr="00075BA1" w:rsidRDefault="0035265C" w:rsidP="0035265C">
      <w:pPr>
        <w:pStyle w:val="Maintext"/>
      </w:pPr>
      <w:r w:rsidRPr="00075BA1">
        <w:t>Contents</w:t>
      </w:r>
    </w:p>
    <w:p w14:paraId="5BB7C1F4" w14:textId="77777777" w:rsidR="0035265C" w:rsidRPr="00075BA1" w:rsidRDefault="0035265C" w:rsidP="0035265C">
      <w:pPr>
        <w:pStyle w:val="Maintext"/>
        <w:numPr>
          <w:ilvl w:val="0"/>
          <w:numId w:val="1"/>
        </w:numPr>
      </w:pPr>
      <w:r w:rsidRPr="00075BA1">
        <w:t>Supplemental Figure 1. Cell number of GT1-7 spheroids.</w:t>
      </w:r>
    </w:p>
    <w:p w14:paraId="33989FAF" w14:textId="77777777" w:rsidR="0035265C" w:rsidRPr="00075BA1" w:rsidRDefault="0035265C" w:rsidP="0035265C">
      <w:pPr>
        <w:pStyle w:val="Maintext"/>
        <w:numPr>
          <w:ilvl w:val="0"/>
          <w:numId w:val="1"/>
        </w:numPr>
      </w:pPr>
      <w:r w:rsidRPr="00075BA1">
        <w:t>Supplemental Figure 2. Cell viabilities of GT1-7 spheroids following H</w:t>
      </w:r>
      <w:r w:rsidRPr="00075BA1">
        <w:rPr>
          <w:vertAlign w:val="subscript"/>
        </w:rPr>
        <w:t>2</w:t>
      </w:r>
      <w:r w:rsidRPr="00075BA1">
        <w:t>O</w:t>
      </w:r>
      <w:r w:rsidRPr="00075BA1">
        <w:rPr>
          <w:vertAlign w:val="subscript"/>
        </w:rPr>
        <w:t>2</w:t>
      </w:r>
      <w:r w:rsidRPr="00075BA1">
        <w:t xml:space="preserve"> treatments.</w:t>
      </w:r>
    </w:p>
    <w:p w14:paraId="0132C196" w14:textId="05F69261" w:rsidR="0035265C" w:rsidRPr="00075BA1" w:rsidRDefault="0035265C" w:rsidP="0035265C">
      <w:pPr>
        <w:pStyle w:val="Maintext"/>
        <w:numPr>
          <w:ilvl w:val="0"/>
          <w:numId w:val="1"/>
        </w:numPr>
      </w:pPr>
      <w:r w:rsidRPr="00075BA1">
        <w:t>Supplemental Figure 3. Z’-</w:t>
      </w:r>
      <w:r w:rsidR="006E1B11">
        <w:rPr>
          <w:rFonts w:hint="eastAsia"/>
        </w:rPr>
        <w:t>f</w:t>
      </w:r>
      <w:r w:rsidRPr="00075BA1">
        <w:t>actor of the arrays of GT1-7 spheroids and GT1-7 CF fragments on a 96-well plate.</w:t>
      </w:r>
    </w:p>
    <w:p w14:paraId="13395623" w14:textId="2BDF8168" w:rsidR="0035265C" w:rsidRPr="00075BA1" w:rsidRDefault="0035265C" w:rsidP="0035265C">
      <w:pPr>
        <w:pStyle w:val="Maintext"/>
        <w:numPr>
          <w:ilvl w:val="0"/>
          <w:numId w:val="1"/>
        </w:numPr>
      </w:pPr>
      <w:r w:rsidRPr="00075BA1">
        <w:t>Supplemental Figure 4. Cell viabilit</w:t>
      </w:r>
      <w:r w:rsidR="00751B6A">
        <w:rPr>
          <w:rFonts w:hint="eastAsia"/>
        </w:rPr>
        <w:t>y</w:t>
      </w:r>
      <w:r w:rsidRPr="00075BA1">
        <w:t xml:space="preserve"> of 2D-cultured GT1-7 cells.</w:t>
      </w:r>
    </w:p>
    <w:p w14:paraId="19AA2A80" w14:textId="77777777" w:rsidR="0035265C" w:rsidRPr="00075BA1" w:rsidRDefault="0035265C" w:rsidP="0035265C">
      <w:pPr>
        <w:pStyle w:val="Maintext"/>
        <w:numPr>
          <w:ilvl w:val="0"/>
          <w:numId w:val="1"/>
        </w:numPr>
      </w:pPr>
      <w:r w:rsidRPr="00075BA1">
        <w:t>Supplementary Movie 1. Top view of transfer of CF fragments in a 96-well plate</w:t>
      </w:r>
      <w:r w:rsidRPr="00075BA1" w:rsidDel="0019022C">
        <w:t xml:space="preserve"> </w:t>
      </w:r>
      <w:r w:rsidRPr="00075BA1">
        <w:t>processed in the FCAT device.</w:t>
      </w:r>
    </w:p>
    <w:p w14:paraId="302D2ECE" w14:textId="77777777" w:rsidR="0035265C" w:rsidRPr="00075BA1" w:rsidRDefault="0035265C" w:rsidP="0035265C">
      <w:pPr>
        <w:pStyle w:val="Maintext"/>
        <w:numPr>
          <w:ilvl w:val="0"/>
          <w:numId w:val="1"/>
        </w:numPr>
      </w:pPr>
      <w:r w:rsidRPr="00075BA1">
        <w:rPr>
          <w:lang w:val="en-GB"/>
        </w:rPr>
        <w:t xml:space="preserve">Supplementary Movie 2. </w:t>
      </w:r>
      <w:r w:rsidRPr="00075BA1">
        <w:t xml:space="preserve">Side view of transfer of CF fragments from FCAT device to a 96-well plate. </w:t>
      </w:r>
    </w:p>
    <w:p w14:paraId="42191A19" w14:textId="7F854CA5" w:rsidR="0035265C" w:rsidRDefault="0035265C">
      <w:r>
        <w:br w:type="page"/>
      </w:r>
    </w:p>
    <w:p w14:paraId="4F978AA2" w14:textId="77777777" w:rsidR="0035265C" w:rsidRPr="00075BA1" w:rsidRDefault="0035265C" w:rsidP="0035265C">
      <w:pPr>
        <w:pStyle w:val="HTML"/>
        <w:spacing w:line="480" w:lineRule="auto"/>
        <w:jc w:val="both"/>
        <w:rPr>
          <w:rFonts w:ascii="Times New Roman" w:eastAsia="ＭＳ 明朝" w:hAnsi="Times New Roman" w:cs="Times New Roman"/>
          <w:b/>
          <w:lang w:val="en-GB"/>
        </w:rPr>
      </w:pPr>
      <w:r w:rsidRPr="00075BA1">
        <w:rPr>
          <w:rFonts w:ascii="Times New Roman" w:eastAsia="ＭＳ 明朝" w:hAnsi="Times New Roman" w:cs="Times New Roman"/>
          <w:b/>
          <w:lang w:val="en-GB"/>
        </w:rPr>
        <w:lastRenderedPageBreak/>
        <w:t xml:space="preserve">1. Supplementary Figure 1. Cell number of GT1-7 spheroids.   </w:t>
      </w:r>
    </w:p>
    <w:p w14:paraId="03AE52CE" w14:textId="77777777" w:rsidR="0035265C" w:rsidRPr="00075BA1" w:rsidRDefault="0035265C" w:rsidP="0035265C">
      <w:pPr>
        <w:pStyle w:val="HTML"/>
        <w:spacing w:line="480" w:lineRule="auto"/>
        <w:jc w:val="both"/>
        <w:rPr>
          <w:rFonts w:ascii="Times New Roman" w:eastAsia="ＭＳ 明朝" w:hAnsi="Times New Roman" w:cs="Times New Roman"/>
          <w:bCs/>
          <w:sz w:val="22"/>
          <w:szCs w:val="22"/>
          <w:lang w:val="en-GB"/>
        </w:rPr>
      </w:pPr>
      <w:r w:rsidRPr="00075BA1">
        <w:rPr>
          <w:rFonts w:ascii="Times New Roman" w:eastAsia="ＭＳ 明朝" w:hAnsi="Times New Roman" w:cs="Times New Roman"/>
          <w:bCs/>
          <w:sz w:val="22"/>
          <w:szCs w:val="22"/>
          <w:lang w:val="en-GB"/>
        </w:rPr>
        <w:t xml:space="preserve">GT1-7 cell spheroids made with the different initial cell numbers (50, 100, 150, 200, 250, 500, 1000, 5000 cells) were cultured for 11 days. The numbers of cells in spheroids were measured. </w:t>
      </w:r>
    </w:p>
    <w:p w14:paraId="51AB562B" w14:textId="77777777" w:rsidR="0035265C" w:rsidRPr="00075BA1" w:rsidRDefault="0035265C" w:rsidP="0035265C">
      <w:pPr>
        <w:pStyle w:val="HTML"/>
        <w:spacing w:line="480" w:lineRule="auto"/>
        <w:jc w:val="both"/>
        <w:rPr>
          <w:rFonts w:ascii="Times New Roman" w:eastAsia="ヒラギノ角ゴ Pro W3" w:hAnsi="Times New Roman" w:cs="Times New Roman"/>
          <w:bCs/>
          <w:lang w:val="en-GB"/>
        </w:rPr>
      </w:pPr>
      <w:r w:rsidRPr="005F1EE3">
        <w:rPr>
          <w:noProof/>
          <w:color w:val="000000"/>
        </w:rPr>
        <w:drawing>
          <wp:anchor distT="0" distB="0" distL="114300" distR="114300" simplePos="0" relativeHeight="251659264" behindDoc="0" locked="0" layoutInCell="1" allowOverlap="1" wp14:anchorId="73384C19" wp14:editId="51CC4B06">
            <wp:simplePos x="0" y="0"/>
            <wp:positionH relativeFrom="column">
              <wp:posOffset>452927</wp:posOffset>
            </wp:positionH>
            <wp:positionV relativeFrom="paragraph">
              <wp:posOffset>42094</wp:posOffset>
            </wp:positionV>
            <wp:extent cx="4648200" cy="4127500"/>
            <wp:effectExtent l="0" t="0" r="0" b="0"/>
            <wp:wrapNone/>
            <wp:docPr id="107" name="図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4648200" cy="4127500"/>
                    </a:xfrm>
                    <a:prstGeom prst="rect">
                      <a:avLst/>
                    </a:prstGeom>
                  </pic:spPr>
                </pic:pic>
              </a:graphicData>
            </a:graphic>
            <wp14:sizeRelH relativeFrom="page">
              <wp14:pctWidth>0</wp14:pctWidth>
            </wp14:sizeRelH>
            <wp14:sizeRelV relativeFrom="page">
              <wp14:pctHeight>0</wp14:pctHeight>
            </wp14:sizeRelV>
          </wp:anchor>
        </w:drawing>
      </w:r>
    </w:p>
    <w:p w14:paraId="35158557" w14:textId="77777777" w:rsidR="0035265C" w:rsidRPr="00075BA1" w:rsidRDefault="0035265C" w:rsidP="0035265C">
      <w:pPr>
        <w:jc w:val="both"/>
        <w:rPr>
          <w:shd w:val="clear" w:color="auto" w:fill="FFFFFF"/>
        </w:rPr>
      </w:pPr>
      <w:r w:rsidRPr="00075BA1">
        <w:rPr>
          <w:shd w:val="clear" w:color="auto" w:fill="FFFFFF"/>
        </w:rPr>
        <w:br w:type="page"/>
      </w:r>
    </w:p>
    <w:p w14:paraId="15A92CA8" w14:textId="77777777" w:rsidR="0035265C" w:rsidRPr="00562C0B" w:rsidRDefault="0035265C" w:rsidP="0035265C">
      <w:pPr>
        <w:spacing w:line="480" w:lineRule="auto"/>
        <w:jc w:val="both"/>
        <w:rPr>
          <w:color w:val="000000"/>
        </w:rPr>
      </w:pPr>
      <w:r w:rsidRPr="00075BA1">
        <w:rPr>
          <w:b/>
        </w:rPr>
        <w:lastRenderedPageBreak/>
        <w:t xml:space="preserve">2. </w:t>
      </w:r>
      <w:r w:rsidRPr="00562C0B">
        <w:rPr>
          <w:b/>
          <w:color w:val="000000"/>
        </w:rPr>
        <w:t>Supplementary Figure 2.</w:t>
      </w:r>
      <w:r w:rsidRPr="00562C0B">
        <w:rPr>
          <w:color w:val="000000"/>
        </w:rPr>
        <w:t xml:space="preserve"> </w:t>
      </w:r>
      <w:r w:rsidRPr="00562C0B">
        <w:rPr>
          <w:b/>
          <w:color w:val="000000"/>
        </w:rPr>
        <w:t>Cell viabilit</w:t>
      </w:r>
      <w:r>
        <w:rPr>
          <w:b/>
          <w:color w:val="000000"/>
        </w:rPr>
        <w:t>ies</w:t>
      </w:r>
      <w:r w:rsidRPr="00562C0B">
        <w:rPr>
          <w:b/>
          <w:color w:val="000000"/>
        </w:rPr>
        <w:t xml:space="preserve"> of GT1-7 spheroid</w:t>
      </w:r>
      <w:r>
        <w:rPr>
          <w:b/>
          <w:color w:val="000000"/>
        </w:rPr>
        <w:t>s</w:t>
      </w:r>
      <w:r w:rsidRPr="00562C0B">
        <w:rPr>
          <w:b/>
          <w:color w:val="000000"/>
        </w:rPr>
        <w:t xml:space="preserve"> following H</w:t>
      </w:r>
      <w:r w:rsidRPr="00562C0B">
        <w:rPr>
          <w:b/>
          <w:color w:val="000000"/>
          <w:vertAlign w:val="subscript"/>
        </w:rPr>
        <w:t>2</w:t>
      </w:r>
      <w:r w:rsidRPr="00562C0B">
        <w:rPr>
          <w:b/>
          <w:color w:val="000000"/>
        </w:rPr>
        <w:t>O</w:t>
      </w:r>
      <w:r w:rsidRPr="00562C0B">
        <w:rPr>
          <w:b/>
          <w:color w:val="000000"/>
          <w:vertAlign w:val="subscript"/>
        </w:rPr>
        <w:t>2</w:t>
      </w:r>
      <w:r w:rsidRPr="00562C0B">
        <w:rPr>
          <w:b/>
          <w:color w:val="000000"/>
        </w:rPr>
        <w:t xml:space="preserve"> treatment</w:t>
      </w:r>
      <w:r>
        <w:rPr>
          <w:b/>
          <w:color w:val="000000"/>
        </w:rPr>
        <w:t>s</w:t>
      </w:r>
      <w:r w:rsidRPr="00562C0B">
        <w:rPr>
          <w:b/>
          <w:color w:val="000000"/>
        </w:rPr>
        <w:t>.</w:t>
      </w:r>
    </w:p>
    <w:p w14:paraId="1622D88A" w14:textId="7204F91D" w:rsidR="0035265C" w:rsidRPr="00562C0B" w:rsidRDefault="0035265C" w:rsidP="0035265C">
      <w:pPr>
        <w:spacing w:line="480" w:lineRule="auto"/>
        <w:jc w:val="both"/>
        <w:rPr>
          <w:color w:val="000000"/>
        </w:rPr>
      </w:pPr>
      <w:r w:rsidRPr="00436998">
        <w:rPr>
          <w:noProof/>
          <w:color w:val="000000"/>
        </w:rPr>
        <w:drawing>
          <wp:anchor distT="0" distB="0" distL="114300" distR="114300" simplePos="0" relativeHeight="251660288" behindDoc="0" locked="0" layoutInCell="1" allowOverlap="1" wp14:anchorId="25670D68" wp14:editId="7D3CB23A">
            <wp:simplePos x="0" y="0"/>
            <wp:positionH relativeFrom="column">
              <wp:posOffset>379095</wp:posOffset>
            </wp:positionH>
            <wp:positionV relativeFrom="paragraph">
              <wp:posOffset>3629025</wp:posOffset>
            </wp:positionV>
            <wp:extent cx="4610100" cy="3708400"/>
            <wp:effectExtent l="0" t="0" r="0" b="0"/>
            <wp:wrapNone/>
            <wp:docPr id="122" name="図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4610100" cy="3708400"/>
                    </a:xfrm>
                    <a:prstGeom prst="rect">
                      <a:avLst/>
                    </a:prstGeom>
                  </pic:spPr>
                </pic:pic>
              </a:graphicData>
            </a:graphic>
            <wp14:sizeRelH relativeFrom="page">
              <wp14:pctWidth>0</wp14:pctWidth>
            </wp14:sizeRelH>
            <wp14:sizeRelV relativeFrom="page">
              <wp14:pctHeight>0</wp14:pctHeight>
            </wp14:sizeRelV>
          </wp:anchor>
        </w:drawing>
      </w:r>
      <w:r w:rsidRPr="00562C0B">
        <w:rPr>
          <w:color w:val="000000"/>
          <w:sz w:val="22"/>
          <w:szCs w:val="22"/>
        </w:rPr>
        <w:t>(a) Phase-contrast image (upper) of GT1-7 spheroid with an initial cell number 200 cells at 11 days in culture. Cell viability (bottom)</w:t>
      </w:r>
      <w:r w:rsidRPr="00562C0B">
        <w:rPr>
          <w:rFonts w:hint="eastAsia"/>
          <w:color w:val="000000"/>
          <w:sz w:val="22"/>
          <w:szCs w:val="22"/>
        </w:rPr>
        <w:t xml:space="preserve"> </w:t>
      </w:r>
      <w:r w:rsidRPr="00562C0B">
        <w:rPr>
          <w:color w:val="000000"/>
          <w:sz w:val="22"/>
          <w:szCs w:val="22"/>
        </w:rPr>
        <w:t xml:space="preserve">of GT1-7 spheroid with an initial cell number 200 cells. GT1-7 spheroids were cultured for 10 days, treated with </w:t>
      </w:r>
      <w:r>
        <w:rPr>
          <w:color w:val="000000"/>
          <w:sz w:val="22"/>
          <w:szCs w:val="22"/>
        </w:rPr>
        <w:t xml:space="preserve">various </w:t>
      </w:r>
      <w:r w:rsidRPr="00562C0B">
        <w:rPr>
          <w:rFonts w:eastAsia="Times New Roman"/>
          <w:color w:val="000000"/>
          <w:sz w:val="22"/>
          <w:szCs w:val="22"/>
        </w:rPr>
        <w:t>H</w:t>
      </w:r>
      <w:r w:rsidRPr="00562C0B">
        <w:rPr>
          <w:rFonts w:eastAsia="Times New Roman"/>
          <w:color w:val="000000"/>
          <w:sz w:val="22"/>
          <w:szCs w:val="22"/>
          <w:vertAlign w:val="subscript"/>
        </w:rPr>
        <w:t>2</w:t>
      </w:r>
      <w:r w:rsidRPr="00562C0B">
        <w:rPr>
          <w:rFonts w:eastAsia="Times New Roman"/>
          <w:color w:val="000000"/>
          <w:sz w:val="22"/>
          <w:szCs w:val="22"/>
        </w:rPr>
        <w:t>O</w:t>
      </w:r>
      <w:r w:rsidRPr="00562C0B">
        <w:rPr>
          <w:rFonts w:eastAsia="Times New Roman"/>
          <w:color w:val="000000"/>
          <w:sz w:val="22"/>
          <w:szCs w:val="22"/>
          <w:vertAlign w:val="subscript"/>
        </w:rPr>
        <w:t>2</w:t>
      </w:r>
      <w:r w:rsidRPr="00562C0B">
        <w:rPr>
          <w:color w:val="000000"/>
          <w:sz w:val="22"/>
          <w:szCs w:val="22"/>
        </w:rPr>
        <w:t xml:space="preserve"> </w:t>
      </w:r>
      <w:r>
        <w:rPr>
          <w:color w:val="000000"/>
          <w:sz w:val="22"/>
          <w:szCs w:val="22"/>
        </w:rPr>
        <w:t>concentrations (</w:t>
      </w:r>
      <w:r w:rsidRPr="00562C0B">
        <w:rPr>
          <w:color w:val="000000"/>
          <w:sz w:val="22"/>
          <w:szCs w:val="22"/>
        </w:rPr>
        <w:t>0–</w:t>
      </w:r>
      <w:r>
        <w:rPr>
          <w:color w:val="000000"/>
          <w:sz w:val="22"/>
          <w:szCs w:val="22"/>
        </w:rPr>
        <w:t>5</w:t>
      </w:r>
      <w:r w:rsidRPr="00562C0B">
        <w:rPr>
          <w:color w:val="000000"/>
          <w:sz w:val="22"/>
          <w:szCs w:val="22"/>
        </w:rPr>
        <w:t xml:space="preserve"> mM</w:t>
      </w:r>
      <w:r>
        <w:rPr>
          <w:color w:val="000000"/>
          <w:sz w:val="22"/>
          <w:szCs w:val="22"/>
        </w:rPr>
        <w:t xml:space="preserve">) </w:t>
      </w:r>
      <w:r w:rsidRPr="00562C0B">
        <w:rPr>
          <w:color w:val="000000"/>
          <w:sz w:val="22"/>
          <w:szCs w:val="22"/>
        </w:rPr>
        <w:t xml:space="preserve">for 24 h. Cell viability was estimated by CellTiter-Glo3D. </w:t>
      </w:r>
      <w:r w:rsidRPr="00562C0B">
        <w:rPr>
          <w:rFonts w:eastAsia="Times New Roman"/>
          <w:color w:val="000000"/>
          <w:sz w:val="22"/>
          <w:szCs w:val="22"/>
        </w:rPr>
        <w:t>(b)</w:t>
      </w:r>
      <w:r w:rsidRPr="00562C0B">
        <w:rPr>
          <w:color w:val="000000"/>
          <w:sz w:val="22"/>
          <w:szCs w:val="22"/>
        </w:rPr>
        <w:t xml:space="preserve"> Phase-contrast image (upper) of GT1-7 spheroid of initial cell number 250 cells at 11 days in culture. Cell viability (bottom)</w:t>
      </w:r>
      <w:r w:rsidRPr="00562C0B">
        <w:rPr>
          <w:rFonts w:hint="eastAsia"/>
          <w:color w:val="000000"/>
          <w:sz w:val="22"/>
          <w:szCs w:val="22"/>
        </w:rPr>
        <w:t xml:space="preserve"> </w:t>
      </w:r>
      <w:r w:rsidRPr="00562C0B">
        <w:rPr>
          <w:color w:val="000000"/>
          <w:sz w:val="22"/>
          <w:szCs w:val="22"/>
        </w:rPr>
        <w:t xml:space="preserve">of GT1-7 spheroid of initial cell number 250 cells. GT1-7 spheroids were cultured for 10 days, treated with </w:t>
      </w:r>
      <w:r>
        <w:rPr>
          <w:color w:val="000000"/>
          <w:sz w:val="22"/>
          <w:szCs w:val="22"/>
        </w:rPr>
        <w:t xml:space="preserve">various </w:t>
      </w:r>
      <w:r w:rsidRPr="00562C0B">
        <w:rPr>
          <w:rFonts w:eastAsia="Times New Roman"/>
          <w:color w:val="000000"/>
          <w:sz w:val="22"/>
          <w:szCs w:val="22"/>
        </w:rPr>
        <w:t>H</w:t>
      </w:r>
      <w:r w:rsidRPr="00562C0B">
        <w:rPr>
          <w:rFonts w:eastAsia="Times New Roman"/>
          <w:color w:val="000000"/>
          <w:sz w:val="22"/>
          <w:szCs w:val="22"/>
          <w:vertAlign w:val="subscript"/>
        </w:rPr>
        <w:t>2</w:t>
      </w:r>
      <w:r w:rsidRPr="00562C0B">
        <w:rPr>
          <w:rFonts w:eastAsia="Times New Roman"/>
          <w:color w:val="000000"/>
          <w:sz w:val="22"/>
          <w:szCs w:val="22"/>
        </w:rPr>
        <w:t>O</w:t>
      </w:r>
      <w:r w:rsidRPr="00562C0B">
        <w:rPr>
          <w:rFonts w:eastAsia="Times New Roman"/>
          <w:color w:val="000000"/>
          <w:sz w:val="22"/>
          <w:szCs w:val="22"/>
          <w:vertAlign w:val="subscript"/>
        </w:rPr>
        <w:t>2</w:t>
      </w:r>
      <w:r w:rsidRPr="00562C0B">
        <w:rPr>
          <w:color w:val="000000"/>
          <w:sz w:val="22"/>
          <w:szCs w:val="22"/>
        </w:rPr>
        <w:t xml:space="preserve"> </w:t>
      </w:r>
      <w:r>
        <w:rPr>
          <w:color w:val="000000"/>
          <w:sz w:val="22"/>
          <w:szCs w:val="22"/>
        </w:rPr>
        <w:t>concentrations (</w:t>
      </w:r>
      <w:r w:rsidRPr="00562C0B">
        <w:rPr>
          <w:color w:val="000000"/>
          <w:sz w:val="22"/>
          <w:szCs w:val="22"/>
        </w:rPr>
        <w:t>0–</w:t>
      </w:r>
      <w:r>
        <w:rPr>
          <w:color w:val="000000"/>
          <w:sz w:val="22"/>
          <w:szCs w:val="22"/>
        </w:rPr>
        <w:t>5</w:t>
      </w:r>
      <w:r w:rsidRPr="00562C0B">
        <w:rPr>
          <w:color w:val="000000"/>
          <w:sz w:val="22"/>
          <w:szCs w:val="22"/>
        </w:rPr>
        <w:t xml:space="preserve"> mM</w:t>
      </w:r>
      <w:r>
        <w:rPr>
          <w:color w:val="000000"/>
          <w:sz w:val="22"/>
          <w:szCs w:val="22"/>
        </w:rPr>
        <w:t>)</w:t>
      </w:r>
      <w:r w:rsidRPr="00562C0B">
        <w:rPr>
          <w:color w:val="000000"/>
          <w:sz w:val="22"/>
          <w:szCs w:val="22"/>
        </w:rPr>
        <w:t xml:space="preserve"> for 24 h. Cell viability was estimated by CellTiter-Glo3D.</w:t>
      </w:r>
    </w:p>
    <w:p w14:paraId="51D9DFC0" w14:textId="5CF9B0EA" w:rsidR="0035265C" w:rsidRPr="00075BA1" w:rsidRDefault="0035265C" w:rsidP="0035265C">
      <w:pPr>
        <w:spacing w:line="360" w:lineRule="auto"/>
        <w:jc w:val="both"/>
        <w:rPr>
          <w:sz w:val="18"/>
          <w:szCs w:val="18"/>
        </w:rPr>
      </w:pPr>
      <w:r w:rsidRPr="00075BA1">
        <w:rPr>
          <w:sz w:val="18"/>
          <w:szCs w:val="18"/>
        </w:rPr>
        <w:br w:type="page"/>
      </w:r>
    </w:p>
    <w:p w14:paraId="2E69BCBE" w14:textId="60AE5A50" w:rsidR="0035265C" w:rsidRPr="00562C0B" w:rsidRDefault="0035265C" w:rsidP="0035265C">
      <w:pPr>
        <w:spacing w:line="480" w:lineRule="auto"/>
        <w:jc w:val="both"/>
        <w:rPr>
          <w:color w:val="000000"/>
        </w:rPr>
      </w:pPr>
      <w:r w:rsidRPr="00D13F56">
        <w:rPr>
          <w:b/>
          <w:bCs/>
        </w:rPr>
        <w:lastRenderedPageBreak/>
        <w:t xml:space="preserve">3. </w:t>
      </w:r>
      <w:r w:rsidRPr="00562C0B">
        <w:rPr>
          <w:b/>
          <w:color w:val="000000"/>
        </w:rPr>
        <w:t xml:space="preserve">Supplementary Figure 3. </w:t>
      </w:r>
      <w:r>
        <w:rPr>
          <w:b/>
          <w:color w:val="000000"/>
        </w:rPr>
        <w:t>Z’</w:t>
      </w:r>
      <w:r w:rsidRPr="00562C0B">
        <w:rPr>
          <w:b/>
          <w:color w:val="000000"/>
        </w:rPr>
        <w:t>-</w:t>
      </w:r>
      <w:r w:rsidR="0079585B">
        <w:rPr>
          <w:rFonts w:hint="eastAsia"/>
          <w:b/>
          <w:color w:val="000000"/>
        </w:rPr>
        <w:t>f</w:t>
      </w:r>
      <w:r w:rsidRPr="00562C0B">
        <w:rPr>
          <w:b/>
          <w:color w:val="000000"/>
        </w:rPr>
        <w:t xml:space="preserve">actor of </w:t>
      </w:r>
      <w:r>
        <w:rPr>
          <w:b/>
          <w:color w:val="000000"/>
        </w:rPr>
        <w:t xml:space="preserve">the arrays of </w:t>
      </w:r>
      <w:r w:rsidRPr="00562C0B">
        <w:rPr>
          <w:b/>
          <w:color w:val="000000"/>
        </w:rPr>
        <w:t xml:space="preserve">GT1-7 spheroids and GT1-7 </w:t>
      </w:r>
      <w:r>
        <w:rPr>
          <w:b/>
          <w:color w:val="000000"/>
        </w:rPr>
        <w:t>CF fragments</w:t>
      </w:r>
      <w:r w:rsidRPr="00562C0B">
        <w:rPr>
          <w:b/>
          <w:color w:val="000000"/>
        </w:rPr>
        <w:t xml:space="preserve"> on a 96-well plate. </w:t>
      </w:r>
      <w:r w:rsidRPr="00562C0B">
        <w:rPr>
          <w:color w:val="000000"/>
        </w:rPr>
        <w:t xml:space="preserve">  </w:t>
      </w:r>
    </w:p>
    <w:p w14:paraId="297A7F65" w14:textId="77777777" w:rsidR="0035265C" w:rsidRPr="00562C0B" w:rsidRDefault="0035265C" w:rsidP="0035265C">
      <w:pPr>
        <w:spacing w:line="480" w:lineRule="auto"/>
        <w:jc w:val="both"/>
        <w:rPr>
          <w:color w:val="000000"/>
        </w:rPr>
      </w:pPr>
      <w:r>
        <w:rPr>
          <w:color w:val="000000"/>
          <w:sz w:val="22"/>
        </w:rPr>
        <w:t>The z’</w:t>
      </w:r>
      <w:r w:rsidRPr="00562C0B">
        <w:rPr>
          <w:color w:val="000000"/>
          <w:sz w:val="22"/>
        </w:rPr>
        <w:t xml:space="preserve">-factors for the </w:t>
      </w:r>
      <w:r>
        <w:rPr>
          <w:color w:val="000000"/>
          <w:sz w:val="22"/>
        </w:rPr>
        <w:t>arrays of the GT1-7 CF fragments</w:t>
      </w:r>
      <w:r w:rsidRPr="00562C0B">
        <w:rPr>
          <w:color w:val="000000"/>
          <w:sz w:val="22"/>
        </w:rPr>
        <w:t xml:space="preserve"> and G</w:t>
      </w:r>
      <w:r>
        <w:rPr>
          <w:color w:val="000000"/>
          <w:sz w:val="22"/>
        </w:rPr>
        <w:t>T</w:t>
      </w:r>
      <w:r w:rsidRPr="00562C0B">
        <w:rPr>
          <w:color w:val="000000"/>
          <w:sz w:val="22"/>
        </w:rPr>
        <w:t xml:space="preserve">1-7 spheroids were calculated. Acceptance criteria were set at a </w:t>
      </w:r>
      <w:r>
        <w:rPr>
          <w:color w:val="000000"/>
          <w:sz w:val="22"/>
        </w:rPr>
        <w:t>z’</w:t>
      </w:r>
      <w:r w:rsidRPr="00562C0B">
        <w:rPr>
          <w:color w:val="000000"/>
          <w:sz w:val="22"/>
        </w:rPr>
        <w:t xml:space="preserve">-factor </w:t>
      </w:r>
      <w:r w:rsidRPr="00562C0B">
        <w:rPr>
          <w:color w:val="000000"/>
          <w:sz w:val="22"/>
          <w:szCs w:val="22"/>
        </w:rPr>
        <w:t>≥</w:t>
      </w:r>
      <w:r>
        <w:rPr>
          <w:color w:val="000000"/>
          <w:sz w:val="22"/>
          <w:szCs w:val="22"/>
        </w:rPr>
        <w:t xml:space="preserve"> </w:t>
      </w:r>
      <w:r w:rsidRPr="00562C0B">
        <w:rPr>
          <w:color w:val="000000"/>
          <w:sz w:val="22"/>
          <w:szCs w:val="22"/>
        </w:rPr>
        <w:t>0.5</w:t>
      </w:r>
      <w:r w:rsidRPr="00562C0B">
        <w:rPr>
          <w:color w:val="000000"/>
          <w:sz w:val="22"/>
        </w:rPr>
        <w:t>.</w:t>
      </w:r>
    </w:p>
    <w:p w14:paraId="5B760C46" w14:textId="77777777" w:rsidR="0035265C" w:rsidRPr="00075BA1" w:rsidRDefault="0035265C" w:rsidP="0035265C">
      <w:pPr>
        <w:pStyle w:val="Maintext"/>
      </w:pPr>
      <w:r w:rsidRPr="00E826FD">
        <w:rPr>
          <w:noProof/>
          <w:color w:val="000000"/>
        </w:rPr>
        <w:drawing>
          <wp:anchor distT="0" distB="0" distL="114300" distR="114300" simplePos="0" relativeHeight="251661312" behindDoc="0" locked="0" layoutInCell="1" allowOverlap="1" wp14:anchorId="5083E3CE" wp14:editId="6EC745B4">
            <wp:simplePos x="0" y="0"/>
            <wp:positionH relativeFrom="column">
              <wp:posOffset>358923</wp:posOffset>
            </wp:positionH>
            <wp:positionV relativeFrom="paragraph">
              <wp:posOffset>161735</wp:posOffset>
            </wp:positionV>
            <wp:extent cx="4880344" cy="4663440"/>
            <wp:effectExtent l="0" t="0" r="0" b="0"/>
            <wp:wrapNone/>
            <wp:docPr id="123"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4880344" cy="4663440"/>
                    </a:xfrm>
                    <a:prstGeom prst="rect">
                      <a:avLst/>
                    </a:prstGeom>
                  </pic:spPr>
                </pic:pic>
              </a:graphicData>
            </a:graphic>
            <wp14:sizeRelH relativeFrom="page">
              <wp14:pctWidth>0</wp14:pctWidth>
            </wp14:sizeRelH>
            <wp14:sizeRelV relativeFrom="page">
              <wp14:pctHeight>0</wp14:pctHeight>
            </wp14:sizeRelV>
          </wp:anchor>
        </w:drawing>
      </w:r>
      <w:r w:rsidRPr="00075BA1">
        <w:br w:type="page"/>
      </w:r>
    </w:p>
    <w:p w14:paraId="5AC1B750" w14:textId="596A220A" w:rsidR="0035265C" w:rsidRPr="00562C0B" w:rsidRDefault="0035265C" w:rsidP="0035265C">
      <w:pPr>
        <w:spacing w:line="480" w:lineRule="auto"/>
        <w:jc w:val="both"/>
        <w:rPr>
          <w:color w:val="000000"/>
        </w:rPr>
      </w:pPr>
      <w:r w:rsidRPr="00CB41F8">
        <w:rPr>
          <w:b/>
          <w:bCs/>
        </w:rPr>
        <w:lastRenderedPageBreak/>
        <w:t>4.</w:t>
      </w:r>
      <w:r w:rsidRPr="00075BA1">
        <w:t xml:space="preserve"> </w:t>
      </w:r>
      <w:r w:rsidRPr="00562C0B">
        <w:rPr>
          <w:b/>
          <w:color w:val="000000"/>
        </w:rPr>
        <w:t xml:space="preserve">Supplementary Figure </w:t>
      </w:r>
      <w:r>
        <w:rPr>
          <w:b/>
          <w:color w:val="000000"/>
        </w:rPr>
        <w:t>4</w:t>
      </w:r>
      <w:r w:rsidRPr="00562C0B">
        <w:rPr>
          <w:b/>
          <w:color w:val="000000"/>
        </w:rPr>
        <w:t>.</w:t>
      </w:r>
      <w:r w:rsidRPr="00562C0B">
        <w:rPr>
          <w:color w:val="000000"/>
        </w:rPr>
        <w:t xml:space="preserve"> </w:t>
      </w:r>
      <w:r w:rsidRPr="00562C0B">
        <w:rPr>
          <w:b/>
          <w:color w:val="000000"/>
        </w:rPr>
        <w:t xml:space="preserve">Cell </w:t>
      </w:r>
      <w:r w:rsidR="00751B6A" w:rsidRPr="00562C0B">
        <w:rPr>
          <w:b/>
          <w:color w:val="000000"/>
        </w:rPr>
        <w:t>viabilit</w:t>
      </w:r>
      <w:r w:rsidR="00751B6A">
        <w:rPr>
          <w:b/>
          <w:color w:val="000000"/>
        </w:rPr>
        <w:t>y</w:t>
      </w:r>
      <w:r w:rsidRPr="00562C0B">
        <w:rPr>
          <w:b/>
          <w:color w:val="000000"/>
        </w:rPr>
        <w:t xml:space="preserve"> of </w:t>
      </w:r>
      <w:r>
        <w:rPr>
          <w:b/>
          <w:color w:val="000000"/>
        </w:rPr>
        <w:t xml:space="preserve">2D-cultured </w:t>
      </w:r>
      <w:r w:rsidRPr="00562C0B">
        <w:rPr>
          <w:b/>
          <w:color w:val="000000"/>
        </w:rPr>
        <w:t xml:space="preserve">GT1-7 </w:t>
      </w:r>
      <w:r>
        <w:rPr>
          <w:b/>
          <w:color w:val="000000"/>
        </w:rPr>
        <w:t>cells</w:t>
      </w:r>
      <w:r w:rsidRPr="00562C0B">
        <w:rPr>
          <w:b/>
          <w:color w:val="000000"/>
        </w:rPr>
        <w:t>.</w:t>
      </w:r>
    </w:p>
    <w:p w14:paraId="54A268C1" w14:textId="39F9D7FF" w:rsidR="0035265C" w:rsidRPr="0022203E" w:rsidRDefault="0035265C" w:rsidP="0035265C">
      <w:pPr>
        <w:spacing w:line="480" w:lineRule="auto"/>
        <w:jc w:val="both"/>
        <w:rPr>
          <w:rFonts w:ascii="ＭＳ Ｐゴシック" w:eastAsia="ＭＳ Ｐゴシック" w:hAnsi="ＭＳ Ｐゴシック" w:cs="ＭＳ Ｐゴシック"/>
        </w:rPr>
      </w:pPr>
      <w:r w:rsidRPr="00E252D1">
        <w:rPr>
          <w:color w:val="000000"/>
          <w:sz w:val="22"/>
          <w:szCs w:val="22"/>
        </w:rPr>
        <w:t>Dissociated GT1–7 cells were plated onto 96-well culture plates at a concentration of 5 × 10</w:t>
      </w:r>
      <w:r w:rsidRPr="00E252D1">
        <w:rPr>
          <w:color w:val="000000"/>
          <w:sz w:val="22"/>
          <w:szCs w:val="22"/>
          <w:vertAlign w:val="superscript"/>
        </w:rPr>
        <w:t>5</w:t>
      </w:r>
      <w:r w:rsidRPr="00E252D1">
        <w:rPr>
          <w:color w:val="000000"/>
          <w:sz w:val="22"/>
          <w:szCs w:val="22"/>
        </w:rPr>
        <w:t xml:space="preserve"> cells per well in 200 </w:t>
      </w:r>
      <w:proofErr w:type="spellStart"/>
      <w:r w:rsidRPr="00E252D1">
        <w:rPr>
          <w:color w:val="000000"/>
          <w:sz w:val="22"/>
          <w:szCs w:val="22"/>
        </w:rPr>
        <w:t>μl</w:t>
      </w:r>
      <w:proofErr w:type="spellEnd"/>
      <w:r w:rsidRPr="00E252D1">
        <w:rPr>
          <w:color w:val="000000"/>
          <w:sz w:val="22"/>
          <w:szCs w:val="22"/>
        </w:rPr>
        <w:t xml:space="preserve"> culture medi</w:t>
      </w:r>
      <w:r w:rsidR="001615B1">
        <w:rPr>
          <w:color w:val="000000"/>
          <w:sz w:val="22"/>
          <w:szCs w:val="22"/>
        </w:rPr>
        <w:t>a</w:t>
      </w:r>
      <w:r w:rsidRPr="00E252D1">
        <w:rPr>
          <w:color w:val="000000"/>
          <w:sz w:val="22"/>
          <w:szCs w:val="22"/>
        </w:rPr>
        <w:t xml:space="preserve">. Following a 24 h incubation, the cells were </w:t>
      </w:r>
      <w:r w:rsidRPr="0022203E">
        <w:rPr>
          <w:color w:val="000000"/>
          <w:sz w:val="22"/>
          <w:szCs w:val="22"/>
        </w:rPr>
        <w:t xml:space="preserve">treated with various </w:t>
      </w:r>
      <w:r w:rsidRPr="0022203E">
        <w:rPr>
          <w:rFonts w:eastAsia="Times New Roman"/>
          <w:color w:val="000000"/>
          <w:sz w:val="22"/>
          <w:szCs w:val="22"/>
        </w:rPr>
        <w:t>H</w:t>
      </w:r>
      <w:r w:rsidRPr="0022203E">
        <w:rPr>
          <w:rFonts w:eastAsia="Times New Roman"/>
          <w:color w:val="000000"/>
          <w:sz w:val="22"/>
          <w:szCs w:val="22"/>
          <w:vertAlign w:val="subscript"/>
        </w:rPr>
        <w:t>2</w:t>
      </w:r>
      <w:r w:rsidRPr="0022203E">
        <w:rPr>
          <w:rFonts w:eastAsia="Times New Roman"/>
          <w:color w:val="000000"/>
          <w:sz w:val="22"/>
          <w:szCs w:val="22"/>
        </w:rPr>
        <w:t>O</w:t>
      </w:r>
      <w:r w:rsidRPr="0022203E">
        <w:rPr>
          <w:rFonts w:eastAsia="Times New Roman"/>
          <w:color w:val="000000"/>
          <w:sz w:val="22"/>
          <w:szCs w:val="22"/>
          <w:vertAlign w:val="subscript"/>
        </w:rPr>
        <w:t>2</w:t>
      </w:r>
      <w:r w:rsidRPr="0022203E">
        <w:rPr>
          <w:color w:val="000000"/>
          <w:sz w:val="22"/>
          <w:szCs w:val="22"/>
        </w:rPr>
        <w:t xml:space="preserve"> concentrations (0–10 mM) for 24 h.</w:t>
      </w:r>
      <w:r>
        <w:rPr>
          <w:color w:val="000000"/>
          <w:sz w:val="22"/>
          <w:szCs w:val="22"/>
        </w:rPr>
        <w:t xml:space="preserve"> </w:t>
      </w:r>
      <w:r w:rsidRPr="00562C0B">
        <w:rPr>
          <w:color w:val="000000"/>
          <w:sz w:val="22"/>
          <w:szCs w:val="22"/>
        </w:rPr>
        <w:t xml:space="preserve">Cell viability was estimated by </w:t>
      </w:r>
      <w:r w:rsidRPr="0022203E">
        <w:rPr>
          <w:color w:val="000000"/>
          <w:sz w:val="22"/>
          <w:szCs w:val="22"/>
        </w:rPr>
        <w:t>CellTiter-Glo 2.0</w:t>
      </w:r>
      <w:r>
        <w:rPr>
          <w:color w:val="000000"/>
          <w:sz w:val="22"/>
          <w:szCs w:val="22"/>
        </w:rPr>
        <w:t xml:space="preserve"> (</w:t>
      </w:r>
      <w:r w:rsidRPr="0022203E">
        <w:rPr>
          <w:rFonts w:ascii="Arial" w:eastAsia="ＭＳ Ｐゴシック" w:hAnsi="Arial" w:cs="Arial"/>
          <w:color w:val="222222"/>
          <w:sz w:val="20"/>
          <w:szCs w:val="20"/>
          <w:shd w:val="clear" w:color="auto" w:fill="FFFFFF"/>
        </w:rPr>
        <w:t>Promega</w:t>
      </w:r>
      <w:r>
        <w:rPr>
          <w:rFonts w:ascii="Arial" w:eastAsia="ＭＳ Ｐゴシック" w:hAnsi="Arial" w:cs="Arial"/>
          <w:color w:val="222222"/>
          <w:sz w:val="20"/>
          <w:szCs w:val="20"/>
          <w:shd w:val="clear" w:color="auto" w:fill="FFFFFF"/>
        </w:rPr>
        <w:t>).</w:t>
      </w:r>
    </w:p>
    <w:p w14:paraId="75999524" w14:textId="77777777" w:rsidR="0035265C" w:rsidRPr="00CB41F8" w:rsidRDefault="0035265C" w:rsidP="0035265C">
      <w:pPr>
        <w:pStyle w:val="Maintext"/>
      </w:pPr>
      <w:r w:rsidRPr="007575A8">
        <w:rPr>
          <w:noProof/>
          <w:color w:val="000000"/>
        </w:rPr>
        <w:drawing>
          <wp:anchor distT="0" distB="0" distL="114300" distR="114300" simplePos="0" relativeHeight="251662336" behindDoc="0" locked="0" layoutInCell="1" allowOverlap="1" wp14:anchorId="6DC9EB7F" wp14:editId="2D1ADCE1">
            <wp:simplePos x="0" y="0"/>
            <wp:positionH relativeFrom="column">
              <wp:posOffset>1097580</wp:posOffset>
            </wp:positionH>
            <wp:positionV relativeFrom="paragraph">
              <wp:posOffset>207378</wp:posOffset>
            </wp:positionV>
            <wp:extent cx="3465095" cy="3368842"/>
            <wp:effectExtent l="0" t="0" r="0" b="0"/>
            <wp:wrapNone/>
            <wp:docPr id="124"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470849" cy="3374436"/>
                    </a:xfrm>
                    <a:prstGeom prst="rect">
                      <a:avLst/>
                    </a:prstGeom>
                  </pic:spPr>
                </pic:pic>
              </a:graphicData>
            </a:graphic>
            <wp14:sizeRelH relativeFrom="page">
              <wp14:pctWidth>0</wp14:pctWidth>
            </wp14:sizeRelH>
            <wp14:sizeRelV relativeFrom="page">
              <wp14:pctHeight>0</wp14:pctHeight>
            </wp14:sizeRelV>
          </wp:anchor>
        </w:drawing>
      </w:r>
    </w:p>
    <w:p w14:paraId="1FFB8EE6" w14:textId="77777777" w:rsidR="0035265C" w:rsidRPr="00075BA1" w:rsidRDefault="0035265C" w:rsidP="0035265C">
      <w:pPr>
        <w:pStyle w:val="Maintext"/>
      </w:pPr>
    </w:p>
    <w:p w14:paraId="10A5DB1C" w14:textId="77777777" w:rsidR="0035265C" w:rsidRPr="00075BA1" w:rsidRDefault="0035265C" w:rsidP="0035265C">
      <w:pPr>
        <w:pStyle w:val="Maintext"/>
      </w:pPr>
    </w:p>
    <w:p w14:paraId="45D37493" w14:textId="77777777" w:rsidR="0035265C" w:rsidRPr="00075BA1" w:rsidRDefault="0035265C" w:rsidP="0035265C">
      <w:pPr>
        <w:pStyle w:val="Maintext"/>
        <w:spacing w:line="480" w:lineRule="auto"/>
      </w:pPr>
      <w:r w:rsidRPr="00075BA1">
        <w:br w:type="page"/>
      </w:r>
    </w:p>
    <w:p w14:paraId="5C2BF61B" w14:textId="77777777" w:rsidR="0035265C" w:rsidRPr="00562C0B" w:rsidRDefault="0035265C" w:rsidP="0035265C">
      <w:pPr>
        <w:spacing w:line="480" w:lineRule="auto"/>
        <w:jc w:val="both"/>
        <w:rPr>
          <w:color w:val="000000"/>
        </w:rPr>
      </w:pPr>
      <w:r w:rsidRPr="00CB41F8">
        <w:rPr>
          <w:b/>
          <w:bCs/>
        </w:rPr>
        <w:lastRenderedPageBreak/>
        <w:t>5.</w:t>
      </w:r>
      <w:r w:rsidRPr="00075BA1">
        <w:t xml:space="preserve"> </w:t>
      </w:r>
      <w:r w:rsidRPr="00562C0B">
        <w:rPr>
          <w:b/>
          <w:color w:val="000000"/>
        </w:rPr>
        <w:t xml:space="preserve">Supplementary Movie 1. Top view of transfer of </w:t>
      </w:r>
      <w:r>
        <w:rPr>
          <w:b/>
          <w:color w:val="000000"/>
        </w:rPr>
        <w:t>CF fragments</w:t>
      </w:r>
      <w:r w:rsidRPr="00562C0B">
        <w:rPr>
          <w:b/>
          <w:color w:val="000000"/>
        </w:rPr>
        <w:t xml:space="preserve"> in a </w:t>
      </w:r>
      <w:r w:rsidRPr="00562C0B">
        <w:rPr>
          <w:rFonts w:hint="eastAsia"/>
          <w:b/>
          <w:color w:val="000000"/>
        </w:rPr>
        <w:t>9</w:t>
      </w:r>
      <w:r w:rsidRPr="00562C0B">
        <w:rPr>
          <w:b/>
          <w:color w:val="000000"/>
        </w:rPr>
        <w:t>6-well plate</w:t>
      </w:r>
      <w:r w:rsidRPr="00562C0B" w:rsidDel="0019022C">
        <w:rPr>
          <w:b/>
          <w:color w:val="000000"/>
        </w:rPr>
        <w:t xml:space="preserve"> </w:t>
      </w:r>
      <w:r w:rsidRPr="00562C0B">
        <w:rPr>
          <w:b/>
          <w:color w:val="000000"/>
        </w:rPr>
        <w:t xml:space="preserve">processed in the FCAT device.  </w:t>
      </w:r>
    </w:p>
    <w:p w14:paraId="1D8D4752" w14:textId="77777777" w:rsidR="0035265C" w:rsidRPr="00E252D1" w:rsidRDefault="0035265C" w:rsidP="0035265C">
      <w:pPr>
        <w:spacing w:line="480" w:lineRule="auto"/>
        <w:jc w:val="both"/>
        <w:rPr>
          <w:color w:val="000000"/>
          <w:sz w:val="22"/>
          <w:szCs w:val="22"/>
        </w:rPr>
      </w:pPr>
      <w:r w:rsidRPr="00E252D1">
        <w:rPr>
          <w:color w:val="000000"/>
          <w:sz w:val="22"/>
          <w:szCs w:val="22"/>
        </w:rPr>
        <w:t>Movie of the transfer to 96-well plate acquired from the top. The fibers are colored with water-based red ink.</w:t>
      </w:r>
    </w:p>
    <w:p w14:paraId="27047CDB" w14:textId="68B872E8" w:rsidR="0035265C" w:rsidRPr="00562C0B" w:rsidRDefault="0035265C" w:rsidP="00B11E4F">
      <w:pPr>
        <w:pStyle w:val="Maintext"/>
        <w:spacing w:line="480" w:lineRule="auto"/>
        <w:rPr>
          <w:color w:val="000000"/>
        </w:rPr>
      </w:pPr>
      <w:r w:rsidRPr="00075BA1">
        <w:t xml:space="preserve">                                                                                                                                                                                                                                                                      </w:t>
      </w:r>
      <w:r w:rsidRPr="00CB41F8">
        <w:rPr>
          <w:bCs/>
        </w:rPr>
        <w:t xml:space="preserve">6. </w:t>
      </w:r>
      <w:r w:rsidRPr="00562C0B">
        <w:rPr>
          <w:color w:val="000000"/>
        </w:rPr>
        <w:t xml:space="preserve">Supplementary Movie 2. Side view of transfer of </w:t>
      </w:r>
      <w:r>
        <w:rPr>
          <w:color w:val="000000"/>
        </w:rPr>
        <w:t>CF fragments</w:t>
      </w:r>
      <w:r w:rsidRPr="00562C0B">
        <w:rPr>
          <w:color w:val="000000"/>
        </w:rPr>
        <w:t xml:space="preserve"> from FCAT device to a </w:t>
      </w:r>
      <w:r w:rsidRPr="00562C0B">
        <w:rPr>
          <w:rFonts w:hint="eastAsia"/>
          <w:color w:val="000000"/>
        </w:rPr>
        <w:t>9</w:t>
      </w:r>
      <w:r w:rsidRPr="00562C0B">
        <w:rPr>
          <w:color w:val="000000"/>
        </w:rPr>
        <w:t xml:space="preserve">6-well plate. </w:t>
      </w:r>
    </w:p>
    <w:p w14:paraId="723697C6" w14:textId="77777777" w:rsidR="0035265C" w:rsidRPr="00E252D1" w:rsidRDefault="0035265C" w:rsidP="0035265C">
      <w:pPr>
        <w:spacing w:line="480" w:lineRule="auto"/>
        <w:jc w:val="both"/>
        <w:rPr>
          <w:color w:val="000000"/>
          <w:sz w:val="22"/>
          <w:szCs w:val="22"/>
        </w:rPr>
      </w:pPr>
      <w:r w:rsidRPr="00E252D1">
        <w:rPr>
          <w:color w:val="000000"/>
          <w:sz w:val="22"/>
          <w:szCs w:val="22"/>
        </w:rPr>
        <w:t>Movie of the transfer to 96-well plate acquired from a side</w:t>
      </w:r>
      <w:r w:rsidRPr="00E252D1">
        <w:rPr>
          <w:rFonts w:hint="eastAsia"/>
          <w:color w:val="000000"/>
          <w:sz w:val="22"/>
          <w:szCs w:val="22"/>
        </w:rPr>
        <w:t>.</w:t>
      </w:r>
      <w:r w:rsidRPr="00E252D1">
        <w:rPr>
          <w:color w:val="000000"/>
          <w:sz w:val="22"/>
          <w:szCs w:val="22"/>
        </w:rPr>
        <w:t xml:space="preserve"> The fibers are colored with water-based red ink.</w:t>
      </w:r>
    </w:p>
    <w:p w14:paraId="33698C4E" w14:textId="77777777" w:rsidR="0035265C" w:rsidRPr="00075BA1" w:rsidRDefault="0035265C" w:rsidP="0035265C">
      <w:pPr>
        <w:pStyle w:val="Maintext"/>
      </w:pPr>
    </w:p>
    <w:p w14:paraId="37DA5FBC" w14:textId="77777777" w:rsidR="001F54A8" w:rsidRPr="0035265C" w:rsidRDefault="001F54A8"/>
    <w:sectPr w:rsidR="001F54A8" w:rsidRPr="0035265C" w:rsidSect="00011E4B">
      <w:pgSz w:w="11900" w:h="16840"/>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ヒラギノ角ゴ Pro W3">
    <w:panose1 w:val="020B0300000000000000"/>
    <w:charset w:val="80"/>
    <w:family w:val="swiss"/>
    <w:pitch w:val="variable"/>
    <w:sig w:usb0="E00002FF" w:usb1="7AC7FFFF" w:usb2="00000012" w:usb3="00000000" w:csb0="0002000D"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F4482D"/>
    <w:multiLevelType w:val="hybridMultilevel"/>
    <w:tmpl w:val="9DBA6C56"/>
    <w:lvl w:ilvl="0" w:tplc="80665836">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65C"/>
    <w:rsid w:val="00011E4B"/>
    <w:rsid w:val="00054BA1"/>
    <w:rsid w:val="00055BBE"/>
    <w:rsid w:val="001615B1"/>
    <w:rsid w:val="001F54A8"/>
    <w:rsid w:val="0035265C"/>
    <w:rsid w:val="0045227D"/>
    <w:rsid w:val="006E1B11"/>
    <w:rsid w:val="00751B6A"/>
    <w:rsid w:val="0079585B"/>
    <w:rsid w:val="00A012E1"/>
    <w:rsid w:val="00B07A31"/>
    <w:rsid w:val="00B11E4F"/>
    <w:rsid w:val="00CA098B"/>
    <w:rsid w:val="00CB14E8"/>
    <w:rsid w:val="00D42828"/>
    <w:rsid w:val="00FF7E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3C248098"/>
  <w15:chartTrackingRefBased/>
  <w15:docId w15:val="{8CC5D390-BFDF-7D43-B312-9FA01747B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265C"/>
    <w:rPr>
      <w:rFonts w:ascii="Times New Roman" w:eastAsia="ＭＳ 明朝" w:hAnsi="Times New Roman" w:cs="Times New Roman"/>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ofcontents">
    <w:name w:val="Table of contents"/>
    <w:basedOn w:val="a"/>
    <w:autoRedefine/>
    <w:rsid w:val="0035265C"/>
  </w:style>
  <w:style w:type="paragraph" w:customStyle="1" w:styleId="1">
    <w:name w:val="表題1"/>
    <w:basedOn w:val="a"/>
    <w:rsid w:val="0035265C"/>
    <w:rPr>
      <w:rFonts w:ascii="Century" w:hAnsi="Century"/>
      <w:b/>
      <w:kern w:val="2"/>
    </w:rPr>
  </w:style>
  <w:style w:type="paragraph" w:customStyle="1" w:styleId="TitleA">
    <w:name w:val="Title A"/>
    <w:autoRedefine/>
    <w:rsid w:val="0035265C"/>
    <w:pPr>
      <w:widowControl w:val="0"/>
      <w:ind w:rightChars="-59" w:right="-142"/>
    </w:pPr>
    <w:rPr>
      <w:rFonts w:ascii="Times New Roman" w:eastAsia="ヒラギノ角ゴ Pro W3" w:hAnsi="Times New Roman" w:cs="Times New Roman"/>
      <w:b/>
      <w:kern w:val="0"/>
      <w:sz w:val="28"/>
      <w:szCs w:val="28"/>
    </w:rPr>
  </w:style>
  <w:style w:type="character" w:customStyle="1" w:styleId="MaintextChar">
    <w:name w:val="Main text Char"/>
    <w:link w:val="Maintext"/>
    <w:locked/>
    <w:rsid w:val="0035265C"/>
    <w:rPr>
      <w:rFonts w:ascii="Times New Roman" w:hAnsi="Times New Roman" w:cs="Times New Roman"/>
      <w:b/>
      <w:sz w:val="24"/>
    </w:rPr>
  </w:style>
  <w:style w:type="paragraph" w:customStyle="1" w:styleId="Maintext">
    <w:name w:val="Main text"/>
    <w:basedOn w:val="a"/>
    <w:link w:val="MaintextChar"/>
    <w:autoRedefine/>
    <w:rsid w:val="0035265C"/>
    <w:pPr>
      <w:spacing w:line="360" w:lineRule="auto"/>
      <w:jc w:val="both"/>
    </w:pPr>
    <w:rPr>
      <w:rFonts w:eastAsiaTheme="minorEastAsia"/>
      <w:b/>
      <w:kern w:val="2"/>
    </w:rPr>
  </w:style>
  <w:style w:type="paragraph" w:customStyle="1" w:styleId="Title2">
    <w:name w:val="Title2"/>
    <w:basedOn w:val="a"/>
    <w:rsid w:val="0035265C"/>
    <w:rPr>
      <w:b/>
    </w:rPr>
  </w:style>
  <w:style w:type="paragraph" w:styleId="HTML">
    <w:name w:val="HTML Preformatted"/>
    <w:basedOn w:val="a"/>
    <w:link w:val="HTML0"/>
    <w:uiPriority w:val="99"/>
    <w:unhideWhenUsed/>
    <w:rsid w:val="00352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ＭＳ ゴシック" w:eastAsia="ＭＳ ゴシック" w:hAnsi="ＭＳ ゴシック" w:cs="ＭＳ ゴシック"/>
    </w:rPr>
  </w:style>
  <w:style w:type="character" w:customStyle="1" w:styleId="HTML0">
    <w:name w:val="HTML 書式付き (文字)"/>
    <w:basedOn w:val="a0"/>
    <w:link w:val="HTML"/>
    <w:uiPriority w:val="99"/>
    <w:rsid w:val="0035265C"/>
    <w:rPr>
      <w:rFonts w:ascii="ＭＳ ゴシック" w:eastAsia="ＭＳ ゴシック" w:hAnsi="ＭＳ ゴシック" w:cs="ＭＳ 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462</Words>
  <Characters>2635</Characters>
  <Application>Microsoft Office Word</Application>
  <DocSecurity>0</DocSecurity>
  <Lines>21</Lines>
  <Paragraphs>6</Paragraphs>
  <ScaleCrop>false</ScaleCrop>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根岸みどり</dc:creator>
  <cp:keywords/>
  <dc:description/>
  <cp:lastModifiedBy>根岸みどり</cp:lastModifiedBy>
  <cp:revision>3</cp:revision>
  <cp:lastPrinted>2021-11-12T07:45:00Z</cp:lastPrinted>
  <dcterms:created xsi:type="dcterms:W3CDTF">2021-11-13T16:41:00Z</dcterms:created>
  <dcterms:modified xsi:type="dcterms:W3CDTF">2021-11-13T16:42:00Z</dcterms:modified>
</cp:coreProperties>
</file>