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661D" w14:textId="77777777" w:rsidR="00AE54ED" w:rsidRPr="00D51DC1" w:rsidRDefault="00AE54ED" w:rsidP="00AE54ED">
      <w:pPr>
        <w:spacing w:after="260" w:line="276" w:lineRule="auto"/>
        <w:rPr>
          <w:rFonts w:ascii="Times" w:eastAsia="Times" w:hAnsi="Times" w:cs="Times"/>
          <w:lang w:eastAsia="en-GB"/>
        </w:rPr>
      </w:pPr>
      <w:r w:rsidRPr="00D51DC1">
        <w:rPr>
          <w:rFonts w:ascii="Times" w:eastAsia="Times" w:hAnsi="Times" w:cs="Times"/>
          <w:b/>
          <w:bCs/>
          <w:sz w:val="20"/>
          <w:szCs w:val="20"/>
          <w:lang w:eastAsia="en-GB"/>
        </w:rPr>
        <w:t xml:space="preserve">Table 1. Inferred direction of transmission at the human–animal interface among four pandemic </w:t>
      </w:r>
      <w:r w:rsidRPr="00D51DC1">
        <w:rPr>
          <w:rFonts w:ascii="Times" w:eastAsia="Times" w:hAnsi="Times" w:cs="Times"/>
          <w:b/>
          <w:bCs/>
          <w:i/>
          <w:iCs/>
          <w:sz w:val="20"/>
          <w:szCs w:val="20"/>
          <w:lang w:eastAsia="en-GB"/>
        </w:rPr>
        <w:t>K. pneumoniae</w:t>
      </w:r>
      <w:r w:rsidRPr="00D51DC1">
        <w:rPr>
          <w:rFonts w:ascii="Times" w:eastAsia="Times" w:hAnsi="Times" w:cs="Times"/>
          <w:b/>
          <w:bCs/>
          <w:sz w:val="20"/>
          <w:szCs w:val="20"/>
          <w:lang w:eastAsia="en-GB"/>
        </w:rPr>
        <w:t xml:space="preserve"> clones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515"/>
        <w:gridCol w:w="1515"/>
        <w:gridCol w:w="1515"/>
        <w:gridCol w:w="1515"/>
      </w:tblGrid>
      <w:tr w:rsidR="00AE54ED" w:rsidRPr="00D51DC1" w14:paraId="68F8028F" w14:textId="77777777" w:rsidTr="006E02D0">
        <w:trPr>
          <w:tblHeader/>
        </w:trPr>
        <w:tc>
          <w:tcPr>
            <w:tcW w:w="3300" w:type="dxa"/>
            <w:shd w:val="clear" w:color="auto" w:fill="83CAEB"/>
          </w:tcPr>
          <w:p w14:paraId="64C2397B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Characteristic</w:t>
            </w:r>
          </w:p>
        </w:tc>
        <w:tc>
          <w:tcPr>
            <w:tcW w:w="1515" w:type="dxa"/>
            <w:shd w:val="clear" w:color="auto" w:fill="83CAEB"/>
          </w:tcPr>
          <w:p w14:paraId="0A240073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ST307</w:t>
            </w:r>
          </w:p>
        </w:tc>
        <w:tc>
          <w:tcPr>
            <w:tcW w:w="1515" w:type="dxa"/>
            <w:shd w:val="clear" w:color="auto" w:fill="83CAEB"/>
          </w:tcPr>
          <w:p w14:paraId="2231EA4F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ST147</w:t>
            </w:r>
          </w:p>
        </w:tc>
        <w:tc>
          <w:tcPr>
            <w:tcW w:w="1515" w:type="dxa"/>
            <w:shd w:val="clear" w:color="auto" w:fill="83CAEB"/>
          </w:tcPr>
          <w:p w14:paraId="6FF6AAD1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ST11</w:t>
            </w:r>
          </w:p>
        </w:tc>
        <w:tc>
          <w:tcPr>
            <w:tcW w:w="1515" w:type="dxa"/>
            <w:shd w:val="clear" w:color="auto" w:fill="83CAEB"/>
          </w:tcPr>
          <w:p w14:paraId="65041720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ST15</w:t>
            </w:r>
          </w:p>
        </w:tc>
      </w:tr>
      <w:tr w:rsidR="00AE54ED" w:rsidRPr="00D51DC1" w14:paraId="7486A80F" w14:textId="77777777" w:rsidTr="006E02D0">
        <w:tc>
          <w:tcPr>
            <w:tcW w:w="3300" w:type="dxa"/>
          </w:tcPr>
          <w:p w14:paraId="0D872349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 xml:space="preserve">Genomes, </w:t>
            </w:r>
            <w:r w:rsidRPr="00D51DC1">
              <w:rPr>
                <w:rFonts w:ascii="Times" w:eastAsia="Times" w:hAnsi="Times" w:cs="Times"/>
                <w:i/>
                <w:iCs/>
                <w:sz w:val="20"/>
                <w:szCs w:val="20"/>
                <w:lang w:eastAsia="en-GB"/>
              </w:rPr>
              <w:t>n</w:t>
            </w: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 xml:space="preserve"> (human/animal)</w:t>
            </w:r>
          </w:p>
        </w:tc>
        <w:tc>
          <w:tcPr>
            <w:tcW w:w="1515" w:type="dxa"/>
          </w:tcPr>
          <w:p w14:paraId="14615A40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63 (44/18)</w:t>
            </w:r>
          </w:p>
        </w:tc>
        <w:tc>
          <w:tcPr>
            <w:tcW w:w="1515" w:type="dxa"/>
          </w:tcPr>
          <w:p w14:paraId="75CFFB99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45 (19/26)</w:t>
            </w:r>
          </w:p>
        </w:tc>
        <w:tc>
          <w:tcPr>
            <w:tcW w:w="1515" w:type="dxa"/>
          </w:tcPr>
          <w:p w14:paraId="46F41F2F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93 (49/38)</w:t>
            </w:r>
          </w:p>
        </w:tc>
        <w:tc>
          <w:tcPr>
            <w:tcW w:w="1515" w:type="dxa"/>
          </w:tcPr>
          <w:p w14:paraId="1E5D18A1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71 (60/11)</w:t>
            </w:r>
          </w:p>
        </w:tc>
      </w:tr>
      <w:tr w:rsidR="00AE54ED" w:rsidRPr="00D51DC1" w14:paraId="2D9E4E9F" w14:textId="77777777" w:rsidTr="006E02D0">
        <w:tc>
          <w:tcPr>
            <w:tcW w:w="3300" w:type="dxa"/>
          </w:tcPr>
          <w:p w14:paraId="6CEA43E7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Phylogenetic scale</w:t>
            </w:r>
          </w:p>
        </w:tc>
        <w:tc>
          <w:tcPr>
            <w:tcW w:w="1515" w:type="dxa"/>
          </w:tcPr>
          <w:p w14:paraId="723BE9E1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Time-calibrated</w:t>
            </w:r>
          </w:p>
        </w:tc>
        <w:tc>
          <w:tcPr>
            <w:tcW w:w="1515" w:type="dxa"/>
          </w:tcPr>
          <w:p w14:paraId="7F884B67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Genetic divergence</w:t>
            </w:r>
          </w:p>
        </w:tc>
        <w:tc>
          <w:tcPr>
            <w:tcW w:w="1515" w:type="dxa"/>
          </w:tcPr>
          <w:p w14:paraId="2AC1B990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Time-calibrated</w:t>
            </w:r>
          </w:p>
        </w:tc>
        <w:tc>
          <w:tcPr>
            <w:tcW w:w="1515" w:type="dxa"/>
          </w:tcPr>
          <w:p w14:paraId="64F888A0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Time-calibrated</w:t>
            </w:r>
          </w:p>
        </w:tc>
      </w:tr>
      <w:tr w:rsidR="00AE54ED" w:rsidRPr="00D51DC1" w14:paraId="638179D3" w14:textId="77777777" w:rsidTr="006E02D0">
        <w:tc>
          <w:tcPr>
            <w:tcW w:w="3300" w:type="dxa"/>
          </w:tcPr>
          <w:p w14:paraId="2D3B0434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Inferred root state</w:t>
            </w:r>
          </w:p>
        </w:tc>
        <w:tc>
          <w:tcPr>
            <w:tcW w:w="1515" w:type="dxa"/>
          </w:tcPr>
          <w:p w14:paraId="4C1CFB95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Human</w:t>
            </w:r>
          </w:p>
        </w:tc>
        <w:tc>
          <w:tcPr>
            <w:tcW w:w="1515" w:type="dxa"/>
          </w:tcPr>
          <w:p w14:paraId="0EEC61EB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Human</w:t>
            </w:r>
          </w:p>
        </w:tc>
        <w:tc>
          <w:tcPr>
            <w:tcW w:w="1515" w:type="dxa"/>
          </w:tcPr>
          <w:p w14:paraId="1D751F3C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Human</w:t>
            </w:r>
          </w:p>
        </w:tc>
        <w:tc>
          <w:tcPr>
            <w:tcW w:w="1515" w:type="dxa"/>
          </w:tcPr>
          <w:p w14:paraId="313BF061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Human</w:t>
            </w:r>
          </w:p>
        </w:tc>
      </w:tr>
      <w:tr w:rsidR="00AE54ED" w:rsidRPr="00D51DC1" w14:paraId="7E0DB125" w14:textId="77777777" w:rsidTr="006E02D0">
        <w:tc>
          <w:tcPr>
            <w:tcW w:w="3300" w:type="dxa"/>
          </w:tcPr>
          <w:p w14:paraId="792B8384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 xml:space="preserve">Human-to-animal transitions, </w:t>
            </w:r>
            <w:r w:rsidRPr="00D51DC1">
              <w:rPr>
                <w:rFonts w:ascii="Times" w:eastAsia="Times" w:hAnsi="Times" w:cs="Times"/>
                <w:i/>
                <w:i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515" w:type="dxa"/>
          </w:tcPr>
          <w:p w14:paraId="1561666D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15" w:type="dxa"/>
          </w:tcPr>
          <w:p w14:paraId="54A326A8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15" w:type="dxa"/>
          </w:tcPr>
          <w:p w14:paraId="120EEAAD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15" w:type="dxa"/>
          </w:tcPr>
          <w:p w14:paraId="614DBB0C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8</w:t>
            </w:r>
          </w:p>
        </w:tc>
      </w:tr>
      <w:tr w:rsidR="00AE54ED" w:rsidRPr="00D51DC1" w14:paraId="0B082B6A" w14:textId="77777777" w:rsidTr="006E02D0">
        <w:tc>
          <w:tcPr>
            <w:tcW w:w="3300" w:type="dxa"/>
          </w:tcPr>
          <w:p w14:paraId="6E51C6F5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 xml:space="preserve">Animal-to-human transitions, </w:t>
            </w:r>
            <w:r w:rsidRPr="00D51DC1">
              <w:rPr>
                <w:rFonts w:ascii="Times" w:eastAsia="Times" w:hAnsi="Times" w:cs="Times"/>
                <w:i/>
                <w:i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515" w:type="dxa"/>
          </w:tcPr>
          <w:p w14:paraId="524AA235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515" w:type="dxa"/>
          </w:tcPr>
          <w:p w14:paraId="143DB92D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15" w:type="dxa"/>
          </w:tcPr>
          <w:p w14:paraId="1EF5B8BC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15" w:type="dxa"/>
          </w:tcPr>
          <w:p w14:paraId="53BCBF6A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1</w:t>
            </w:r>
          </w:p>
        </w:tc>
      </w:tr>
      <w:tr w:rsidR="00AE54ED" w:rsidRPr="00D51DC1" w14:paraId="64A98A91" w14:textId="77777777" w:rsidTr="006E02D0">
        <w:tc>
          <w:tcPr>
            <w:tcW w:w="3300" w:type="dxa"/>
          </w:tcPr>
          <w:p w14:paraId="5376362E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 xml:space="preserve">Largest animal-only clade, </w:t>
            </w:r>
            <w:r w:rsidRPr="00D51DC1">
              <w:rPr>
                <w:rFonts w:ascii="Times" w:eastAsia="Times" w:hAnsi="Times" w:cs="Times"/>
                <w:i/>
                <w:i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515" w:type="dxa"/>
          </w:tcPr>
          <w:p w14:paraId="79097725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15" w:type="dxa"/>
          </w:tcPr>
          <w:p w14:paraId="7B2CD0FB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515" w:type="dxa"/>
          </w:tcPr>
          <w:p w14:paraId="015A27D8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515" w:type="dxa"/>
          </w:tcPr>
          <w:p w14:paraId="7AB74A47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2</w:t>
            </w:r>
          </w:p>
        </w:tc>
      </w:tr>
      <w:tr w:rsidR="00AE54ED" w:rsidRPr="00D51DC1" w14:paraId="70315729" w14:textId="77777777" w:rsidTr="006E02D0">
        <w:tc>
          <w:tcPr>
            <w:tcW w:w="3300" w:type="dxa"/>
          </w:tcPr>
          <w:p w14:paraId="5735BCF5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 xml:space="preserve">Animal-to-human transitions followed by a multi-isolate human lineage, </w:t>
            </w:r>
            <w:r w:rsidRPr="00D51DC1">
              <w:rPr>
                <w:rFonts w:ascii="Times" w:eastAsia="Times" w:hAnsi="Times" w:cs="Times"/>
                <w:i/>
                <w:i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515" w:type="dxa"/>
          </w:tcPr>
          <w:p w14:paraId="439EEC81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15" w:type="dxa"/>
          </w:tcPr>
          <w:p w14:paraId="42E3E11D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15" w:type="dxa"/>
          </w:tcPr>
          <w:p w14:paraId="3B3FDD9E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515" w:type="dxa"/>
          </w:tcPr>
          <w:p w14:paraId="1C25C633" w14:textId="77777777" w:rsidR="00AE54ED" w:rsidRPr="00D51DC1" w:rsidRDefault="00AE54ED" w:rsidP="006E02D0">
            <w:pPr>
              <w:spacing w:before="40" w:after="40" w:line="240" w:lineRule="auto"/>
              <w:rPr>
                <w:rFonts w:ascii="Times" w:eastAsia="Times" w:hAnsi="Times" w:cs="Times"/>
                <w:lang w:eastAsia="en-GB"/>
              </w:rPr>
            </w:pPr>
            <w:r w:rsidRPr="00D51DC1">
              <w:rPr>
                <w:rFonts w:ascii="Times" w:eastAsia="Times" w:hAnsi="Times" w:cs="Times"/>
                <w:sz w:val="20"/>
                <w:szCs w:val="20"/>
                <w:lang w:eastAsia="en-GB"/>
              </w:rPr>
              <w:t>0</w:t>
            </w:r>
          </w:p>
        </w:tc>
      </w:tr>
    </w:tbl>
    <w:p w14:paraId="2FE9A86C" w14:textId="77777777" w:rsidR="00AE54ED" w:rsidRPr="00D51DC1" w:rsidRDefault="00AE54ED" w:rsidP="00AE54ED">
      <w:pPr>
        <w:spacing w:after="260" w:line="276" w:lineRule="auto"/>
        <w:rPr>
          <w:rFonts w:ascii="Times" w:eastAsia="Times" w:hAnsi="Times" w:cs="Times"/>
          <w:lang w:eastAsia="en-GB"/>
        </w:rPr>
      </w:pPr>
      <w:r w:rsidRPr="00D51DC1">
        <w:rPr>
          <w:rFonts w:ascii="Times" w:eastAsia="Times" w:hAnsi="Times" w:cs="Times"/>
          <w:sz w:val="20"/>
          <w:szCs w:val="20"/>
          <w:lang w:eastAsia="en-GB"/>
        </w:rPr>
        <w:t xml:space="preserve">Notes: Clones passing the two-stage temporal-signal gate were time-calibrated in </w:t>
      </w:r>
      <w:proofErr w:type="spellStart"/>
      <w:r w:rsidRPr="00D51DC1">
        <w:rPr>
          <w:rFonts w:ascii="Times" w:eastAsia="Times" w:hAnsi="Times" w:cs="Times"/>
          <w:sz w:val="20"/>
          <w:szCs w:val="20"/>
          <w:lang w:eastAsia="en-GB"/>
        </w:rPr>
        <w:t>TreeTime</w:t>
      </w:r>
      <w:proofErr w:type="spellEnd"/>
      <w:r w:rsidRPr="00D51DC1">
        <w:rPr>
          <w:rFonts w:ascii="Times" w:eastAsia="Times" w:hAnsi="Times" w:cs="Times"/>
          <w:sz w:val="20"/>
          <w:szCs w:val="20"/>
          <w:lang w:eastAsia="en-GB"/>
        </w:rPr>
        <w:t>; ST147 failed it and is shown on a genetic-divergence scale under midpoint rooting. Direction was inferred from topology, rooting and ancestral-state reconstruction.</w:t>
      </w:r>
    </w:p>
    <w:p w14:paraId="6B92280C" w14:textId="77777777" w:rsidR="00C93439" w:rsidRDefault="00C93439"/>
    <w:sectPr w:rsidR="00C93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ED"/>
    <w:rsid w:val="00A20584"/>
    <w:rsid w:val="00AE54ED"/>
    <w:rsid w:val="00AF57DC"/>
    <w:rsid w:val="00C93439"/>
    <w:rsid w:val="00CD158E"/>
    <w:rsid w:val="00D6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E8A709"/>
  <w14:defaultImageDpi w14:val="32767"/>
  <w15:chartTrackingRefBased/>
  <w15:docId w15:val="{2BCFD7E9-8445-40D8-BB6B-AA5C7BCF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4ED"/>
  </w:style>
  <w:style w:type="paragraph" w:styleId="Heading1">
    <w:name w:val="heading 1"/>
    <w:basedOn w:val="Normal"/>
    <w:next w:val="Normal"/>
    <w:link w:val="Heading1Char"/>
    <w:uiPriority w:val="9"/>
    <w:qFormat/>
    <w:rsid w:val="00AE5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4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4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4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4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4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Fordham</dc:creator>
  <cp:keywords/>
  <dc:description/>
  <cp:lastModifiedBy>Stephen Fordham</cp:lastModifiedBy>
  <cp:revision>1</cp:revision>
  <dcterms:created xsi:type="dcterms:W3CDTF">2026-08-14T08:14:00Z</dcterms:created>
  <dcterms:modified xsi:type="dcterms:W3CDTF">2026-08-14T08:14:00Z</dcterms:modified>
</cp:coreProperties>
</file>