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DECA4">
      <w:pPr>
        <w:keepNext w:val="0"/>
        <w:spacing w:before="0" w:after="160" w:line="240" w:lineRule="auto"/>
        <w:jc w:val="center"/>
      </w:pPr>
      <w:r>
        <w:rPr>
          <w:rFonts w:ascii="Times New Roman" w:hAnsi="Times New Roman" w:eastAsia="Times New Roman" w:cs="Times New Roman"/>
          <w:b/>
          <w:bCs/>
          <w:i w:val="0"/>
          <w:iCs w:val="0"/>
          <w:sz w:val="26"/>
          <w:szCs w:val="26"/>
        </w:rPr>
        <w:t>Additional file 1</w:t>
      </w:r>
    </w:p>
    <w:p w14:paraId="42A2B69B">
      <w:pPr>
        <w:keepNext w:val="0"/>
        <w:spacing w:before="0" w:after="80" w:line="240" w:lineRule="auto"/>
        <w:jc w:val="center"/>
      </w:pPr>
      <w:r>
        <w:t>Greater seminal vesicle volume is associated with higher sperm DNA fragmentation and lower motility, but not with sperm output: a cross-sectional study of 1,482 men</w:t>
      </w:r>
    </w:p>
    <w:p w14:paraId="1A03F26B">
      <w:pPr>
        <w:keepNext w:val="0"/>
        <w:spacing w:before="0" w:after="200" w:line="240" w:lineRule="auto"/>
        <w:jc w:val="center"/>
      </w:pPr>
      <w:r>
        <w:t>Jingping Li, Chong Chen, Huimei Zheng, Weikang Chen, Shai Li, Lin Chai, Yikan Feng, Maolin Su</w:t>
      </w:r>
    </w:p>
    <w:p w14:paraId="50E92286">
      <w:pPr>
        <w:keepNext w:val="0"/>
        <w:spacing w:before="0" w:after="100" w:line="240" w:lineRule="auto"/>
        <w:jc w:val="left"/>
      </w:pPr>
      <w:r>
        <w:rPr>
          <w:rFonts w:ascii="Times New Roman" w:hAnsi="Times New Roman" w:eastAsia="Times New Roman" w:cs="Times New Roman"/>
          <w:b/>
          <w:bCs/>
          <w:i w:val="0"/>
          <w:iCs w:val="0"/>
          <w:sz w:val="22"/>
          <w:szCs w:val="22"/>
        </w:rPr>
        <w:t>Contents</w:t>
      </w:r>
    </w:p>
    <w:p w14:paraId="7DC4A0F2">
      <w:pPr>
        <w:keepNext w:val="0"/>
        <w:spacing w:before="0" w:after="60" w:line="240" w:lineRule="auto"/>
        <w:jc w:val="left"/>
      </w:pPr>
      <w:r>
        <w:rPr>
          <w:rFonts w:ascii="Times New Roman" w:hAnsi="Times New Roman" w:eastAsia="Times New Roman" w:cs="Times New Roman"/>
          <w:b w:val="0"/>
          <w:bCs w:val="0"/>
          <w:i w:val="0"/>
          <w:iCs w:val="0"/>
          <w:sz w:val="22"/>
          <w:szCs w:val="22"/>
        </w:rPr>
        <w:t>Supplementary Methods</w:t>
      </w:r>
    </w:p>
    <w:p w14:paraId="5A31D219">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S1. Comparison of the final common cohort with eligible men excluded before analysis</w:t>
      </w:r>
    </w:p>
    <w:p w14:paraId="402FEA3A">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S2. Characteristics of the final common cohort by sperm DNA fragmentation category</w:t>
      </w:r>
    </w:p>
    <w:p w14:paraId="54FC99C5">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S3. Non-linearity of the association between bilateral total seminal-vesicle volume and DFI ≥ 30%</w:t>
      </w:r>
    </w:p>
    <w:p w14:paraId="3C388C1D">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S4. Head-to-head comparison of candidate seminal-vesicle measurements</w:t>
      </w:r>
    </w:p>
    <w:p w14:paraId="1C48D05C">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S5. Sensitivity of the primary estimate to abstinence-duration specification</w:t>
      </w:r>
    </w:p>
    <w:p w14:paraId="42849794">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S6. Ultrasound-side abstinence and seminal-vesicle measurements</w:t>
      </w:r>
    </w:p>
    <w:p w14:paraId="05117392">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S7. Stability of the primary estimates across calendar periods</w:t>
      </w:r>
    </w:p>
    <w:p w14:paraId="17F7FBF5">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S8. Examination timing and scan-order sensitivity</w:t>
      </w:r>
    </w:p>
    <w:p w14:paraId="1981616E">
      <w:pPr>
        <w:keepNext w:val="0"/>
        <w:spacing w:before="0" w:after="60" w:line="240" w:lineRule="auto"/>
        <w:jc w:val="left"/>
      </w:pPr>
      <w:r>
        <w:rPr>
          <w:rFonts w:ascii="Times New Roman" w:hAnsi="Times New Roman" w:eastAsia="Times New Roman" w:cs="Times New Roman"/>
          <w:b w:val="0"/>
          <w:bCs w:val="0"/>
          <w:i w:val="0"/>
          <w:iCs w:val="0"/>
          <w:sz w:val="22"/>
          <w:szCs w:val="22"/>
        </w:rPr>
        <w:t>Supplementary Table S9. Semen parameters before and after antibiotic monotherapy in the exploratory treatment cohort</w:t>
      </w:r>
    </w:p>
    <w:p w14:paraId="6806BECA">
      <w:r>
        <w:br w:type="page"/>
      </w:r>
    </w:p>
    <w:p w14:paraId="17A95878">
      <w:pPr>
        <w:keepNext w:val="0"/>
        <w:spacing w:before="0" w:after="140" w:line="240" w:lineRule="auto"/>
        <w:jc w:val="left"/>
      </w:pPr>
      <w:r>
        <w:rPr>
          <w:rFonts w:ascii="Times New Roman" w:hAnsi="Times New Roman" w:eastAsia="Times New Roman" w:cs="Times New Roman"/>
          <w:b/>
          <w:bCs/>
          <w:i w:val="0"/>
          <w:iCs w:val="0"/>
          <w:sz w:val="24"/>
          <w:szCs w:val="24"/>
        </w:rPr>
        <w:t>Supplementary Methods</w:t>
      </w:r>
    </w:p>
    <w:p w14:paraId="36C6F6C9">
      <w:pPr>
        <w:keepNext/>
        <w:spacing w:before="120" w:after="60" w:line="240" w:lineRule="auto"/>
        <w:jc w:val="left"/>
      </w:pPr>
      <w:r>
        <w:rPr>
          <w:rFonts w:ascii="Times New Roman" w:hAnsi="Times New Roman" w:eastAsia="Times New Roman" w:cs="Times New Roman"/>
          <w:b/>
          <w:bCs/>
          <w:i w:val="0"/>
          <w:iCs w:val="0"/>
          <w:sz w:val="22"/>
          <w:szCs w:val="22"/>
        </w:rPr>
        <w:t>Ultrasound measurements and operators</w:t>
      </w:r>
    </w:p>
    <w:p w14:paraId="3D8E7DBF">
      <w:pPr>
        <w:keepNext w:val="0"/>
        <w:spacing w:before="0" w:after="100" w:line="300" w:lineRule="auto"/>
        <w:jc w:val="left"/>
        <w:rPr>
          <w:rFonts w:ascii="Times New Roman" w:hAnsi="Times New Roman" w:eastAsia="Times New Roman" w:cs="Times New Roman"/>
          <w:b w:val="0"/>
          <w:bCs w:val="0"/>
          <w:i w:val="0"/>
          <w:iCs w:val="0"/>
          <w:sz w:val="22"/>
          <w:szCs w:val="22"/>
        </w:rPr>
      </w:pPr>
      <w:r>
        <w:rPr>
          <w:rFonts w:ascii="Times New Roman" w:hAnsi="Times New Roman" w:eastAsia="Times New Roman" w:cs="Times New Roman"/>
          <w:b w:val="0"/>
          <w:bCs w:val="0"/>
          <w:i w:val="0"/>
          <w:iCs w:val="0"/>
          <w:sz w:val="22"/>
          <w:szCs w:val="22"/>
        </w:rPr>
        <w:t>Routine transrectal ultrasonography was performed in the same ultrasound unit using an Esaote MyLab 70 before 2021 and a Mindray Resona R9T thereafter. Investigator-confirmed operator assignment showed that the principal sonographer, Chong Chen, performed 1,339 of 1,482 examinations (90.4%). Per-gland seminal-vesicle volume was calculated as 0.52 × longitudinal diameter × anteroposterior diameter² after conversion to centimetres. Bilateral total volume required calculable measurements for both glands.</w:t>
      </w:r>
    </w:p>
    <w:p w14:paraId="6F6C335A">
      <w:pPr>
        <w:keepNext w:val="0"/>
        <w:spacing w:before="0" w:after="100" w:line="300" w:lineRule="auto"/>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bCs/>
          <w:i w:val="0"/>
          <w:iCs w:val="0"/>
          <w:sz w:val="22"/>
          <w:szCs w:val="22"/>
        </w:rPr>
        <w:t>Missing motility data</w:t>
      </w:r>
      <w:r>
        <w:rPr>
          <w:rFonts w:hint="eastAsia" w:ascii="Times New Roman" w:hAnsi="Times New Roman" w:eastAsia="Times New Roman" w:cs="Times New Roman"/>
          <w:b w:val="0"/>
          <w:bCs w:val="0"/>
          <w:i w:val="0"/>
          <w:iCs w:val="0"/>
          <w:sz w:val="22"/>
          <w:szCs w:val="22"/>
        </w:rPr>
        <w:t xml:space="preserve">. </w:t>
      </w:r>
    </w:p>
    <w:p w14:paraId="400D7473">
      <w:pPr>
        <w:keepNext w:val="0"/>
        <w:spacing w:before="0" w:after="100" w:line="300" w:lineRule="auto"/>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val="0"/>
          <w:bCs w:val="0"/>
          <w:i w:val="0"/>
          <w:iCs w:val="0"/>
          <w:sz w:val="22"/>
          <w:szCs w:val="22"/>
        </w:rPr>
        <w:t>In seven men the laboratory reported motility as a microscopic count per high-power field rather than as a percentage, because sperm concentration was too low for a percentage to be computed; progressive motility in these men was left-censored below the limit of quantification rather than missing. All seven had a sperm concentration of 0.25–1.25 × 10⁶/mL and lay within the ten men (0.7%) whose concentration was below 2 × 10⁶/mL. Total motility was unavailable in 15 men: the seven above, two in whom the non-progressive fraction was likewise a microscopic count, and six in whom both components were recorded but no combined value was.</w:t>
      </w:r>
      <w:bookmarkStart w:id="0" w:name="_GoBack"/>
      <w:bookmarkEnd w:id="0"/>
    </w:p>
    <w:p w14:paraId="211F4811">
      <w:pPr>
        <w:keepNext/>
        <w:spacing w:before="120" w:after="60" w:line="240" w:lineRule="auto"/>
        <w:jc w:val="left"/>
      </w:pPr>
      <w:r>
        <w:rPr>
          <w:rFonts w:ascii="Times New Roman" w:hAnsi="Times New Roman" w:eastAsia="Times New Roman" w:cs="Times New Roman"/>
          <w:b/>
          <w:bCs/>
          <w:i w:val="0"/>
          <w:iCs w:val="0"/>
          <w:sz w:val="22"/>
          <w:szCs w:val="22"/>
        </w:rPr>
        <w:t>Candidate seminal-vesicle measurements</w:t>
      </w:r>
    </w:p>
    <w:p w14:paraId="379B1A2A">
      <w:pPr>
        <w:keepNext w:val="0"/>
        <w:spacing w:before="0" w:after="100" w:line="300" w:lineRule="auto"/>
        <w:jc w:val="left"/>
      </w:pPr>
      <w:r>
        <w:rPr>
          <w:rFonts w:ascii="Times New Roman" w:hAnsi="Times New Roman" w:eastAsia="Times New Roman" w:cs="Times New Roman"/>
          <w:b w:val="0"/>
          <w:bCs w:val="0"/>
          <w:i w:val="0"/>
          <w:iCs w:val="0"/>
          <w:sz w:val="22"/>
          <w:szCs w:val="22"/>
        </w:rPr>
        <w:t>In addition to bilateral total volume, candidate measurements included mean per-side, largest-side and smallest-side volumes; mean and largest anteroposterior and longitudinal diameters; left–right volume asymmetry; and a two-dimensional size index defined as the mean longitudinal diameter × mean anteroposterior diameter (Supplementary Table S4). Because ejaculation state and adherence to the EAA largest-sagittal-plane protocol were not consistently documented, the EAA post-ejaculatory 6.0 mL reference limit was not applied as a classification threshold.</w:t>
      </w:r>
    </w:p>
    <w:p w14:paraId="134F7B6F">
      <w:pPr>
        <w:keepNext/>
        <w:spacing w:before="120" w:after="60" w:line="240" w:lineRule="auto"/>
        <w:jc w:val="left"/>
      </w:pPr>
      <w:r>
        <w:rPr>
          <w:rFonts w:ascii="Times New Roman" w:hAnsi="Times New Roman" w:eastAsia="Times New Roman" w:cs="Times New Roman"/>
          <w:b/>
          <w:bCs/>
          <w:i w:val="0"/>
          <w:iCs w:val="0"/>
          <w:sz w:val="22"/>
          <w:szCs w:val="22"/>
        </w:rPr>
        <w:t>Spline and sensitivity analyses</w:t>
      </w:r>
    </w:p>
    <w:p w14:paraId="788ABC71">
      <w:pPr>
        <w:keepNext w:val="0"/>
        <w:spacing w:before="0" w:after="100" w:line="300" w:lineRule="auto"/>
        <w:jc w:val="left"/>
      </w:pPr>
      <w:r>
        <w:rPr>
          <w:rFonts w:ascii="Times New Roman" w:hAnsi="Times New Roman" w:eastAsia="Times New Roman" w:cs="Times New Roman"/>
          <w:b w:val="0"/>
          <w:bCs w:val="0"/>
          <w:i w:val="0"/>
          <w:iCs w:val="0"/>
          <w:sz w:val="22"/>
          <w:szCs w:val="22"/>
        </w:rPr>
        <w:t>Natural cubic splines used three degrees of freedom with quantile-based knot placement. Sensitivity analyses examined alternative abstinence specifications, adjustment for progressive motility, alternative DFI thresholds, calendar period, ultrasound-to-DFI interval and scan order. Expanded scan-order analyses adjusted for age, varicocele and semen-side abstinence.</w:t>
      </w:r>
    </w:p>
    <w:p w14:paraId="053D8A9F">
      <w:pPr>
        <w:keepNext/>
        <w:spacing w:before="120" w:after="60" w:line="240" w:lineRule="auto"/>
        <w:jc w:val="left"/>
      </w:pPr>
      <w:r>
        <w:rPr>
          <w:rFonts w:ascii="Times New Roman" w:hAnsi="Times New Roman" w:eastAsia="Times New Roman" w:cs="Times New Roman"/>
          <w:b/>
          <w:bCs/>
          <w:i w:val="0"/>
          <w:iCs w:val="0"/>
          <w:sz w:val="22"/>
          <w:szCs w:val="22"/>
        </w:rPr>
        <w:t>Resampling, prediction and E-values</w:t>
      </w:r>
    </w:p>
    <w:p w14:paraId="62880ECB">
      <w:pPr>
        <w:keepNext w:val="0"/>
        <w:spacing w:before="0" w:after="100" w:line="300" w:lineRule="auto"/>
        <w:jc w:val="left"/>
      </w:pPr>
      <w:r>
        <w:rPr>
          <w:rFonts w:ascii="Times New Roman" w:hAnsi="Times New Roman" w:eastAsia="Times New Roman" w:cs="Times New Roman"/>
          <w:b w:val="0"/>
          <w:bCs w:val="0"/>
          <w:i w:val="0"/>
          <w:iCs w:val="0"/>
          <w:sz w:val="22"/>
          <w:szCs w:val="22"/>
        </w:rPr>
        <w:t>Bootstrap resampling was performed at the patient level with replacement. The Youden cut-off used 500 resamples with cut-off reselection within each resample; coefficient attenuation and internal validation of the prediction model used 1,000 resamples. The exploratory prediction model included bilateral total seminal-vesicle volume, echotexture, age, varicocele and both abstinence intervals, and was assessed using the area under the receiver operating characteristic curve, the Brier score and calibration. E-values were calculated for the primary estimate on both the odds-ratio scale and an approximately converted risk-ratio scale.</w:t>
      </w:r>
    </w:p>
    <w:p w14:paraId="51FACB5F">
      <w:pPr>
        <w:keepNext/>
        <w:spacing w:before="120" w:after="60" w:line="240" w:lineRule="auto"/>
        <w:jc w:val="left"/>
      </w:pPr>
      <w:r>
        <w:rPr>
          <w:rFonts w:ascii="Times New Roman" w:hAnsi="Times New Roman" w:eastAsia="Times New Roman" w:cs="Times New Roman"/>
          <w:b/>
          <w:bCs/>
          <w:i w:val="0"/>
          <w:iCs w:val="0"/>
          <w:sz w:val="22"/>
          <w:szCs w:val="22"/>
        </w:rPr>
        <w:t>Treatment cohort</w:t>
      </w:r>
    </w:p>
    <w:p w14:paraId="4A8BB79A">
      <w:pPr>
        <w:keepNext w:val="0"/>
        <w:spacing w:before="0" w:after="100" w:line="300" w:lineRule="auto"/>
        <w:jc w:val="left"/>
      </w:pPr>
      <w:r>
        <w:rPr>
          <w:rFonts w:ascii="Times New Roman" w:hAnsi="Times New Roman" w:eastAsia="Times New Roman" w:cs="Times New Roman"/>
          <w:b w:val="0"/>
          <w:bCs w:val="0"/>
          <w:i w:val="0"/>
          <w:iCs w:val="0"/>
          <w:sz w:val="22"/>
          <w:szCs w:val="22"/>
        </w:rPr>
        <w:t>Men receiving sperm-directed co-medications during treatment or before retesting were excluded, including antioxidants or vitamins, herbal medicines, selective oestrogen-receptor modulators, aromatase inhibitors, gonadotrophins, androgens and growth hormone.</w:t>
      </w:r>
    </w:p>
    <w:p w14:paraId="705F3075">
      <w:r>
        <w:br w:type="page"/>
      </w:r>
    </w:p>
    <w:p w14:paraId="7CDC5D38">
      <w:pPr>
        <w:keepNext/>
        <w:spacing w:before="0" w:after="100" w:line="240" w:lineRule="auto"/>
        <w:jc w:val="left"/>
      </w:pPr>
      <w:r>
        <w:rPr>
          <w:rFonts w:ascii="Times New Roman" w:hAnsi="Times New Roman" w:eastAsia="Times New Roman" w:cs="Times New Roman"/>
          <w:b/>
          <w:bCs/>
          <w:i w:val="0"/>
          <w:iCs w:val="0"/>
          <w:sz w:val="22"/>
          <w:szCs w:val="22"/>
        </w:rPr>
        <w:t>Supplementary Table S1. Comparison of the final common cohort with eligible men excluded before analysis</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3000"/>
        <w:gridCol w:w="2350"/>
        <w:gridCol w:w="2600"/>
        <w:gridCol w:w="1688"/>
      </w:tblGrid>
      <w:tr w14:paraId="73E1436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3000" w:type="dxa"/>
            <w:tcBorders>
              <w:top w:val="single" w:sz="8" w:color="000000"/>
              <w:bottom w:val="single" w:sz="8" w:color="000000"/>
            </w:tcBorders>
            <w:tcMar>
              <w:top w:w="20" w:type="dxa"/>
              <w:left w:w="80" w:type="dxa"/>
              <w:bottom w:w="20" w:type="dxa"/>
              <w:right w:w="80" w:type="dxa"/>
            </w:tcMar>
            <w:vAlign w:val="center"/>
          </w:tcPr>
          <w:p w14:paraId="7D2955E1">
            <w:pPr>
              <w:spacing w:before="0" w:after="0" w:line="240" w:lineRule="auto"/>
              <w:jc w:val="left"/>
            </w:pPr>
            <w:r>
              <w:rPr>
                <w:rFonts w:ascii="Arial" w:hAnsi="Arial" w:eastAsia="Arial" w:cs="Times New Roman"/>
                <w:b/>
                <w:bCs/>
                <w:i w:val="0"/>
                <w:iCs w:val="0"/>
                <w:sz w:val="17"/>
                <w:szCs w:val="18"/>
              </w:rPr>
              <w:t>Variable</w:t>
            </w:r>
          </w:p>
        </w:tc>
        <w:tc>
          <w:tcPr>
            <w:tcW w:w="2350" w:type="dxa"/>
            <w:tcBorders>
              <w:top w:val="single" w:sz="8" w:color="000000"/>
              <w:bottom w:val="single" w:sz="8" w:color="000000"/>
            </w:tcBorders>
            <w:tcMar>
              <w:top w:w="20" w:type="dxa"/>
              <w:left w:w="80" w:type="dxa"/>
              <w:bottom w:w="20" w:type="dxa"/>
              <w:right w:w="80" w:type="dxa"/>
            </w:tcMar>
            <w:vAlign w:val="center"/>
          </w:tcPr>
          <w:p w14:paraId="7DEAE661">
            <w:pPr>
              <w:spacing w:before="0" w:after="0" w:line="240" w:lineRule="auto"/>
              <w:jc w:val="left"/>
            </w:pPr>
            <w:r>
              <w:rPr>
                <w:rFonts w:ascii="Arial" w:hAnsi="Arial" w:eastAsia="Arial" w:cs="Times New Roman"/>
                <w:b/>
                <w:bCs/>
                <w:i w:val="0"/>
                <w:iCs w:val="0"/>
                <w:sz w:val="17"/>
                <w:szCs w:val="18"/>
              </w:rPr>
              <w:t>Final common cohort (n = 1,482)</w:t>
            </w:r>
          </w:p>
        </w:tc>
        <w:tc>
          <w:tcPr>
            <w:tcW w:w="2600" w:type="dxa"/>
            <w:tcBorders>
              <w:top w:val="single" w:sz="8" w:color="000000"/>
              <w:bottom w:val="single" w:sz="8" w:color="000000"/>
            </w:tcBorders>
            <w:tcMar>
              <w:top w:w="20" w:type="dxa"/>
              <w:left w:w="80" w:type="dxa"/>
              <w:bottom w:w="20" w:type="dxa"/>
              <w:right w:w="80" w:type="dxa"/>
            </w:tcMar>
            <w:vAlign w:val="center"/>
          </w:tcPr>
          <w:p w14:paraId="033AF24B">
            <w:pPr>
              <w:spacing w:before="0" w:after="0" w:line="240" w:lineRule="auto"/>
              <w:jc w:val="left"/>
            </w:pPr>
            <w:r>
              <w:rPr>
                <w:rFonts w:ascii="Arial" w:hAnsi="Arial" w:eastAsia="Arial" w:cs="Times New Roman"/>
                <w:b/>
                <w:bCs/>
                <w:i w:val="0"/>
                <w:iCs w:val="0"/>
                <w:sz w:val="17"/>
                <w:szCs w:val="18"/>
              </w:rPr>
              <w:t>Excluded after temporal eligibility (n = 490)</w:t>
            </w:r>
          </w:p>
        </w:tc>
        <w:tc>
          <w:tcPr>
            <w:tcW w:w="1688" w:type="dxa"/>
            <w:tcBorders>
              <w:top w:val="single" w:sz="8" w:color="000000"/>
              <w:bottom w:val="single" w:sz="8" w:color="000000"/>
            </w:tcBorders>
            <w:tcMar>
              <w:top w:w="20" w:type="dxa"/>
              <w:left w:w="80" w:type="dxa"/>
              <w:bottom w:w="20" w:type="dxa"/>
              <w:right w:w="80" w:type="dxa"/>
            </w:tcMar>
            <w:vAlign w:val="center"/>
          </w:tcPr>
          <w:p w14:paraId="0C911986">
            <w:pPr>
              <w:spacing w:before="0" w:after="0" w:line="240" w:lineRule="auto"/>
              <w:jc w:val="left"/>
            </w:pPr>
            <w:r>
              <w:rPr>
                <w:rFonts w:ascii="Arial" w:hAnsi="Arial" w:eastAsia="Arial" w:cs="Times New Roman"/>
                <w:b/>
                <w:bCs/>
                <w:i/>
                <w:iCs/>
                <w:sz w:val="17"/>
                <w:szCs w:val="18"/>
              </w:rPr>
              <w:t>P</w:t>
            </w:r>
          </w:p>
        </w:tc>
      </w:tr>
      <w:tr w14:paraId="075CD1A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00" w:type="dxa"/>
            <w:tcBorders/>
            <w:tcMar>
              <w:top w:w="20" w:type="dxa"/>
              <w:left w:w="80" w:type="dxa"/>
              <w:bottom w:w="20" w:type="dxa"/>
              <w:right w:w="80" w:type="dxa"/>
            </w:tcMar>
            <w:vAlign w:val="center"/>
          </w:tcPr>
          <w:p w14:paraId="1D79E834">
            <w:pPr>
              <w:spacing w:before="0" w:after="0" w:line="240" w:lineRule="auto"/>
              <w:jc w:val="left"/>
            </w:pPr>
            <w:r>
              <w:rPr>
                <w:rFonts w:ascii="Arial" w:hAnsi="Arial" w:eastAsia="Arial" w:cs="Times New Roman"/>
                <w:b w:val="0"/>
                <w:bCs w:val="0"/>
                <w:i w:val="0"/>
                <w:iCs w:val="0"/>
                <w:sz w:val="17"/>
                <w:szCs w:val="18"/>
              </w:rPr>
              <w:t>DFI (%)</w:t>
            </w:r>
          </w:p>
        </w:tc>
        <w:tc>
          <w:tcPr>
            <w:tcW w:w="2350" w:type="dxa"/>
            <w:tcBorders/>
            <w:tcMar>
              <w:top w:w="20" w:type="dxa"/>
              <w:left w:w="80" w:type="dxa"/>
              <w:bottom w:w="20" w:type="dxa"/>
              <w:right w:w="80" w:type="dxa"/>
            </w:tcMar>
            <w:vAlign w:val="center"/>
          </w:tcPr>
          <w:p w14:paraId="3BBD54BE">
            <w:pPr>
              <w:spacing w:before="0" w:after="0" w:line="240" w:lineRule="auto"/>
              <w:jc w:val="left"/>
            </w:pPr>
            <w:r>
              <w:rPr>
                <w:rFonts w:ascii="Arial" w:hAnsi="Arial" w:eastAsia="Arial" w:cs="Times New Roman"/>
                <w:b w:val="0"/>
                <w:bCs w:val="0"/>
                <w:i w:val="0"/>
                <w:iCs w:val="0"/>
                <w:sz w:val="17"/>
                <w:szCs w:val="18"/>
              </w:rPr>
              <w:t>17.9 (11.6–28.0)</w:t>
            </w:r>
          </w:p>
        </w:tc>
        <w:tc>
          <w:tcPr>
            <w:tcW w:w="2600" w:type="dxa"/>
            <w:tcBorders/>
            <w:tcMar>
              <w:top w:w="20" w:type="dxa"/>
              <w:left w:w="80" w:type="dxa"/>
              <w:bottom w:w="20" w:type="dxa"/>
              <w:right w:w="80" w:type="dxa"/>
            </w:tcMar>
            <w:vAlign w:val="center"/>
          </w:tcPr>
          <w:p w14:paraId="72587E75">
            <w:pPr>
              <w:spacing w:before="0" w:after="0" w:line="240" w:lineRule="auto"/>
              <w:jc w:val="left"/>
            </w:pPr>
            <w:r>
              <w:rPr>
                <w:rFonts w:ascii="Arial" w:hAnsi="Arial" w:eastAsia="Arial" w:cs="Times New Roman"/>
                <w:b w:val="0"/>
                <w:bCs w:val="0"/>
                <w:i w:val="0"/>
                <w:iCs w:val="0"/>
                <w:sz w:val="17"/>
                <w:szCs w:val="18"/>
              </w:rPr>
              <w:t>15.2 (9.7–24.4)</w:t>
            </w:r>
          </w:p>
        </w:tc>
        <w:tc>
          <w:tcPr>
            <w:tcW w:w="1688" w:type="dxa"/>
            <w:tcBorders/>
            <w:tcMar>
              <w:top w:w="20" w:type="dxa"/>
              <w:left w:w="80" w:type="dxa"/>
              <w:bottom w:w="20" w:type="dxa"/>
              <w:right w:w="80" w:type="dxa"/>
            </w:tcMar>
            <w:vAlign w:val="center"/>
          </w:tcPr>
          <w:p w14:paraId="4AF95966">
            <w:pPr>
              <w:spacing w:before="0" w:after="0" w:line="240" w:lineRule="auto"/>
              <w:jc w:val="left"/>
            </w:pPr>
            <w:r>
              <w:rPr>
                <w:rFonts w:ascii="Arial" w:hAnsi="Arial" w:eastAsia="Arial" w:cs="Times New Roman"/>
                <w:b w:val="0"/>
                <w:bCs w:val="0"/>
                <w:i w:val="0"/>
                <w:iCs w:val="0"/>
                <w:sz w:val="17"/>
                <w:szCs w:val="18"/>
              </w:rPr>
              <w:t>&lt; 0.001</w:t>
            </w:r>
          </w:p>
        </w:tc>
      </w:tr>
      <w:tr w14:paraId="032041B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00" w:type="dxa"/>
            <w:tcBorders/>
            <w:tcMar>
              <w:top w:w="20" w:type="dxa"/>
              <w:left w:w="80" w:type="dxa"/>
              <w:bottom w:w="20" w:type="dxa"/>
              <w:right w:w="80" w:type="dxa"/>
            </w:tcMar>
            <w:vAlign w:val="center"/>
          </w:tcPr>
          <w:p w14:paraId="7A20CE7D">
            <w:pPr>
              <w:spacing w:before="0" w:after="0" w:line="240" w:lineRule="auto"/>
              <w:jc w:val="left"/>
            </w:pPr>
            <w:r>
              <w:rPr>
                <w:rFonts w:ascii="Arial" w:hAnsi="Arial" w:eastAsia="Arial" w:cs="Times New Roman"/>
                <w:b w:val="0"/>
                <w:bCs w:val="0"/>
                <w:i w:val="0"/>
                <w:iCs w:val="0"/>
                <w:sz w:val="17"/>
                <w:szCs w:val="18"/>
              </w:rPr>
              <w:t>DFI ≥ 30%</w:t>
            </w:r>
          </w:p>
        </w:tc>
        <w:tc>
          <w:tcPr>
            <w:tcW w:w="2350" w:type="dxa"/>
            <w:tcBorders/>
            <w:tcMar>
              <w:top w:w="20" w:type="dxa"/>
              <w:left w:w="80" w:type="dxa"/>
              <w:bottom w:w="20" w:type="dxa"/>
              <w:right w:w="80" w:type="dxa"/>
            </w:tcMar>
            <w:vAlign w:val="center"/>
          </w:tcPr>
          <w:p w14:paraId="3545A135">
            <w:pPr>
              <w:spacing w:before="0" w:after="0" w:line="240" w:lineRule="auto"/>
              <w:jc w:val="left"/>
            </w:pPr>
            <w:r>
              <w:rPr>
                <w:rFonts w:ascii="Arial" w:hAnsi="Arial" w:eastAsia="Arial" w:cs="Times New Roman"/>
                <w:b w:val="0"/>
                <w:bCs w:val="0"/>
                <w:i w:val="0"/>
                <w:iCs w:val="0"/>
                <w:sz w:val="17"/>
                <w:szCs w:val="18"/>
              </w:rPr>
              <w:t>319/1,482 (21.5)</w:t>
            </w:r>
          </w:p>
        </w:tc>
        <w:tc>
          <w:tcPr>
            <w:tcW w:w="2600" w:type="dxa"/>
            <w:tcBorders/>
            <w:tcMar>
              <w:top w:w="20" w:type="dxa"/>
              <w:left w:w="80" w:type="dxa"/>
              <w:bottom w:w="20" w:type="dxa"/>
              <w:right w:w="80" w:type="dxa"/>
            </w:tcMar>
            <w:vAlign w:val="center"/>
          </w:tcPr>
          <w:p w14:paraId="28CDAAA7">
            <w:pPr>
              <w:spacing w:before="0" w:after="0" w:line="240" w:lineRule="auto"/>
              <w:jc w:val="left"/>
            </w:pPr>
            <w:r>
              <w:rPr>
                <w:rFonts w:ascii="Arial" w:hAnsi="Arial" w:eastAsia="Arial" w:cs="Times New Roman"/>
                <w:b w:val="0"/>
                <w:bCs w:val="0"/>
                <w:i w:val="0"/>
                <w:iCs w:val="0"/>
                <w:sz w:val="17"/>
                <w:szCs w:val="18"/>
              </w:rPr>
              <w:t>84/490 (17.1)</w:t>
            </w:r>
          </w:p>
        </w:tc>
        <w:tc>
          <w:tcPr>
            <w:tcW w:w="1688" w:type="dxa"/>
            <w:tcBorders/>
            <w:tcMar>
              <w:top w:w="20" w:type="dxa"/>
              <w:left w:w="80" w:type="dxa"/>
              <w:bottom w:w="20" w:type="dxa"/>
              <w:right w:w="80" w:type="dxa"/>
            </w:tcMar>
            <w:vAlign w:val="center"/>
          </w:tcPr>
          <w:p w14:paraId="25D4AB7A">
            <w:pPr>
              <w:spacing w:before="0" w:after="0" w:line="240" w:lineRule="auto"/>
              <w:jc w:val="left"/>
            </w:pPr>
            <w:r>
              <w:rPr>
                <w:rFonts w:ascii="Arial" w:hAnsi="Arial" w:eastAsia="Arial" w:cs="Times New Roman"/>
                <w:b w:val="0"/>
                <w:bCs w:val="0"/>
                <w:i w:val="0"/>
                <w:iCs w:val="0"/>
                <w:sz w:val="17"/>
                <w:szCs w:val="18"/>
              </w:rPr>
              <w:t>0.039</w:t>
            </w:r>
          </w:p>
        </w:tc>
      </w:tr>
      <w:tr w14:paraId="231A3E1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000" w:type="dxa"/>
            <w:tcBorders/>
            <w:tcMar>
              <w:top w:w="20" w:type="dxa"/>
              <w:left w:w="80" w:type="dxa"/>
              <w:bottom w:w="20" w:type="dxa"/>
              <w:right w:w="80" w:type="dxa"/>
            </w:tcMar>
            <w:vAlign w:val="center"/>
          </w:tcPr>
          <w:p w14:paraId="3D65FA8B">
            <w:pPr>
              <w:spacing w:before="0" w:after="0" w:line="240" w:lineRule="auto"/>
              <w:jc w:val="left"/>
            </w:pPr>
            <w:r>
              <w:rPr>
                <w:rFonts w:ascii="Arial" w:hAnsi="Arial" w:eastAsia="Arial" w:cs="Times New Roman"/>
                <w:b w:val="0"/>
                <w:bCs w:val="0"/>
                <w:i w:val="0"/>
                <w:iCs w:val="0"/>
                <w:sz w:val="17"/>
                <w:szCs w:val="18"/>
              </w:rPr>
              <w:t>Age (years)</w:t>
            </w:r>
            <w:r>
              <w:rPr>
                <w:rFonts w:ascii="Arial" w:hAnsi="Arial" w:eastAsia="Arial" w:cs="Times New Roman"/>
                <w:b w:val="0"/>
                <w:bCs w:val="0"/>
                <w:i w:val="0"/>
                <w:iCs w:val="0"/>
                <w:sz w:val="17"/>
                <w:szCs w:val="18"/>
                <w:vertAlign w:val="superscript"/>
              </w:rPr>
              <w:t>a</w:t>
            </w:r>
          </w:p>
        </w:tc>
        <w:tc>
          <w:tcPr>
            <w:tcW w:w="2350" w:type="dxa"/>
            <w:tcBorders/>
            <w:tcMar>
              <w:top w:w="20" w:type="dxa"/>
              <w:left w:w="80" w:type="dxa"/>
              <w:bottom w:w="20" w:type="dxa"/>
              <w:right w:w="80" w:type="dxa"/>
            </w:tcMar>
            <w:vAlign w:val="center"/>
          </w:tcPr>
          <w:p w14:paraId="2D2FA498">
            <w:pPr>
              <w:spacing w:before="0" w:after="0" w:line="240" w:lineRule="auto"/>
              <w:jc w:val="left"/>
            </w:pPr>
            <w:r>
              <w:rPr>
                <w:rFonts w:ascii="Arial" w:hAnsi="Arial" w:eastAsia="Arial" w:cs="Times New Roman"/>
                <w:b w:val="0"/>
                <w:bCs w:val="0"/>
                <w:i w:val="0"/>
                <w:iCs w:val="0"/>
                <w:sz w:val="17"/>
                <w:szCs w:val="18"/>
              </w:rPr>
              <w:t>33.1 (30.4–37.1)</w:t>
            </w:r>
          </w:p>
        </w:tc>
        <w:tc>
          <w:tcPr>
            <w:tcW w:w="2600" w:type="dxa"/>
            <w:tcBorders/>
            <w:tcMar>
              <w:top w:w="20" w:type="dxa"/>
              <w:left w:w="80" w:type="dxa"/>
              <w:bottom w:w="20" w:type="dxa"/>
              <w:right w:w="80" w:type="dxa"/>
            </w:tcMar>
            <w:vAlign w:val="center"/>
          </w:tcPr>
          <w:p w14:paraId="07545C40">
            <w:pPr>
              <w:spacing w:before="0" w:after="0" w:line="240" w:lineRule="auto"/>
              <w:jc w:val="left"/>
            </w:pPr>
            <w:r>
              <w:rPr>
                <w:rFonts w:ascii="Arial" w:hAnsi="Arial" w:eastAsia="Arial" w:cs="Times New Roman"/>
                <w:b w:val="0"/>
                <w:bCs w:val="0"/>
                <w:i w:val="0"/>
                <w:iCs w:val="0"/>
                <w:sz w:val="17"/>
                <w:szCs w:val="18"/>
              </w:rPr>
              <w:t>33.1 (30.2–36.2)</w:t>
            </w:r>
          </w:p>
        </w:tc>
        <w:tc>
          <w:tcPr>
            <w:tcW w:w="1688" w:type="dxa"/>
            <w:tcBorders/>
            <w:tcMar>
              <w:top w:w="20" w:type="dxa"/>
              <w:left w:w="80" w:type="dxa"/>
              <w:bottom w:w="20" w:type="dxa"/>
              <w:right w:w="80" w:type="dxa"/>
            </w:tcMar>
            <w:vAlign w:val="center"/>
          </w:tcPr>
          <w:p w14:paraId="7DFAE0E1">
            <w:pPr>
              <w:spacing w:before="0" w:after="0" w:line="240" w:lineRule="auto"/>
              <w:jc w:val="left"/>
            </w:pPr>
            <w:r>
              <w:rPr>
                <w:rFonts w:ascii="Arial" w:hAnsi="Arial" w:eastAsia="Arial" w:cs="Times New Roman"/>
                <w:b w:val="0"/>
                <w:bCs w:val="0"/>
                <w:i w:val="0"/>
                <w:iCs w:val="0"/>
                <w:sz w:val="17"/>
                <w:szCs w:val="18"/>
              </w:rPr>
              <w:t>0.24</w:t>
            </w:r>
          </w:p>
        </w:tc>
      </w:tr>
      <w:tr w14:paraId="0733523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00" w:type="dxa"/>
            <w:tcBorders/>
            <w:tcMar>
              <w:top w:w="20" w:type="dxa"/>
              <w:left w:w="80" w:type="dxa"/>
              <w:bottom w:w="20" w:type="dxa"/>
              <w:right w:w="80" w:type="dxa"/>
            </w:tcMar>
            <w:vAlign w:val="center"/>
          </w:tcPr>
          <w:p w14:paraId="4F3B0DD3">
            <w:pPr>
              <w:spacing w:before="0" w:after="0" w:line="240" w:lineRule="auto"/>
              <w:jc w:val="left"/>
            </w:pPr>
            <w:r>
              <w:rPr>
                <w:rFonts w:ascii="Arial" w:hAnsi="Arial" w:eastAsia="Arial" w:cs="Times New Roman"/>
                <w:b w:val="0"/>
                <w:bCs w:val="0"/>
                <w:i w:val="0"/>
                <w:iCs w:val="0"/>
                <w:sz w:val="17"/>
                <w:szCs w:val="18"/>
              </w:rPr>
              <w:t>Index DFI year</w:t>
            </w:r>
          </w:p>
        </w:tc>
        <w:tc>
          <w:tcPr>
            <w:tcW w:w="2350" w:type="dxa"/>
            <w:tcBorders/>
            <w:tcMar>
              <w:top w:w="20" w:type="dxa"/>
              <w:left w:w="80" w:type="dxa"/>
              <w:bottom w:w="20" w:type="dxa"/>
              <w:right w:w="80" w:type="dxa"/>
            </w:tcMar>
            <w:vAlign w:val="center"/>
          </w:tcPr>
          <w:p w14:paraId="563A1C8B">
            <w:pPr>
              <w:spacing w:before="0" w:after="0" w:line="240" w:lineRule="auto"/>
              <w:jc w:val="left"/>
            </w:pPr>
            <w:r>
              <w:rPr>
                <w:rFonts w:ascii="Arial" w:hAnsi="Arial" w:eastAsia="Arial" w:cs="Times New Roman"/>
                <w:b w:val="0"/>
                <w:bCs w:val="0"/>
                <w:i w:val="0"/>
                <w:iCs w:val="0"/>
                <w:sz w:val="17"/>
                <w:szCs w:val="18"/>
              </w:rPr>
              <w:t>2024 (2022–2025)</w:t>
            </w:r>
          </w:p>
        </w:tc>
        <w:tc>
          <w:tcPr>
            <w:tcW w:w="2600" w:type="dxa"/>
            <w:tcBorders/>
            <w:tcMar>
              <w:top w:w="20" w:type="dxa"/>
              <w:left w:w="80" w:type="dxa"/>
              <w:bottom w:w="20" w:type="dxa"/>
              <w:right w:w="80" w:type="dxa"/>
            </w:tcMar>
            <w:vAlign w:val="center"/>
          </w:tcPr>
          <w:p w14:paraId="1C22EACC">
            <w:pPr>
              <w:spacing w:before="0" w:after="0" w:line="240" w:lineRule="auto"/>
              <w:jc w:val="left"/>
            </w:pPr>
            <w:r>
              <w:rPr>
                <w:rFonts w:ascii="Arial" w:hAnsi="Arial" w:eastAsia="Arial" w:cs="Times New Roman"/>
                <w:b w:val="0"/>
                <w:bCs w:val="0"/>
                <w:i w:val="0"/>
                <w:iCs w:val="0"/>
                <w:sz w:val="17"/>
                <w:szCs w:val="18"/>
              </w:rPr>
              <w:t>2025 (2023–2025)</w:t>
            </w:r>
          </w:p>
        </w:tc>
        <w:tc>
          <w:tcPr>
            <w:tcW w:w="1688" w:type="dxa"/>
            <w:tcBorders/>
            <w:tcMar>
              <w:top w:w="20" w:type="dxa"/>
              <w:left w:w="80" w:type="dxa"/>
              <w:bottom w:w="20" w:type="dxa"/>
              <w:right w:w="80" w:type="dxa"/>
            </w:tcMar>
            <w:vAlign w:val="center"/>
          </w:tcPr>
          <w:p w14:paraId="23BA689B">
            <w:pPr>
              <w:spacing w:before="0" w:after="0" w:line="240" w:lineRule="auto"/>
              <w:jc w:val="left"/>
            </w:pPr>
            <w:r>
              <w:rPr>
                <w:rFonts w:ascii="Arial" w:hAnsi="Arial" w:eastAsia="Arial" w:cs="Times New Roman"/>
                <w:b w:val="0"/>
                <w:bCs w:val="0"/>
                <w:i w:val="0"/>
                <w:iCs w:val="0"/>
                <w:sz w:val="17"/>
                <w:szCs w:val="18"/>
              </w:rPr>
              <w:t>&lt; 0.001</w:t>
            </w:r>
          </w:p>
        </w:tc>
      </w:tr>
      <w:tr w14:paraId="46B8A03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00" w:type="dxa"/>
            <w:tcBorders/>
            <w:tcMar>
              <w:top w:w="20" w:type="dxa"/>
              <w:left w:w="80" w:type="dxa"/>
              <w:bottom w:w="20" w:type="dxa"/>
              <w:right w:w="80" w:type="dxa"/>
            </w:tcMar>
            <w:vAlign w:val="center"/>
          </w:tcPr>
          <w:p w14:paraId="763B6F7A">
            <w:pPr>
              <w:spacing w:before="0" w:after="0" w:line="240" w:lineRule="auto"/>
              <w:jc w:val="left"/>
            </w:pPr>
            <w:r>
              <w:rPr>
                <w:rFonts w:ascii="Arial" w:hAnsi="Arial" w:eastAsia="Arial" w:cs="Times New Roman"/>
                <w:b w:val="0"/>
                <w:bCs w:val="0"/>
                <w:i w:val="0"/>
                <w:iCs w:val="0"/>
                <w:sz w:val="17"/>
                <w:szCs w:val="18"/>
              </w:rPr>
              <w:t>Progressive motility (%)</w:t>
            </w:r>
            <w:r>
              <w:rPr>
                <w:rFonts w:ascii="Arial" w:hAnsi="Arial" w:eastAsia="Arial" w:cs="Times New Roman"/>
                <w:b w:val="0"/>
                <w:bCs w:val="0"/>
                <w:i w:val="0"/>
                <w:iCs w:val="0"/>
                <w:sz w:val="17"/>
                <w:szCs w:val="18"/>
                <w:vertAlign w:val="superscript"/>
              </w:rPr>
              <w:t>b</w:t>
            </w:r>
          </w:p>
        </w:tc>
        <w:tc>
          <w:tcPr>
            <w:tcW w:w="2350" w:type="dxa"/>
            <w:tcBorders/>
            <w:tcMar>
              <w:top w:w="20" w:type="dxa"/>
              <w:left w:w="80" w:type="dxa"/>
              <w:bottom w:w="20" w:type="dxa"/>
              <w:right w:w="80" w:type="dxa"/>
            </w:tcMar>
            <w:vAlign w:val="center"/>
          </w:tcPr>
          <w:p w14:paraId="6A6EA3F2">
            <w:pPr>
              <w:spacing w:before="0" w:after="0" w:line="240" w:lineRule="auto"/>
              <w:jc w:val="left"/>
            </w:pPr>
            <w:r>
              <w:rPr>
                <w:rFonts w:ascii="Arial" w:hAnsi="Arial" w:eastAsia="Arial" w:cs="Times New Roman"/>
                <w:b w:val="0"/>
                <w:bCs w:val="0"/>
                <w:i w:val="0"/>
                <w:iCs w:val="0"/>
                <w:sz w:val="17"/>
                <w:szCs w:val="18"/>
              </w:rPr>
              <w:t>28.7 (17.2–41.5)</w:t>
            </w:r>
          </w:p>
        </w:tc>
        <w:tc>
          <w:tcPr>
            <w:tcW w:w="2600" w:type="dxa"/>
            <w:tcBorders/>
            <w:tcMar>
              <w:top w:w="20" w:type="dxa"/>
              <w:left w:w="80" w:type="dxa"/>
              <w:bottom w:w="20" w:type="dxa"/>
              <w:right w:w="80" w:type="dxa"/>
            </w:tcMar>
            <w:vAlign w:val="center"/>
          </w:tcPr>
          <w:p w14:paraId="1B0B0899">
            <w:pPr>
              <w:spacing w:before="0" w:after="0" w:line="240" w:lineRule="auto"/>
              <w:jc w:val="left"/>
            </w:pPr>
            <w:r>
              <w:rPr>
                <w:rFonts w:ascii="Arial" w:hAnsi="Arial" w:eastAsia="Arial" w:cs="Times New Roman"/>
                <w:b w:val="0"/>
                <w:bCs w:val="0"/>
                <w:i w:val="0"/>
                <w:iCs w:val="0"/>
                <w:sz w:val="17"/>
                <w:szCs w:val="18"/>
              </w:rPr>
              <w:t>33.1 (20.5–43.2)</w:t>
            </w:r>
          </w:p>
        </w:tc>
        <w:tc>
          <w:tcPr>
            <w:tcW w:w="1688" w:type="dxa"/>
            <w:tcBorders/>
            <w:tcMar>
              <w:top w:w="20" w:type="dxa"/>
              <w:left w:w="80" w:type="dxa"/>
              <w:bottom w:w="20" w:type="dxa"/>
              <w:right w:w="80" w:type="dxa"/>
            </w:tcMar>
            <w:vAlign w:val="center"/>
          </w:tcPr>
          <w:p w14:paraId="7F584356">
            <w:pPr>
              <w:spacing w:before="0" w:after="0" w:line="240" w:lineRule="auto"/>
              <w:jc w:val="left"/>
            </w:pPr>
            <w:r>
              <w:rPr>
                <w:rFonts w:ascii="Arial" w:hAnsi="Arial" w:eastAsia="Arial" w:cs="Times New Roman"/>
                <w:b w:val="0"/>
                <w:bCs w:val="0"/>
                <w:i w:val="0"/>
                <w:iCs w:val="0"/>
                <w:sz w:val="17"/>
                <w:szCs w:val="18"/>
              </w:rPr>
              <w:t>0.002</w:t>
            </w:r>
          </w:p>
        </w:tc>
      </w:tr>
      <w:tr w14:paraId="05EB33C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00" w:type="dxa"/>
            <w:tcBorders/>
            <w:tcMar>
              <w:top w:w="20" w:type="dxa"/>
              <w:left w:w="80" w:type="dxa"/>
              <w:bottom w:w="20" w:type="dxa"/>
              <w:right w:w="80" w:type="dxa"/>
            </w:tcMar>
            <w:vAlign w:val="center"/>
          </w:tcPr>
          <w:p w14:paraId="746C2D6A">
            <w:pPr>
              <w:spacing w:before="0" w:after="0" w:line="240" w:lineRule="auto"/>
              <w:jc w:val="left"/>
            </w:pPr>
            <w:r>
              <w:rPr>
                <w:rFonts w:ascii="Arial" w:hAnsi="Arial" w:eastAsia="Arial" w:cs="Times New Roman"/>
                <w:b w:val="0"/>
                <w:bCs w:val="0"/>
                <w:i w:val="0"/>
                <w:iCs w:val="0"/>
                <w:sz w:val="17"/>
                <w:szCs w:val="18"/>
              </w:rPr>
              <w:t>Ultrasound-to-DFI interval (days)</w:t>
            </w:r>
          </w:p>
        </w:tc>
        <w:tc>
          <w:tcPr>
            <w:tcW w:w="2350" w:type="dxa"/>
            <w:tcBorders/>
            <w:tcMar>
              <w:top w:w="20" w:type="dxa"/>
              <w:left w:w="80" w:type="dxa"/>
              <w:bottom w:w="20" w:type="dxa"/>
              <w:right w:w="80" w:type="dxa"/>
            </w:tcMar>
            <w:vAlign w:val="center"/>
          </w:tcPr>
          <w:p w14:paraId="518A4ABA">
            <w:pPr>
              <w:spacing w:before="0" w:after="0" w:line="240" w:lineRule="auto"/>
              <w:jc w:val="left"/>
            </w:pPr>
            <w:r>
              <w:rPr>
                <w:rFonts w:ascii="Arial" w:hAnsi="Arial" w:eastAsia="Arial" w:cs="Times New Roman"/>
                <w:b w:val="0"/>
                <w:bCs w:val="0"/>
                <w:i w:val="0"/>
                <w:iCs w:val="0"/>
                <w:sz w:val="17"/>
                <w:szCs w:val="18"/>
              </w:rPr>
              <w:t>−2 (−8 to −1)</w:t>
            </w:r>
          </w:p>
        </w:tc>
        <w:tc>
          <w:tcPr>
            <w:tcW w:w="2600" w:type="dxa"/>
            <w:tcBorders/>
            <w:tcMar>
              <w:top w:w="20" w:type="dxa"/>
              <w:left w:w="80" w:type="dxa"/>
              <w:bottom w:w="20" w:type="dxa"/>
              <w:right w:w="80" w:type="dxa"/>
            </w:tcMar>
            <w:vAlign w:val="center"/>
          </w:tcPr>
          <w:p w14:paraId="061F17DC">
            <w:pPr>
              <w:spacing w:before="0" w:after="0" w:line="240" w:lineRule="auto"/>
              <w:jc w:val="left"/>
            </w:pPr>
            <w:r>
              <w:rPr>
                <w:rFonts w:ascii="Arial" w:hAnsi="Arial" w:eastAsia="Arial" w:cs="Times New Roman"/>
                <w:b w:val="0"/>
                <w:bCs w:val="0"/>
                <w:i w:val="0"/>
                <w:iCs w:val="0"/>
                <w:sz w:val="17"/>
                <w:szCs w:val="18"/>
              </w:rPr>
              <w:t>−3 (−20 to −1)</w:t>
            </w:r>
          </w:p>
        </w:tc>
        <w:tc>
          <w:tcPr>
            <w:tcW w:w="1688" w:type="dxa"/>
            <w:tcBorders/>
            <w:tcMar>
              <w:top w:w="20" w:type="dxa"/>
              <w:left w:w="80" w:type="dxa"/>
              <w:bottom w:w="20" w:type="dxa"/>
              <w:right w:w="80" w:type="dxa"/>
            </w:tcMar>
            <w:vAlign w:val="center"/>
          </w:tcPr>
          <w:p w14:paraId="13CF1563">
            <w:pPr>
              <w:spacing w:before="0" w:after="0" w:line="240" w:lineRule="auto"/>
              <w:jc w:val="left"/>
            </w:pPr>
            <w:r>
              <w:rPr>
                <w:rFonts w:ascii="Arial" w:hAnsi="Arial" w:eastAsia="Arial" w:cs="Times New Roman"/>
                <w:b w:val="0"/>
                <w:bCs w:val="0"/>
                <w:i w:val="0"/>
                <w:iCs w:val="0"/>
                <w:sz w:val="17"/>
                <w:szCs w:val="18"/>
              </w:rPr>
              <w:t>0.011</w:t>
            </w:r>
          </w:p>
        </w:tc>
      </w:tr>
      <w:tr w14:paraId="5633AF9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000" w:type="dxa"/>
            <w:tcBorders>
              <w:bottom w:val="single" w:sz="8" w:color="000000"/>
            </w:tcBorders>
            <w:tcMar>
              <w:top w:w="20" w:type="dxa"/>
              <w:left w:w="80" w:type="dxa"/>
              <w:bottom w:w="20" w:type="dxa"/>
              <w:right w:w="80" w:type="dxa"/>
            </w:tcMar>
            <w:vAlign w:val="center"/>
          </w:tcPr>
          <w:p w14:paraId="481DBFAA">
            <w:pPr>
              <w:spacing w:before="0" w:after="0" w:line="240" w:lineRule="auto"/>
              <w:jc w:val="left"/>
            </w:pPr>
            <w:r>
              <w:rPr>
                <w:rFonts w:ascii="Arial" w:hAnsi="Arial" w:eastAsia="Arial" w:cs="Times New Roman"/>
                <w:b w:val="0"/>
                <w:bCs w:val="0"/>
                <w:i w:val="0"/>
                <w:iCs w:val="0"/>
                <w:sz w:val="17"/>
                <w:szCs w:val="18"/>
              </w:rPr>
              <w:t>Varicocele on report</w:t>
            </w:r>
          </w:p>
        </w:tc>
        <w:tc>
          <w:tcPr>
            <w:tcW w:w="2350" w:type="dxa"/>
            <w:tcBorders>
              <w:bottom w:val="single" w:sz="8" w:color="000000"/>
            </w:tcBorders>
            <w:tcMar>
              <w:top w:w="20" w:type="dxa"/>
              <w:left w:w="80" w:type="dxa"/>
              <w:bottom w:w="20" w:type="dxa"/>
              <w:right w:w="80" w:type="dxa"/>
            </w:tcMar>
            <w:vAlign w:val="center"/>
          </w:tcPr>
          <w:p w14:paraId="6F645F7E">
            <w:pPr>
              <w:spacing w:before="0" w:after="0" w:line="240" w:lineRule="auto"/>
              <w:jc w:val="left"/>
            </w:pPr>
            <w:r>
              <w:rPr>
                <w:rFonts w:ascii="Arial" w:hAnsi="Arial" w:eastAsia="Arial" w:cs="Times New Roman"/>
                <w:b w:val="0"/>
                <w:bCs w:val="0"/>
                <w:i w:val="0"/>
                <w:iCs w:val="0"/>
                <w:sz w:val="17"/>
                <w:szCs w:val="18"/>
              </w:rPr>
              <w:t>598/1,482 (40.4)</w:t>
            </w:r>
          </w:p>
        </w:tc>
        <w:tc>
          <w:tcPr>
            <w:tcW w:w="2600" w:type="dxa"/>
            <w:tcBorders>
              <w:bottom w:val="single" w:sz="8" w:color="000000"/>
            </w:tcBorders>
            <w:tcMar>
              <w:top w:w="20" w:type="dxa"/>
              <w:left w:w="80" w:type="dxa"/>
              <w:bottom w:w="20" w:type="dxa"/>
              <w:right w:w="80" w:type="dxa"/>
            </w:tcMar>
            <w:vAlign w:val="center"/>
          </w:tcPr>
          <w:p w14:paraId="015F1441">
            <w:pPr>
              <w:spacing w:before="0" w:after="0" w:line="240" w:lineRule="auto"/>
              <w:jc w:val="left"/>
            </w:pPr>
            <w:r>
              <w:rPr>
                <w:rFonts w:ascii="Arial" w:hAnsi="Arial" w:eastAsia="Arial" w:cs="Times New Roman"/>
                <w:b w:val="0"/>
                <w:bCs w:val="0"/>
                <w:i w:val="0"/>
                <w:iCs w:val="0"/>
                <w:sz w:val="17"/>
                <w:szCs w:val="18"/>
              </w:rPr>
              <w:t>184/490 (37.6)</w:t>
            </w:r>
          </w:p>
        </w:tc>
        <w:tc>
          <w:tcPr>
            <w:tcW w:w="1688" w:type="dxa"/>
            <w:tcBorders>
              <w:bottom w:val="single" w:sz="8" w:color="000000"/>
            </w:tcBorders>
            <w:tcMar>
              <w:top w:w="20" w:type="dxa"/>
              <w:left w:w="80" w:type="dxa"/>
              <w:bottom w:w="20" w:type="dxa"/>
              <w:right w:w="80" w:type="dxa"/>
            </w:tcMar>
            <w:vAlign w:val="center"/>
          </w:tcPr>
          <w:p w14:paraId="60C7B619">
            <w:pPr>
              <w:spacing w:before="0" w:after="0" w:line="240" w:lineRule="auto"/>
              <w:jc w:val="left"/>
            </w:pPr>
            <w:r>
              <w:rPr>
                <w:rFonts w:ascii="Arial" w:hAnsi="Arial" w:eastAsia="Arial" w:cs="Times New Roman"/>
                <w:b w:val="0"/>
                <w:bCs w:val="0"/>
                <w:i w:val="0"/>
                <w:iCs w:val="0"/>
                <w:sz w:val="17"/>
                <w:szCs w:val="18"/>
              </w:rPr>
              <w:t>0.29</w:t>
            </w:r>
          </w:p>
        </w:tc>
      </w:tr>
    </w:tbl>
    <w:p w14:paraId="36C8BC52">
      <w:pPr>
        <w:keepNext w:val="0"/>
        <w:spacing w:before="0" w:after="40" w:line="220" w:lineRule="auto"/>
        <w:jc w:val="left"/>
      </w:pPr>
      <w:r>
        <w:rPr>
          <w:rFonts w:ascii="Times New Roman" w:hAnsi="Times New Roman" w:eastAsia="Times New Roman" w:cs="Times New Roman"/>
          <w:b w:val="0"/>
          <w:bCs w:val="0"/>
          <w:i w:val="0"/>
          <w:iCs w:val="0"/>
          <w:sz w:val="17"/>
          <w:szCs w:val="17"/>
        </w:rPr>
        <w:t xml:space="preserve">Values are median (interquartile range) for continuous variables and </w:t>
      </w:r>
      <w:r>
        <w:rPr>
          <w:rFonts w:ascii="Times New Roman" w:hAnsi="Times New Roman" w:eastAsia="Times New Roman" w:cs="Times New Roman"/>
          <w:b w:val="0"/>
          <w:bCs w:val="0"/>
          <w:i/>
          <w:iCs/>
          <w:sz w:val="17"/>
          <w:szCs w:val="17"/>
        </w:rPr>
        <w:t>n</w:t>
      </w:r>
      <w:r>
        <w:rPr>
          <w:rFonts w:ascii="Times New Roman" w:hAnsi="Times New Roman" w:eastAsia="Times New Roman" w:cs="Times New Roman"/>
          <w:b w:val="0"/>
          <w:bCs w:val="0"/>
          <w:i w:val="0"/>
          <w:iCs w:val="0"/>
          <w:sz w:val="17"/>
          <w:szCs w:val="17"/>
        </w:rPr>
        <w:t>/N (%) for categorical variables.</w:t>
      </w:r>
    </w:p>
    <w:p w14:paraId="488DEA87">
      <w:pPr>
        <w:keepNext w:val="0"/>
        <w:spacing w:before="0" w:after="40" w:line="220" w:lineRule="auto"/>
        <w:jc w:val="left"/>
      </w:pPr>
      <w:r>
        <w:rPr>
          <w:rFonts w:ascii="Times New Roman" w:hAnsi="Times New Roman" w:eastAsia="Times New Roman" w:cs="Times New Roman"/>
          <w:b w:val="0"/>
          <w:bCs w:val="0"/>
          <w:i w:val="0"/>
          <w:iCs w:val="0"/>
          <w:sz w:val="17"/>
          <w:szCs w:val="17"/>
        </w:rPr>
        <w:t>The analysis includes all 1972 temporally eligible men and compares the final common cohort with the 490 men excluded because bilateral seminal-vesicle volume, age or either abstinence interval was unavailable.</w:t>
      </w:r>
    </w:p>
    <w:p w14:paraId="2A6B1FA0">
      <w:pPr>
        <w:keepNext w:val="0"/>
        <w:spacing w:before="0" w:after="40" w:line="220" w:lineRule="auto"/>
        <w:jc w:val="left"/>
      </w:pPr>
      <w:r>
        <w:rPr>
          <w:rFonts w:ascii="Times New Roman" w:hAnsi="Times New Roman" w:eastAsia="Times New Roman" w:cs="Times New Roman"/>
          <w:b w:val="0"/>
          <w:bCs w:val="0"/>
          <w:i w:val="0"/>
          <w:iCs w:val="0"/>
          <w:sz w:val="17"/>
          <w:szCs w:val="17"/>
          <w:vertAlign w:val="superscript"/>
        </w:rPr>
        <w:t>a</w:t>
      </w:r>
      <w:r>
        <w:rPr>
          <w:rFonts w:ascii="Times New Roman" w:hAnsi="Times New Roman" w:eastAsia="Times New Roman" w:cs="Times New Roman"/>
          <w:b w:val="0"/>
          <w:bCs w:val="0"/>
          <w:i w:val="0"/>
          <w:iCs w:val="0"/>
          <w:sz w:val="17"/>
          <w:szCs w:val="17"/>
        </w:rPr>
        <w:t xml:space="preserve">Age was available for 1,482 and 407 men, respectively. </w:t>
      </w:r>
      <w:r>
        <w:rPr>
          <w:rFonts w:ascii="Times New Roman" w:hAnsi="Times New Roman" w:eastAsia="Times New Roman" w:cs="Times New Roman"/>
          <w:b w:val="0"/>
          <w:bCs w:val="0"/>
          <w:i w:val="0"/>
          <w:iCs w:val="0"/>
          <w:sz w:val="17"/>
          <w:szCs w:val="17"/>
          <w:vertAlign w:val="superscript"/>
        </w:rPr>
        <w:t>b</w:t>
      </w:r>
      <w:r>
        <w:rPr>
          <w:rFonts w:ascii="Times New Roman" w:hAnsi="Times New Roman" w:eastAsia="Times New Roman" w:cs="Times New Roman"/>
          <w:b w:val="0"/>
          <w:bCs w:val="0"/>
          <w:i w:val="0"/>
          <w:iCs w:val="0"/>
          <w:sz w:val="17"/>
          <w:szCs w:val="17"/>
        </w:rPr>
        <w:t>Progressive motility was available for 1,475 and 435 men, respectively.</w:t>
      </w:r>
    </w:p>
    <w:p w14:paraId="35A6D520">
      <w:pPr>
        <w:keepNext w:val="0"/>
        <w:spacing w:before="0" w:after="40" w:line="220" w:lineRule="auto"/>
        <w:jc w:val="left"/>
      </w:pP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values are from Mann–Whitney or Fisher exact tests and are descriptive only. Relative to the excluded men, the final cohort had a higher DFI, a higher prevalence of DFI ≥ 30%, lower progressive motility and an earlier index year. These differences indicate possible complete-case selection; they neither quantify nor remove selection bias.</w:t>
      </w:r>
    </w:p>
    <w:p w14:paraId="52F9A57F">
      <w:pPr>
        <w:keepNext w:val="0"/>
        <w:spacing w:before="0" w:after="40" w:line="220" w:lineRule="auto"/>
        <w:jc w:val="left"/>
      </w:pPr>
      <w:r>
        <w:rPr>
          <w:rFonts w:ascii="Times New Roman" w:hAnsi="Times New Roman" w:eastAsia="Times New Roman" w:cs="Times New Roman"/>
          <w:b w:val="0"/>
          <w:bCs w:val="0"/>
          <w:i w:val="0"/>
          <w:iCs w:val="0"/>
          <w:sz w:val="17"/>
          <w:szCs w:val="17"/>
        </w:rPr>
        <w:t>DFI, sperm DNA fragmentation index.</w:t>
      </w:r>
    </w:p>
    <w:p w14:paraId="33661DBC">
      <w:r>
        <w:br w:type="page"/>
      </w:r>
    </w:p>
    <w:p w14:paraId="001C6583">
      <w:pPr>
        <w:keepNext/>
        <w:spacing w:before="0" w:after="100" w:line="240" w:lineRule="auto"/>
        <w:jc w:val="left"/>
      </w:pPr>
      <w:r>
        <w:rPr>
          <w:rFonts w:ascii="Times New Roman" w:hAnsi="Times New Roman" w:eastAsia="Times New Roman" w:cs="Times New Roman"/>
          <w:b/>
          <w:bCs/>
          <w:i w:val="0"/>
          <w:iCs w:val="0"/>
          <w:sz w:val="22"/>
          <w:szCs w:val="22"/>
        </w:rPr>
        <w:t>Supplementary Table S2. Characteristics of the final common cohort by sperm DNA fragmentation category</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3400"/>
        <w:gridCol w:w="2100"/>
        <w:gridCol w:w="2350"/>
        <w:gridCol w:w="1788"/>
      </w:tblGrid>
      <w:tr w14:paraId="33DD9E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3400" w:type="dxa"/>
            <w:tcBorders>
              <w:top w:val="single" w:sz="8" w:color="000000"/>
              <w:bottom w:val="single" w:sz="8" w:color="000000"/>
            </w:tcBorders>
            <w:tcMar>
              <w:top w:w="20" w:type="dxa"/>
              <w:left w:w="80" w:type="dxa"/>
              <w:bottom w:w="20" w:type="dxa"/>
              <w:right w:w="80" w:type="dxa"/>
            </w:tcMar>
            <w:vAlign w:val="center"/>
          </w:tcPr>
          <w:p w14:paraId="4F6867DE">
            <w:pPr>
              <w:spacing w:before="0" w:after="0" w:line="240" w:lineRule="auto"/>
              <w:jc w:val="left"/>
            </w:pPr>
            <w:r>
              <w:rPr>
                <w:rFonts w:ascii="Arial" w:hAnsi="Arial" w:eastAsia="Arial" w:cs="Times New Roman"/>
                <w:b/>
                <w:bCs/>
                <w:i w:val="0"/>
                <w:iCs w:val="0"/>
                <w:sz w:val="17"/>
                <w:szCs w:val="18"/>
              </w:rPr>
              <w:t>Variable</w:t>
            </w:r>
          </w:p>
        </w:tc>
        <w:tc>
          <w:tcPr>
            <w:tcW w:w="2100" w:type="dxa"/>
            <w:tcBorders>
              <w:top w:val="single" w:sz="8" w:color="000000"/>
              <w:bottom w:val="single" w:sz="8" w:color="000000"/>
            </w:tcBorders>
            <w:tcMar>
              <w:top w:w="20" w:type="dxa"/>
              <w:left w:w="80" w:type="dxa"/>
              <w:bottom w:w="20" w:type="dxa"/>
              <w:right w:w="80" w:type="dxa"/>
            </w:tcMar>
            <w:vAlign w:val="center"/>
          </w:tcPr>
          <w:p w14:paraId="2F21DF5D">
            <w:pPr>
              <w:spacing w:before="0" w:after="0" w:line="240" w:lineRule="auto"/>
              <w:jc w:val="left"/>
            </w:pPr>
            <w:r>
              <w:rPr>
                <w:rFonts w:ascii="Arial" w:hAnsi="Arial" w:eastAsia="Arial" w:cs="Times New Roman"/>
                <w:b/>
                <w:bCs/>
                <w:i w:val="0"/>
                <w:iCs w:val="0"/>
                <w:sz w:val="17"/>
                <w:szCs w:val="18"/>
              </w:rPr>
              <w:t>DFI ≥ 30% (n = 319)</w:t>
            </w:r>
          </w:p>
        </w:tc>
        <w:tc>
          <w:tcPr>
            <w:tcW w:w="2350" w:type="dxa"/>
            <w:tcBorders>
              <w:top w:val="single" w:sz="8" w:color="000000"/>
              <w:bottom w:val="single" w:sz="8" w:color="000000"/>
            </w:tcBorders>
            <w:tcMar>
              <w:top w:w="20" w:type="dxa"/>
              <w:left w:w="80" w:type="dxa"/>
              <w:bottom w:w="20" w:type="dxa"/>
              <w:right w:w="80" w:type="dxa"/>
            </w:tcMar>
            <w:vAlign w:val="center"/>
          </w:tcPr>
          <w:p w14:paraId="18C0003E">
            <w:pPr>
              <w:spacing w:before="0" w:after="0" w:line="240" w:lineRule="auto"/>
              <w:jc w:val="left"/>
            </w:pPr>
            <w:r>
              <w:rPr>
                <w:rFonts w:ascii="Arial" w:hAnsi="Arial" w:eastAsia="Arial" w:cs="Times New Roman"/>
                <w:b/>
                <w:bCs/>
                <w:i w:val="0"/>
                <w:iCs w:val="0"/>
                <w:sz w:val="17"/>
                <w:szCs w:val="18"/>
              </w:rPr>
              <w:t>DFI &lt; 30% (n = 1,163)</w:t>
            </w:r>
          </w:p>
        </w:tc>
        <w:tc>
          <w:tcPr>
            <w:tcW w:w="1788" w:type="dxa"/>
            <w:tcBorders>
              <w:top w:val="single" w:sz="8" w:color="000000"/>
              <w:bottom w:val="single" w:sz="8" w:color="000000"/>
            </w:tcBorders>
            <w:tcMar>
              <w:top w:w="20" w:type="dxa"/>
              <w:left w:w="80" w:type="dxa"/>
              <w:bottom w:w="20" w:type="dxa"/>
              <w:right w:w="80" w:type="dxa"/>
            </w:tcMar>
            <w:vAlign w:val="center"/>
          </w:tcPr>
          <w:p w14:paraId="662AB007">
            <w:pPr>
              <w:spacing w:before="0" w:after="0" w:line="240" w:lineRule="auto"/>
              <w:jc w:val="left"/>
            </w:pPr>
            <w:r>
              <w:rPr>
                <w:rFonts w:ascii="Arial" w:hAnsi="Arial" w:eastAsia="Arial" w:cs="Times New Roman"/>
                <w:b/>
                <w:bCs/>
                <w:i/>
                <w:iCs/>
                <w:sz w:val="17"/>
                <w:szCs w:val="18"/>
              </w:rPr>
              <w:t>P</w:t>
            </w:r>
          </w:p>
        </w:tc>
      </w:tr>
      <w:tr w14:paraId="2357573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52338F76">
            <w:pPr>
              <w:spacing w:before="0" w:after="0" w:line="240" w:lineRule="auto"/>
              <w:jc w:val="left"/>
            </w:pPr>
            <w:r>
              <w:rPr>
                <w:rFonts w:ascii="Arial" w:hAnsi="Arial" w:eastAsia="Arial" w:cs="Times New Roman"/>
                <w:b w:val="0"/>
                <w:bCs w:val="0"/>
                <w:i w:val="0"/>
                <w:iCs w:val="0"/>
                <w:sz w:val="17"/>
                <w:szCs w:val="18"/>
              </w:rPr>
              <w:t>Age (years)</w:t>
            </w:r>
          </w:p>
        </w:tc>
        <w:tc>
          <w:tcPr>
            <w:tcW w:w="2100" w:type="dxa"/>
            <w:tcBorders/>
            <w:tcMar>
              <w:top w:w="20" w:type="dxa"/>
              <w:left w:w="80" w:type="dxa"/>
              <w:bottom w:w="20" w:type="dxa"/>
              <w:right w:w="80" w:type="dxa"/>
            </w:tcMar>
            <w:vAlign w:val="center"/>
          </w:tcPr>
          <w:p w14:paraId="2539037E">
            <w:pPr>
              <w:spacing w:before="0" w:after="0" w:line="240" w:lineRule="auto"/>
              <w:jc w:val="left"/>
            </w:pPr>
            <w:r>
              <w:rPr>
                <w:rFonts w:ascii="Arial" w:hAnsi="Arial" w:eastAsia="Arial" w:cs="Times New Roman"/>
                <w:b w:val="0"/>
                <w:bCs w:val="0"/>
                <w:i w:val="0"/>
                <w:iCs w:val="0"/>
                <w:sz w:val="17"/>
                <w:szCs w:val="18"/>
              </w:rPr>
              <w:t>34.6 (31.4–40.2)</w:t>
            </w:r>
          </w:p>
        </w:tc>
        <w:tc>
          <w:tcPr>
            <w:tcW w:w="2350" w:type="dxa"/>
            <w:tcBorders/>
            <w:tcMar>
              <w:top w:w="20" w:type="dxa"/>
              <w:left w:w="80" w:type="dxa"/>
              <w:bottom w:w="20" w:type="dxa"/>
              <w:right w:w="80" w:type="dxa"/>
            </w:tcMar>
            <w:vAlign w:val="center"/>
          </w:tcPr>
          <w:p w14:paraId="616F06AB">
            <w:pPr>
              <w:spacing w:before="0" w:after="0" w:line="240" w:lineRule="auto"/>
              <w:jc w:val="left"/>
            </w:pPr>
            <w:r>
              <w:rPr>
                <w:rFonts w:ascii="Arial" w:hAnsi="Arial" w:eastAsia="Arial" w:cs="Times New Roman"/>
                <w:b w:val="0"/>
                <w:bCs w:val="0"/>
                <w:i w:val="0"/>
                <w:iCs w:val="0"/>
                <w:sz w:val="17"/>
                <w:szCs w:val="18"/>
              </w:rPr>
              <w:t>32.7 (30.0–36.3)</w:t>
            </w:r>
          </w:p>
        </w:tc>
        <w:tc>
          <w:tcPr>
            <w:tcW w:w="1788" w:type="dxa"/>
            <w:tcBorders/>
            <w:tcMar>
              <w:top w:w="20" w:type="dxa"/>
              <w:left w:w="80" w:type="dxa"/>
              <w:bottom w:w="20" w:type="dxa"/>
              <w:right w:w="80" w:type="dxa"/>
            </w:tcMar>
            <w:vAlign w:val="center"/>
          </w:tcPr>
          <w:p w14:paraId="499C2A0C">
            <w:pPr>
              <w:spacing w:before="0" w:after="0" w:line="240" w:lineRule="auto"/>
              <w:jc w:val="left"/>
            </w:pPr>
            <w:r>
              <w:rPr>
                <w:rFonts w:ascii="Arial" w:hAnsi="Arial" w:eastAsia="Arial" w:cs="Times New Roman"/>
                <w:b w:val="0"/>
                <w:bCs w:val="0"/>
                <w:i w:val="0"/>
                <w:iCs w:val="0"/>
                <w:sz w:val="17"/>
                <w:szCs w:val="18"/>
              </w:rPr>
              <w:t>&lt; 0.001</w:t>
            </w:r>
          </w:p>
        </w:tc>
      </w:tr>
      <w:tr w14:paraId="1BFBA22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50E47CEB">
            <w:pPr>
              <w:spacing w:before="0" w:after="0" w:line="240" w:lineRule="auto"/>
              <w:jc w:val="left"/>
            </w:pPr>
            <w:r>
              <w:rPr>
                <w:rFonts w:ascii="Arial" w:hAnsi="Arial" w:eastAsia="Arial" w:cs="Times New Roman"/>
                <w:b w:val="0"/>
                <w:bCs w:val="0"/>
                <w:i w:val="0"/>
                <w:iCs w:val="0"/>
                <w:sz w:val="17"/>
                <w:szCs w:val="18"/>
              </w:rPr>
              <w:t>Abstinence before semen collection (days)</w:t>
            </w:r>
          </w:p>
        </w:tc>
        <w:tc>
          <w:tcPr>
            <w:tcW w:w="2100" w:type="dxa"/>
            <w:tcBorders/>
            <w:tcMar>
              <w:top w:w="20" w:type="dxa"/>
              <w:left w:w="80" w:type="dxa"/>
              <w:bottom w:w="20" w:type="dxa"/>
              <w:right w:w="80" w:type="dxa"/>
            </w:tcMar>
            <w:vAlign w:val="center"/>
          </w:tcPr>
          <w:p w14:paraId="73F8E496">
            <w:pPr>
              <w:spacing w:before="0" w:after="0" w:line="240" w:lineRule="auto"/>
              <w:jc w:val="left"/>
            </w:pPr>
            <w:r>
              <w:rPr>
                <w:rFonts w:ascii="Arial" w:hAnsi="Arial" w:eastAsia="Arial" w:cs="Times New Roman"/>
                <w:b w:val="0"/>
                <w:bCs w:val="0"/>
                <w:i w:val="0"/>
                <w:iCs w:val="0"/>
                <w:sz w:val="17"/>
                <w:szCs w:val="18"/>
              </w:rPr>
              <w:t>4.0 (3.0–5.0)</w:t>
            </w:r>
          </w:p>
        </w:tc>
        <w:tc>
          <w:tcPr>
            <w:tcW w:w="2350" w:type="dxa"/>
            <w:tcBorders/>
            <w:tcMar>
              <w:top w:w="20" w:type="dxa"/>
              <w:left w:w="80" w:type="dxa"/>
              <w:bottom w:w="20" w:type="dxa"/>
              <w:right w:w="80" w:type="dxa"/>
            </w:tcMar>
            <w:vAlign w:val="center"/>
          </w:tcPr>
          <w:p w14:paraId="7C8B922B">
            <w:pPr>
              <w:spacing w:before="0" w:after="0" w:line="240" w:lineRule="auto"/>
              <w:jc w:val="left"/>
            </w:pPr>
            <w:r>
              <w:rPr>
                <w:rFonts w:ascii="Arial" w:hAnsi="Arial" w:eastAsia="Arial" w:cs="Times New Roman"/>
                <w:b w:val="0"/>
                <w:bCs w:val="0"/>
                <w:i w:val="0"/>
                <w:iCs w:val="0"/>
                <w:sz w:val="17"/>
                <w:szCs w:val="18"/>
              </w:rPr>
              <w:t>4.0 (3.0–5.0)</w:t>
            </w:r>
          </w:p>
        </w:tc>
        <w:tc>
          <w:tcPr>
            <w:tcW w:w="1788" w:type="dxa"/>
            <w:tcBorders/>
            <w:tcMar>
              <w:top w:w="20" w:type="dxa"/>
              <w:left w:w="80" w:type="dxa"/>
              <w:bottom w:w="20" w:type="dxa"/>
              <w:right w:w="80" w:type="dxa"/>
            </w:tcMar>
            <w:vAlign w:val="center"/>
          </w:tcPr>
          <w:p w14:paraId="53D1BA5C">
            <w:pPr>
              <w:spacing w:before="0" w:after="0" w:line="240" w:lineRule="auto"/>
              <w:jc w:val="left"/>
            </w:pPr>
            <w:r>
              <w:rPr>
                <w:rFonts w:ascii="Arial" w:hAnsi="Arial" w:eastAsia="Arial" w:cs="Times New Roman"/>
                <w:b w:val="0"/>
                <w:bCs w:val="0"/>
                <w:i w:val="0"/>
                <w:iCs w:val="0"/>
                <w:sz w:val="17"/>
                <w:szCs w:val="18"/>
              </w:rPr>
              <w:t>0.028</w:t>
            </w:r>
          </w:p>
        </w:tc>
      </w:tr>
      <w:tr w14:paraId="5EA5AF9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400" w:type="dxa"/>
            <w:tcBorders/>
            <w:tcMar>
              <w:top w:w="20" w:type="dxa"/>
              <w:left w:w="80" w:type="dxa"/>
              <w:bottom w:w="20" w:type="dxa"/>
              <w:right w:w="80" w:type="dxa"/>
            </w:tcMar>
            <w:vAlign w:val="center"/>
          </w:tcPr>
          <w:p w14:paraId="167EAF66">
            <w:pPr>
              <w:spacing w:before="0" w:after="0" w:line="240" w:lineRule="auto"/>
              <w:jc w:val="left"/>
            </w:pPr>
            <w:r>
              <w:rPr>
                <w:rFonts w:ascii="Arial" w:hAnsi="Arial" w:eastAsia="Arial" w:cs="Times New Roman"/>
                <w:b w:val="0"/>
                <w:bCs w:val="0"/>
                <w:i w:val="0"/>
                <w:iCs w:val="0"/>
                <w:sz w:val="17"/>
                <w:szCs w:val="18"/>
              </w:rPr>
              <w:t>Abstinence before ultrasonography (days)</w:t>
            </w:r>
          </w:p>
        </w:tc>
        <w:tc>
          <w:tcPr>
            <w:tcW w:w="2100" w:type="dxa"/>
            <w:tcBorders/>
            <w:tcMar>
              <w:top w:w="20" w:type="dxa"/>
              <w:left w:w="80" w:type="dxa"/>
              <w:bottom w:w="20" w:type="dxa"/>
              <w:right w:w="80" w:type="dxa"/>
            </w:tcMar>
            <w:vAlign w:val="center"/>
          </w:tcPr>
          <w:p w14:paraId="28D371C8">
            <w:pPr>
              <w:spacing w:before="0" w:after="0" w:line="240" w:lineRule="auto"/>
              <w:jc w:val="left"/>
            </w:pPr>
            <w:r>
              <w:rPr>
                <w:rFonts w:ascii="Arial" w:hAnsi="Arial" w:eastAsia="Arial" w:cs="Times New Roman"/>
                <w:b w:val="0"/>
                <w:bCs w:val="0"/>
                <w:i w:val="0"/>
                <w:iCs w:val="0"/>
                <w:sz w:val="17"/>
                <w:szCs w:val="18"/>
              </w:rPr>
              <w:t>4.0 (3.0–5.0)</w:t>
            </w:r>
          </w:p>
        </w:tc>
        <w:tc>
          <w:tcPr>
            <w:tcW w:w="2350" w:type="dxa"/>
            <w:tcBorders/>
            <w:tcMar>
              <w:top w:w="20" w:type="dxa"/>
              <w:left w:w="80" w:type="dxa"/>
              <w:bottom w:w="20" w:type="dxa"/>
              <w:right w:w="80" w:type="dxa"/>
            </w:tcMar>
            <w:vAlign w:val="center"/>
          </w:tcPr>
          <w:p w14:paraId="50355013">
            <w:pPr>
              <w:spacing w:before="0" w:after="0" w:line="240" w:lineRule="auto"/>
              <w:jc w:val="left"/>
            </w:pPr>
            <w:r>
              <w:rPr>
                <w:rFonts w:ascii="Arial" w:hAnsi="Arial" w:eastAsia="Arial" w:cs="Times New Roman"/>
                <w:b w:val="0"/>
                <w:bCs w:val="0"/>
                <w:i w:val="0"/>
                <w:iCs w:val="0"/>
                <w:sz w:val="17"/>
                <w:szCs w:val="18"/>
              </w:rPr>
              <w:t>3.0 (2.0–5.0)</w:t>
            </w:r>
          </w:p>
        </w:tc>
        <w:tc>
          <w:tcPr>
            <w:tcW w:w="1788" w:type="dxa"/>
            <w:tcBorders/>
            <w:tcMar>
              <w:top w:w="20" w:type="dxa"/>
              <w:left w:w="80" w:type="dxa"/>
              <w:bottom w:w="20" w:type="dxa"/>
              <w:right w:w="80" w:type="dxa"/>
            </w:tcMar>
            <w:vAlign w:val="center"/>
          </w:tcPr>
          <w:p w14:paraId="35243B35">
            <w:pPr>
              <w:spacing w:before="0" w:after="0" w:line="240" w:lineRule="auto"/>
              <w:jc w:val="left"/>
            </w:pPr>
            <w:r>
              <w:rPr>
                <w:rFonts w:ascii="Arial" w:hAnsi="Arial" w:eastAsia="Arial" w:cs="Times New Roman"/>
                <w:b w:val="0"/>
                <w:bCs w:val="0"/>
                <w:i w:val="0"/>
                <w:iCs w:val="0"/>
                <w:sz w:val="17"/>
                <w:szCs w:val="18"/>
              </w:rPr>
              <w:t>0.003</w:t>
            </w:r>
          </w:p>
        </w:tc>
      </w:tr>
      <w:tr w14:paraId="696323D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4D763298">
            <w:pPr>
              <w:spacing w:before="0" w:after="0" w:line="240" w:lineRule="auto"/>
              <w:jc w:val="left"/>
            </w:pPr>
            <w:r>
              <w:rPr>
                <w:rFonts w:ascii="Arial" w:hAnsi="Arial" w:eastAsia="Arial" w:cs="Times New Roman"/>
                <w:b w:val="0"/>
                <w:bCs w:val="0"/>
                <w:i w:val="0"/>
                <w:iCs w:val="0"/>
                <w:sz w:val="17"/>
                <w:szCs w:val="18"/>
              </w:rPr>
              <w:t>Semen volume (mL)</w:t>
            </w:r>
          </w:p>
        </w:tc>
        <w:tc>
          <w:tcPr>
            <w:tcW w:w="2100" w:type="dxa"/>
            <w:tcBorders/>
            <w:tcMar>
              <w:top w:w="20" w:type="dxa"/>
              <w:left w:w="80" w:type="dxa"/>
              <w:bottom w:w="20" w:type="dxa"/>
              <w:right w:w="80" w:type="dxa"/>
            </w:tcMar>
            <w:vAlign w:val="center"/>
          </w:tcPr>
          <w:p w14:paraId="00C9A025">
            <w:pPr>
              <w:spacing w:before="0" w:after="0" w:line="240" w:lineRule="auto"/>
              <w:jc w:val="left"/>
            </w:pPr>
            <w:r>
              <w:rPr>
                <w:rFonts w:ascii="Arial" w:hAnsi="Arial" w:eastAsia="Arial" w:cs="Times New Roman"/>
                <w:b w:val="0"/>
                <w:bCs w:val="0"/>
                <w:i w:val="0"/>
                <w:iCs w:val="0"/>
                <w:sz w:val="17"/>
                <w:szCs w:val="18"/>
              </w:rPr>
              <w:t>3.4 (2.5–4.6)</w:t>
            </w:r>
          </w:p>
        </w:tc>
        <w:tc>
          <w:tcPr>
            <w:tcW w:w="2350" w:type="dxa"/>
            <w:tcBorders/>
            <w:tcMar>
              <w:top w:w="20" w:type="dxa"/>
              <w:left w:w="80" w:type="dxa"/>
              <w:bottom w:w="20" w:type="dxa"/>
              <w:right w:w="80" w:type="dxa"/>
            </w:tcMar>
            <w:vAlign w:val="center"/>
          </w:tcPr>
          <w:p w14:paraId="7FB6091C">
            <w:pPr>
              <w:spacing w:before="0" w:after="0" w:line="240" w:lineRule="auto"/>
              <w:jc w:val="left"/>
            </w:pPr>
            <w:r>
              <w:rPr>
                <w:rFonts w:ascii="Arial" w:hAnsi="Arial" w:eastAsia="Arial" w:cs="Times New Roman"/>
                <w:b w:val="0"/>
                <w:bCs w:val="0"/>
                <w:i w:val="0"/>
                <w:iCs w:val="0"/>
                <w:sz w:val="17"/>
                <w:szCs w:val="18"/>
              </w:rPr>
              <w:t>3.4 (2.5–4.5)</w:t>
            </w:r>
          </w:p>
        </w:tc>
        <w:tc>
          <w:tcPr>
            <w:tcW w:w="1788" w:type="dxa"/>
            <w:tcBorders/>
            <w:tcMar>
              <w:top w:w="20" w:type="dxa"/>
              <w:left w:w="80" w:type="dxa"/>
              <w:bottom w:w="20" w:type="dxa"/>
              <w:right w:w="80" w:type="dxa"/>
            </w:tcMar>
            <w:vAlign w:val="center"/>
          </w:tcPr>
          <w:p w14:paraId="71BF1435">
            <w:pPr>
              <w:spacing w:before="0" w:after="0" w:line="240" w:lineRule="auto"/>
              <w:jc w:val="left"/>
            </w:pPr>
            <w:r>
              <w:rPr>
                <w:rFonts w:ascii="Arial" w:hAnsi="Arial" w:eastAsia="Arial" w:cs="Times New Roman"/>
                <w:b w:val="0"/>
                <w:bCs w:val="0"/>
                <w:i w:val="0"/>
                <w:iCs w:val="0"/>
                <w:sz w:val="17"/>
                <w:szCs w:val="18"/>
              </w:rPr>
              <w:t>0.438</w:t>
            </w:r>
          </w:p>
        </w:tc>
      </w:tr>
      <w:tr w14:paraId="006CB2C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776004B4">
            <w:pPr>
              <w:spacing w:before="0" w:after="0" w:line="240" w:lineRule="auto"/>
              <w:jc w:val="left"/>
            </w:pPr>
            <w:r>
              <w:rPr>
                <w:rFonts w:ascii="Arial" w:hAnsi="Arial" w:eastAsia="Arial" w:cs="Times New Roman"/>
                <w:b w:val="0"/>
                <w:bCs w:val="0"/>
                <w:i w:val="0"/>
                <w:iCs w:val="0"/>
                <w:sz w:val="17"/>
                <w:szCs w:val="18"/>
              </w:rPr>
              <w:t>Sperm concentration (× 10</w:t>
            </w:r>
            <w:r>
              <w:rPr>
                <w:rFonts w:ascii="Arial" w:hAnsi="Arial" w:eastAsia="Arial" w:cs="Times New Roman"/>
                <w:b w:val="0"/>
                <w:bCs w:val="0"/>
                <w:i w:val="0"/>
                <w:iCs w:val="0"/>
                <w:sz w:val="17"/>
                <w:szCs w:val="18"/>
                <w:vertAlign w:val="superscript"/>
              </w:rPr>
              <w:t>6</w:t>
            </w:r>
            <w:r>
              <w:rPr>
                <w:rFonts w:ascii="Arial" w:hAnsi="Arial" w:eastAsia="Arial" w:cs="Times New Roman"/>
                <w:b w:val="0"/>
                <w:bCs w:val="0"/>
                <w:i w:val="0"/>
                <w:iCs w:val="0"/>
                <w:sz w:val="17"/>
                <w:szCs w:val="18"/>
              </w:rPr>
              <w:t>/mL)</w:t>
            </w:r>
          </w:p>
        </w:tc>
        <w:tc>
          <w:tcPr>
            <w:tcW w:w="2100" w:type="dxa"/>
            <w:tcBorders/>
            <w:tcMar>
              <w:top w:w="20" w:type="dxa"/>
              <w:left w:w="80" w:type="dxa"/>
              <w:bottom w:w="20" w:type="dxa"/>
              <w:right w:w="80" w:type="dxa"/>
            </w:tcMar>
            <w:vAlign w:val="center"/>
          </w:tcPr>
          <w:p w14:paraId="544EE815">
            <w:pPr>
              <w:spacing w:before="0" w:after="0" w:line="240" w:lineRule="auto"/>
              <w:jc w:val="left"/>
            </w:pPr>
            <w:r>
              <w:rPr>
                <w:rFonts w:ascii="Arial" w:hAnsi="Arial" w:eastAsia="Arial" w:cs="Times New Roman"/>
                <w:b w:val="0"/>
                <w:bCs w:val="0"/>
                <w:i w:val="0"/>
                <w:iCs w:val="0"/>
                <w:sz w:val="17"/>
                <w:szCs w:val="18"/>
              </w:rPr>
              <w:t>39.3 (17.1–71.8)</w:t>
            </w:r>
          </w:p>
        </w:tc>
        <w:tc>
          <w:tcPr>
            <w:tcW w:w="2350" w:type="dxa"/>
            <w:tcBorders/>
            <w:tcMar>
              <w:top w:w="20" w:type="dxa"/>
              <w:left w:w="80" w:type="dxa"/>
              <w:bottom w:w="20" w:type="dxa"/>
              <w:right w:w="80" w:type="dxa"/>
            </w:tcMar>
            <w:vAlign w:val="center"/>
          </w:tcPr>
          <w:p w14:paraId="00558CD5">
            <w:pPr>
              <w:spacing w:before="0" w:after="0" w:line="240" w:lineRule="auto"/>
              <w:jc w:val="left"/>
            </w:pPr>
            <w:r>
              <w:rPr>
                <w:rFonts w:ascii="Arial" w:hAnsi="Arial" w:eastAsia="Arial" w:cs="Times New Roman"/>
                <w:b w:val="0"/>
                <w:bCs w:val="0"/>
                <w:i w:val="0"/>
                <w:iCs w:val="0"/>
                <w:sz w:val="17"/>
                <w:szCs w:val="18"/>
              </w:rPr>
              <w:t>45.3 (23.6–75.5)</w:t>
            </w:r>
          </w:p>
        </w:tc>
        <w:tc>
          <w:tcPr>
            <w:tcW w:w="1788" w:type="dxa"/>
            <w:tcBorders/>
            <w:tcMar>
              <w:top w:w="20" w:type="dxa"/>
              <w:left w:w="80" w:type="dxa"/>
              <w:bottom w:w="20" w:type="dxa"/>
              <w:right w:w="80" w:type="dxa"/>
            </w:tcMar>
            <w:vAlign w:val="center"/>
          </w:tcPr>
          <w:p w14:paraId="30417008">
            <w:pPr>
              <w:spacing w:before="0" w:after="0" w:line="240" w:lineRule="auto"/>
              <w:jc w:val="left"/>
            </w:pPr>
            <w:r>
              <w:rPr>
                <w:rFonts w:ascii="Arial" w:hAnsi="Arial" w:eastAsia="Arial" w:cs="Times New Roman"/>
                <w:b w:val="0"/>
                <w:bCs w:val="0"/>
                <w:i w:val="0"/>
                <w:iCs w:val="0"/>
                <w:sz w:val="17"/>
                <w:szCs w:val="18"/>
              </w:rPr>
              <w:t>0.029</w:t>
            </w:r>
          </w:p>
        </w:tc>
      </w:tr>
      <w:tr w14:paraId="36AE7D1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7B2EA8C7">
            <w:pPr>
              <w:spacing w:before="0" w:after="0" w:line="240" w:lineRule="auto"/>
              <w:jc w:val="left"/>
            </w:pPr>
            <w:r>
              <w:rPr>
                <w:rFonts w:ascii="Arial" w:hAnsi="Arial" w:eastAsia="Arial" w:cs="Times New Roman"/>
                <w:b w:val="0"/>
                <w:bCs w:val="0"/>
                <w:i w:val="0"/>
                <w:iCs w:val="0"/>
                <w:sz w:val="17"/>
                <w:szCs w:val="18"/>
              </w:rPr>
              <w:t>Total sperm number (× 10</w:t>
            </w:r>
            <w:r>
              <w:rPr>
                <w:rFonts w:ascii="Arial" w:hAnsi="Arial" w:eastAsia="Arial" w:cs="Times New Roman"/>
                <w:b w:val="0"/>
                <w:bCs w:val="0"/>
                <w:i w:val="0"/>
                <w:iCs w:val="0"/>
                <w:sz w:val="17"/>
                <w:szCs w:val="18"/>
                <w:vertAlign w:val="superscript"/>
              </w:rPr>
              <w:t>6</w:t>
            </w:r>
            <w:r>
              <w:rPr>
                <w:rFonts w:ascii="Arial" w:hAnsi="Arial" w:eastAsia="Arial" w:cs="Times New Roman"/>
                <w:b w:val="0"/>
                <w:bCs w:val="0"/>
                <w:i w:val="0"/>
                <w:iCs w:val="0"/>
                <w:sz w:val="17"/>
                <w:szCs w:val="18"/>
              </w:rPr>
              <w:t>)</w:t>
            </w:r>
          </w:p>
        </w:tc>
        <w:tc>
          <w:tcPr>
            <w:tcW w:w="2100" w:type="dxa"/>
            <w:tcBorders/>
            <w:tcMar>
              <w:top w:w="20" w:type="dxa"/>
              <w:left w:w="80" w:type="dxa"/>
              <w:bottom w:w="20" w:type="dxa"/>
              <w:right w:w="80" w:type="dxa"/>
            </w:tcMar>
            <w:vAlign w:val="center"/>
          </w:tcPr>
          <w:p w14:paraId="132DE79A">
            <w:pPr>
              <w:spacing w:before="0" w:after="0" w:line="240" w:lineRule="auto"/>
              <w:jc w:val="left"/>
            </w:pPr>
            <w:r>
              <w:rPr>
                <w:rFonts w:ascii="Arial" w:hAnsi="Arial" w:eastAsia="Arial" w:cs="Times New Roman"/>
                <w:b w:val="0"/>
                <w:bCs w:val="0"/>
                <w:i w:val="0"/>
                <w:iCs w:val="0"/>
                <w:sz w:val="17"/>
                <w:szCs w:val="18"/>
              </w:rPr>
              <w:t>119.4 (54.8–256.9)</w:t>
            </w:r>
          </w:p>
        </w:tc>
        <w:tc>
          <w:tcPr>
            <w:tcW w:w="2350" w:type="dxa"/>
            <w:tcBorders/>
            <w:tcMar>
              <w:top w:w="20" w:type="dxa"/>
              <w:left w:w="80" w:type="dxa"/>
              <w:bottom w:w="20" w:type="dxa"/>
              <w:right w:w="80" w:type="dxa"/>
            </w:tcMar>
            <w:vAlign w:val="center"/>
          </w:tcPr>
          <w:p w14:paraId="6FEA2D45">
            <w:pPr>
              <w:spacing w:before="0" w:after="0" w:line="240" w:lineRule="auto"/>
              <w:jc w:val="left"/>
            </w:pPr>
            <w:r>
              <w:rPr>
                <w:rFonts w:ascii="Arial" w:hAnsi="Arial" w:eastAsia="Arial" w:cs="Times New Roman"/>
                <w:b w:val="0"/>
                <w:bCs w:val="0"/>
                <w:i w:val="0"/>
                <w:iCs w:val="0"/>
                <w:sz w:val="17"/>
                <w:szCs w:val="18"/>
              </w:rPr>
              <w:t>151.2 (73.3–251.7)</w:t>
            </w:r>
          </w:p>
        </w:tc>
        <w:tc>
          <w:tcPr>
            <w:tcW w:w="1788" w:type="dxa"/>
            <w:tcBorders/>
            <w:tcMar>
              <w:top w:w="20" w:type="dxa"/>
              <w:left w:w="80" w:type="dxa"/>
              <w:bottom w:w="20" w:type="dxa"/>
              <w:right w:w="80" w:type="dxa"/>
            </w:tcMar>
            <w:vAlign w:val="center"/>
          </w:tcPr>
          <w:p w14:paraId="375A6FBA">
            <w:pPr>
              <w:spacing w:before="0" w:after="0" w:line="240" w:lineRule="auto"/>
              <w:jc w:val="left"/>
            </w:pPr>
            <w:r>
              <w:rPr>
                <w:rFonts w:ascii="Arial" w:hAnsi="Arial" w:eastAsia="Arial" w:cs="Times New Roman"/>
                <w:b w:val="0"/>
                <w:bCs w:val="0"/>
                <w:i w:val="0"/>
                <w:iCs w:val="0"/>
                <w:sz w:val="17"/>
                <w:szCs w:val="18"/>
              </w:rPr>
              <w:t>0.036</w:t>
            </w:r>
          </w:p>
        </w:tc>
      </w:tr>
      <w:tr w14:paraId="7EEC3A1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400" w:type="dxa"/>
            <w:tcBorders/>
            <w:tcMar>
              <w:top w:w="20" w:type="dxa"/>
              <w:left w:w="80" w:type="dxa"/>
              <w:bottom w:w="20" w:type="dxa"/>
              <w:right w:w="80" w:type="dxa"/>
            </w:tcMar>
            <w:vAlign w:val="center"/>
          </w:tcPr>
          <w:p w14:paraId="5B8656A1">
            <w:pPr>
              <w:spacing w:before="0" w:after="0" w:line="240" w:lineRule="auto"/>
              <w:jc w:val="left"/>
            </w:pPr>
            <w:r>
              <w:rPr>
                <w:rFonts w:ascii="Arial" w:hAnsi="Arial" w:eastAsia="Arial" w:cs="Times New Roman"/>
                <w:b w:val="0"/>
                <w:bCs w:val="0"/>
                <w:i w:val="0"/>
                <w:iCs w:val="0"/>
                <w:sz w:val="17"/>
                <w:szCs w:val="18"/>
              </w:rPr>
              <w:t>Progressive motility (%)</w:t>
            </w:r>
            <w:r>
              <w:rPr>
                <w:rFonts w:ascii="Arial" w:hAnsi="Arial" w:eastAsia="Arial" w:cs="Times New Roman"/>
                <w:b w:val="0"/>
                <w:bCs w:val="0"/>
                <w:i w:val="0"/>
                <w:iCs w:val="0"/>
                <w:sz w:val="17"/>
                <w:szCs w:val="18"/>
                <w:vertAlign w:val="superscript"/>
              </w:rPr>
              <w:t>a</w:t>
            </w:r>
          </w:p>
        </w:tc>
        <w:tc>
          <w:tcPr>
            <w:tcW w:w="2100" w:type="dxa"/>
            <w:tcBorders/>
            <w:tcMar>
              <w:top w:w="20" w:type="dxa"/>
              <w:left w:w="80" w:type="dxa"/>
              <w:bottom w:w="20" w:type="dxa"/>
              <w:right w:w="80" w:type="dxa"/>
            </w:tcMar>
            <w:vAlign w:val="center"/>
          </w:tcPr>
          <w:p w14:paraId="294FE90B">
            <w:pPr>
              <w:spacing w:before="0" w:after="0" w:line="240" w:lineRule="auto"/>
              <w:jc w:val="left"/>
            </w:pPr>
            <w:r>
              <w:rPr>
                <w:rFonts w:ascii="Arial" w:hAnsi="Arial" w:eastAsia="Arial" w:cs="Times New Roman"/>
                <w:b w:val="0"/>
                <w:bCs w:val="0"/>
                <w:i w:val="0"/>
                <w:iCs w:val="0"/>
                <w:sz w:val="17"/>
                <w:szCs w:val="18"/>
              </w:rPr>
              <w:t>14.6 (6.8–22.8)</w:t>
            </w:r>
          </w:p>
        </w:tc>
        <w:tc>
          <w:tcPr>
            <w:tcW w:w="2350" w:type="dxa"/>
            <w:tcBorders/>
            <w:tcMar>
              <w:top w:w="20" w:type="dxa"/>
              <w:left w:w="80" w:type="dxa"/>
              <w:bottom w:w="20" w:type="dxa"/>
              <w:right w:w="80" w:type="dxa"/>
            </w:tcMar>
            <w:vAlign w:val="center"/>
          </w:tcPr>
          <w:p w14:paraId="16814BDC">
            <w:pPr>
              <w:spacing w:before="0" w:after="0" w:line="240" w:lineRule="auto"/>
              <w:jc w:val="left"/>
            </w:pPr>
            <w:r>
              <w:rPr>
                <w:rFonts w:ascii="Arial" w:hAnsi="Arial" w:eastAsia="Arial" w:cs="Times New Roman"/>
                <w:b w:val="0"/>
                <w:bCs w:val="0"/>
                <w:i w:val="0"/>
                <w:iCs w:val="0"/>
                <w:sz w:val="17"/>
                <w:szCs w:val="18"/>
              </w:rPr>
              <w:t>32.1 (22.1–45.2)</w:t>
            </w:r>
          </w:p>
        </w:tc>
        <w:tc>
          <w:tcPr>
            <w:tcW w:w="1788" w:type="dxa"/>
            <w:tcBorders/>
            <w:tcMar>
              <w:top w:w="20" w:type="dxa"/>
              <w:left w:w="80" w:type="dxa"/>
              <w:bottom w:w="20" w:type="dxa"/>
              <w:right w:w="80" w:type="dxa"/>
            </w:tcMar>
            <w:vAlign w:val="center"/>
          </w:tcPr>
          <w:p w14:paraId="3C2716FA">
            <w:pPr>
              <w:spacing w:before="0" w:after="0" w:line="240" w:lineRule="auto"/>
              <w:jc w:val="left"/>
            </w:pPr>
            <w:r>
              <w:rPr>
                <w:rFonts w:ascii="Arial" w:hAnsi="Arial" w:eastAsia="Arial" w:cs="Times New Roman"/>
                <w:b w:val="0"/>
                <w:bCs w:val="0"/>
                <w:i w:val="0"/>
                <w:iCs w:val="0"/>
                <w:sz w:val="17"/>
                <w:szCs w:val="18"/>
              </w:rPr>
              <w:t>&lt; 0.001</w:t>
            </w:r>
          </w:p>
        </w:tc>
      </w:tr>
      <w:tr w14:paraId="1F34E4F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7882018A">
            <w:pPr>
              <w:spacing w:before="0" w:after="0" w:line="240" w:lineRule="auto"/>
              <w:jc w:val="left"/>
            </w:pPr>
            <w:r>
              <w:rPr>
                <w:rFonts w:ascii="Arial" w:hAnsi="Arial" w:eastAsia="Arial" w:cs="Times New Roman"/>
                <w:b w:val="0"/>
                <w:bCs w:val="0"/>
                <w:i w:val="0"/>
                <w:iCs w:val="0"/>
                <w:sz w:val="17"/>
                <w:szCs w:val="18"/>
              </w:rPr>
              <w:t>Total motility (%)</w:t>
            </w:r>
            <w:r>
              <w:rPr>
                <w:rFonts w:ascii="Arial" w:hAnsi="Arial" w:eastAsia="Arial" w:cs="Times New Roman"/>
                <w:b w:val="0"/>
                <w:bCs w:val="0"/>
                <w:i w:val="0"/>
                <w:iCs w:val="0"/>
                <w:sz w:val="17"/>
                <w:szCs w:val="18"/>
                <w:vertAlign w:val="superscript"/>
              </w:rPr>
              <w:t>b</w:t>
            </w:r>
          </w:p>
        </w:tc>
        <w:tc>
          <w:tcPr>
            <w:tcW w:w="2100" w:type="dxa"/>
            <w:tcBorders/>
            <w:tcMar>
              <w:top w:w="20" w:type="dxa"/>
              <w:left w:w="80" w:type="dxa"/>
              <w:bottom w:w="20" w:type="dxa"/>
              <w:right w:w="80" w:type="dxa"/>
            </w:tcMar>
            <w:vAlign w:val="center"/>
          </w:tcPr>
          <w:p w14:paraId="6EE9448A">
            <w:pPr>
              <w:spacing w:before="0" w:after="0" w:line="240" w:lineRule="auto"/>
              <w:jc w:val="left"/>
            </w:pPr>
            <w:r>
              <w:rPr>
                <w:rFonts w:ascii="Arial" w:hAnsi="Arial" w:eastAsia="Arial" w:cs="Times New Roman"/>
                <w:b w:val="0"/>
                <w:bCs w:val="0"/>
                <w:i w:val="0"/>
                <w:iCs w:val="0"/>
                <w:sz w:val="17"/>
                <w:szCs w:val="18"/>
              </w:rPr>
              <w:t>19.6 (12.1–31.0)</w:t>
            </w:r>
          </w:p>
        </w:tc>
        <w:tc>
          <w:tcPr>
            <w:tcW w:w="2350" w:type="dxa"/>
            <w:tcBorders/>
            <w:tcMar>
              <w:top w:w="20" w:type="dxa"/>
              <w:left w:w="80" w:type="dxa"/>
              <w:bottom w:w="20" w:type="dxa"/>
              <w:right w:w="80" w:type="dxa"/>
            </w:tcMar>
            <w:vAlign w:val="center"/>
          </w:tcPr>
          <w:p w14:paraId="52E725A5">
            <w:pPr>
              <w:spacing w:before="0" w:after="0" w:line="240" w:lineRule="auto"/>
              <w:jc w:val="left"/>
            </w:pPr>
            <w:r>
              <w:rPr>
                <w:rFonts w:ascii="Arial" w:hAnsi="Arial" w:eastAsia="Arial" w:cs="Times New Roman"/>
                <w:b w:val="0"/>
                <w:bCs w:val="0"/>
                <w:i w:val="0"/>
                <w:iCs w:val="0"/>
                <w:sz w:val="17"/>
                <w:szCs w:val="18"/>
              </w:rPr>
              <w:t>41.8 (29.8–56.1)</w:t>
            </w:r>
          </w:p>
        </w:tc>
        <w:tc>
          <w:tcPr>
            <w:tcW w:w="1788" w:type="dxa"/>
            <w:tcBorders/>
            <w:tcMar>
              <w:top w:w="20" w:type="dxa"/>
              <w:left w:w="80" w:type="dxa"/>
              <w:bottom w:w="20" w:type="dxa"/>
              <w:right w:w="80" w:type="dxa"/>
            </w:tcMar>
            <w:vAlign w:val="center"/>
          </w:tcPr>
          <w:p w14:paraId="11785AEC">
            <w:pPr>
              <w:spacing w:before="0" w:after="0" w:line="240" w:lineRule="auto"/>
              <w:jc w:val="left"/>
            </w:pPr>
            <w:r>
              <w:rPr>
                <w:rFonts w:ascii="Arial" w:hAnsi="Arial" w:eastAsia="Arial" w:cs="Times New Roman"/>
                <w:b w:val="0"/>
                <w:bCs w:val="0"/>
                <w:i w:val="0"/>
                <w:iCs w:val="0"/>
                <w:sz w:val="17"/>
                <w:szCs w:val="18"/>
              </w:rPr>
              <w:t>&lt; 0.001</w:t>
            </w:r>
          </w:p>
        </w:tc>
      </w:tr>
      <w:tr w14:paraId="5302052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03D57067">
            <w:pPr>
              <w:spacing w:before="0" w:after="0" w:line="240" w:lineRule="auto"/>
              <w:jc w:val="left"/>
            </w:pPr>
            <w:r>
              <w:rPr>
                <w:rFonts w:ascii="Arial" w:hAnsi="Arial" w:eastAsia="Arial" w:cs="Times New Roman"/>
                <w:b w:val="0"/>
                <w:bCs w:val="0"/>
                <w:i w:val="0"/>
                <w:iCs w:val="0"/>
                <w:sz w:val="17"/>
                <w:szCs w:val="18"/>
              </w:rPr>
              <w:t>Bilateral total seminal-vesicle volume (mL)</w:t>
            </w:r>
          </w:p>
        </w:tc>
        <w:tc>
          <w:tcPr>
            <w:tcW w:w="2100" w:type="dxa"/>
            <w:tcBorders/>
            <w:tcMar>
              <w:top w:w="20" w:type="dxa"/>
              <w:left w:w="80" w:type="dxa"/>
              <w:bottom w:w="20" w:type="dxa"/>
              <w:right w:w="80" w:type="dxa"/>
            </w:tcMar>
            <w:vAlign w:val="center"/>
          </w:tcPr>
          <w:p w14:paraId="64941F69">
            <w:pPr>
              <w:spacing w:before="0" w:after="0" w:line="240" w:lineRule="auto"/>
              <w:jc w:val="left"/>
            </w:pPr>
            <w:r>
              <w:rPr>
                <w:rFonts w:ascii="Arial" w:hAnsi="Arial" w:eastAsia="Arial" w:cs="Times New Roman"/>
                <w:b w:val="0"/>
                <w:bCs w:val="0"/>
                <w:i w:val="0"/>
                <w:iCs w:val="0"/>
                <w:sz w:val="17"/>
                <w:szCs w:val="18"/>
              </w:rPr>
              <w:t>4.7 (3.5–6.5)</w:t>
            </w:r>
          </w:p>
        </w:tc>
        <w:tc>
          <w:tcPr>
            <w:tcW w:w="2350" w:type="dxa"/>
            <w:tcBorders/>
            <w:tcMar>
              <w:top w:w="20" w:type="dxa"/>
              <w:left w:w="80" w:type="dxa"/>
              <w:bottom w:w="20" w:type="dxa"/>
              <w:right w:w="80" w:type="dxa"/>
            </w:tcMar>
            <w:vAlign w:val="center"/>
          </w:tcPr>
          <w:p w14:paraId="10D25385">
            <w:pPr>
              <w:spacing w:before="0" w:after="0" w:line="240" w:lineRule="auto"/>
              <w:jc w:val="left"/>
            </w:pPr>
            <w:r>
              <w:rPr>
                <w:rFonts w:ascii="Arial" w:hAnsi="Arial" w:eastAsia="Arial" w:cs="Times New Roman"/>
                <w:b w:val="0"/>
                <w:bCs w:val="0"/>
                <w:i w:val="0"/>
                <w:iCs w:val="0"/>
                <w:sz w:val="17"/>
                <w:szCs w:val="18"/>
              </w:rPr>
              <w:t>3.6 (2.8–4.7)</w:t>
            </w:r>
          </w:p>
        </w:tc>
        <w:tc>
          <w:tcPr>
            <w:tcW w:w="1788" w:type="dxa"/>
            <w:tcBorders/>
            <w:tcMar>
              <w:top w:w="20" w:type="dxa"/>
              <w:left w:w="80" w:type="dxa"/>
              <w:bottom w:w="20" w:type="dxa"/>
              <w:right w:w="80" w:type="dxa"/>
            </w:tcMar>
            <w:vAlign w:val="center"/>
          </w:tcPr>
          <w:p w14:paraId="5AE44615">
            <w:pPr>
              <w:spacing w:before="0" w:after="0" w:line="240" w:lineRule="auto"/>
              <w:jc w:val="left"/>
            </w:pPr>
            <w:r>
              <w:rPr>
                <w:rFonts w:ascii="Arial" w:hAnsi="Arial" w:eastAsia="Arial" w:cs="Times New Roman"/>
                <w:b w:val="0"/>
                <w:bCs w:val="0"/>
                <w:i w:val="0"/>
                <w:iCs w:val="0"/>
                <w:sz w:val="17"/>
                <w:szCs w:val="18"/>
              </w:rPr>
              <w:t>&lt; 0.001</w:t>
            </w:r>
          </w:p>
        </w:tc>
      </w:tr>
      <w:tr w14:paraId="37AAF6C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7AE51C6A">
            <w:pPr>
              <w:spacing w:before="0" w:after="0" w:line="240" w:lineRule="auto"/>
              <w:jc w:val="left"/>
            </w:pPr>
            <w:r>
              <w:rPr>
                <w:rFonts w:ascii="Arial" w:hAnsi="Arial" w:eastAsia="Arial" w:cs="Times New Roman"/>
                <w:b w:val="0"/>
                <w:bCs w:val="0"/>
                <w:i w:val="0"/>
                <w:iCs w:val="0"/>
                <w:sz w:val="17"/>
                <w:szCs w:val="18"/>
              </w:rPr>
              <w:t>Largest-side seminal-vesicle volume (mL)</w:t>
            </w:r>
          </w:p>
        </w:tc>
        <w:tc>
          <w:tcPr>
            <w:tcW w:w="2100" w:type="dxa"/>
            <w:tcBorders/>
            <w:tcMar>
              <w:top w:w="20" w:type="dxa"/>
              <w:left w:w="80" w:type="dxa"/>
              <w:bottom w:w="20" w:type="dxa"/>
              <w:right w:w="80" w:type="dxa"/>
            </w:tcMar>
            <w:vAlign w:val="center"/>
          </w:tcPr>
          <w:p w14:paraId="1DBBF28F">
            <w:pPr>
              <w:spacing w:before="0" w:after="0" w:line="240" w:lineRule="auto"/>
              <w:jc w:val="left"/>
            </w:pPr>
            <w:r>
              <w:rPr>
                <w:rFonts w:ascii="Arial" w:hAnsi="Arial" w:eastAsia="Arial" w:cs="Times New Roman"/>
                <w:b w:val="0"/>
                <w:bCs w:val="0"/>
                <w:i w:val="0"/>
                <w:iCs w:val="0"/>
                <w:sz w:val="17"/>
                <w:szCs w:val="18"/>
              </w:rPr>
              <w:t>2.7 (1.9–3.6)</w:t>
            </w:r>
          </w:p>
        </w:tc>
        <w:tc>
          <w:tcPr>
            <w:tcW w:w="2350" w:type="dxa"/>
            <w:tcBorders/>
            <w:tcMar>
              <w:top w:w="20" w:type="dxa"/>
              <w:left w:w="80" w:type="dxa"/>
              <w:bottom w:w="20" w:type="dxa"/>
              <w:right w:w="80" w:type="dxa"/>
            </w:tcMar>
            <w:vAlign w:val="center"/>
          </w:tcPr>
          <w:p w14:paraId="5C32022A">
            <w:pPr>
              <w:spacing w:before="0" w:after="0" w:line="240" w:lineRule="auto"/>
              <w:jc w:val="left"/>
            </w:pPr>
            <w:r>
              <w:rPr>
                <w:rFonts w:ascii="Arial" w:hAnsi="Arial" w:eastAsia="Arial" w:cs="Times New Roman"/>
                <w:b w:val="0"/>
                <w:bCs w:val="0"/>
                <w:i w:val="0"/>
                <w:iCs w:val="0"/>
                <w:sz w:val="17"/>
                <w:szCs w:val="18"/>
              </w:rPr>
              <w:t>2.0 (1.6–2.6)</w:t>
            </w:r>
          </w:p>
        </w:tc>
        <w:tc>
          <w:tcPr>
            <w:tcW w:w="1788" w:type="dxa"/>
            <w:tcBorders/>
            <w:tcMar>
              <w:top w:w="20" w:type="dxa"/>
              <w:left w:w="80" w:type="dxa"/>
              <w:bottom w:w="20" w:type="dxa"/>
              <w:right w:w="80" w:type="dxa"/>
            </w:tcMar>
            <w:vAlign w:val="center"/>
          </w:tcPr>
          <w:p w14:paraId="228E29A2">
            <w:pPr>
              <w:spacing w:before="0" w:after="0" w:line="240" w:lineRule="auto"/>
              <w:jc w:val="left"/>
            </w:pPr>
            <w:r>
              <w:rPr>
                <w:rFonts w:ascii="Arial" w:hAnsi="Arial" w:eastAsia="Arial" w:cs="Times New Roman"/>
                <w:b w:val="0"/>
                <w:bCs w:val="0"/>
                <w:i w:val="0"/>
                <w:iCs w:val="0"/>
                <w:sz w:val="17"/>
                <w:szCs w:val="18"/>
              </w:rPr>
              <w:t>&lt; 0.001</w:t>
            </w:r>
          </w:p>
        </w:tc>
      </w:tr>
      <w:tr w14:paraId="7679E2D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400" w:type="dxa"/>
            <w:tcBorders/>
            <w:tcMar>
              <w:top w:w="20" w:type="dxa"/>
              <w:left w:w="80" w:type="dxa"/>
              <w:bottom w:w="20" w:type="dxa"/>
              <w:right w:w="80" w:type="dxa"/>
            </w:tcMar>
            <w:vAlign w:val="center"/>
          </w:tcPr>
          <w:p w14:paraId="0BE4462B">
            <w:pPr>
              <w:spacing w:before="0" w:after="0" w:line="240" w:lineRule="auto"/>
              <w:jc w:val="left"/>
            </w:pPr>
            <w:r>
              <w:rPr>
                <w:rFonts w:ascii="Arial" w:hAnsi="Arial" w:eastAsia="Arial" w:cs="Times New Roman"/>
                <w:b w:val="0"/>
                <w:bCs w:val="0"/>
                <w:i w:val="0"/>
                <w:iCs w:val="0"/>
                <w:sz w:val="17"/>
                <w:szCs w:val="18"/>
              </w:rPr>
              <w:t>Mean anteroposterior diameter (cm)</w:t>
            </w:r>
          </w:p>
        </w:tc>
        <w:tc>
          <w:tcPr>
            <w:tcW w:w="2100" w:type="dxa"/>
            <w:tcBorders/>
            <w:tcMar>
              <w:top w:w="20" w:type="dxa"/>
              <w:left w:w="80" w:type="dxa"/>
              <w:bottom w:w="20" w:type="dxa"/>
              <w:right w:w="80" w:type="dxa"/>
            </w:tcMar>
            <w:vAlign w:val="center"/>
          </w:tcPr>
          <w:p w14:paraId="138FD708">
            <w:pPr>
              <w:spacing w:before="0" w:after="0" w:line="240" w:lineRule="auto"/>
              <w:jc w:val="left"/>
            </w:pPr>
            <w:r>
              <w:rPr>
                <w:rFonts w:ascii="Arial" w:hAnsi="Arial" w:eastAsia="Arial" w:cs="Times New Roman"/>
                <w:b w:val="0"/>
                <w:bCs w:val="0"/>
                <w:i w:val="0"/>
                <w:iCs w:val="0"/>
                <w:sz w:val="17"/>
                <w:szCs w:val="18"/>
              </w:rPr>
              <w:t>1.1 (1.0–1.3)</w:t>
            </w:r>
          </w:p>
        </w:tc>
        <w:tc>
          <w:tcPr>
            <w:tcW w:w="2350" w:type="dxa"/>
            <w:tcBorders/>
            <w:tcMar>
              <w:top w:w="20" w:type="dxa"/>
              <w:left w:w="80" w:type="dxa"/>
              <w:bottom w:w="20" w:type="dxa"/>
              <w:right w:w="80" w:type="dxa"/>
            </w:tcMar>
            <w:vAlign w:val="center"/>
          </w:tcPr>
          <w:p w14:paraId="04B55DB7">
            <w:pPr>
              <w:spacing w:before="0" w:after="0" w:line="240" w:lineRule="auto"/>
              <w:jc w:val="left"/>
            </w:pPr>
            <w:r>
              <w:rPr>
                <w:rFonts w:ascii="Arial" w:hAnsi="Arial" w:eastAsia="Arial" w:cs="Times New Roman"/>
                <w:b w:val="0"/>
                <w:bCs w:val="0"/>
                <w:i w:val="0"/>
                <w:iCs w:val="0"/>
                <w:sz w:val="17"/>
                <w:szCs w:val="18"/>
              </w:rPr>
              <w:t>1.0 (0.9–1.1)</w:t>
            </w:r>
          </w:p>
        </w:tc>
        <w:tc>
          <w:tcPr>
            <w:tcW w:w="1788" w:type="dxa"/>
            <w:tcBorders/>
            <w:tcMar>
              <w:top w:w="20" w:type="dxa"/>
              <w:left w:w="80" w:type="dxa"/>
              <w:bottom w:w="20" w:type="dxa"/>
              <w:right w:w="80" w:type="dxa"/>
            </w:tcMar>
            <w:vAlign w:val="center"/>
          </w:tcPr>
          <w:p w14:paraId="0BFFBA30">
            <w:pPr>
              <w:spacing w:before="0" w:after="0" w:line="240" w:lineRule="auto"/>
              <w:jc w:val="left"/>
            </w:pPr>
            <w:r>
              <w:rPr>
                <w:rFonts w:ascii="Arial" w:hAnsi="Arial" w:eastAsia="Arial" w:cs="Times New Roman"/>
                <w:b w:val="0"/>
                <w:bCs w:val="0"/>
                <w:i w:val="0"/>
                <w:iCs w:val="0"/>
                <w:sz w:val="17"/>
                <w:szCs w:val="18"/>
              </w:rPr>
              <w:t>&lt; 0.001</w:t>
            </w:r>
          </w:p>
        </w:tc>
      </w:tr>
      <w:tr w14:paraId="569D0AA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5C15F50A">
            <w:pPr>
              <w:spacing w:before="0" w:after="0" w:line="240" w:lineRule="auto"/>
              <w:jc w:val="left"/>
            </w:pPr>
            <w:r>
              <w:rPr>
                <w:rFonts w:ascii="Arial" w:hAnsi="Arial" w:eastAsia="Arial" w:cs="Times New Roman"/>
                <w:b w:val="0"/>
                <w:bCs w:val="0"/>
                <w:i w:val="0"/>
                <w:iCs w:val="0"/>
                <w:sz w:val="17"/>
                <w:szCs w:val="18"/>
              </w:rPr>
              <w:t>Largest anteroposterior diameter (cm)</w:t>
            </w:r>
          </w:p>
        </w:tc>
        <w:tc>
          <w:tcPr>
            <w:tcW w:w="2100" w:type="dxa"/>
            <w:tcBorders/>
            <w:tcMar>
              <w:top w:w="20" w:type="dxa"/>
              <w:left w:w="80" w:type="dxa"/>
              <w:bottom w:w="20" w:type="dxa"/>
              <w:right w:w="80" w:type="dxa"/>
            </w:tcMar>
            <w:vAlign w:val="center"/>
          </w:tcPr>
          <w:p w14:paraId="39036907">
            <w:pPr>
              <w:spacing w:before="0" w:after="0" w:line="240" w:lineRule="auto"/>
              <w:jc w:val="left"/>
            </w:pPr>
            <w:r>
              <w:rPr>
                <w:rFonts w:ascii="Arial" w:hAnsi="Arial" w:eastAsia="Arial" w:cs="Times New Roman"/>
                <w:b w:val="0"/>
                <w:bCs w:val="0"/>
                <w:i w:val="0"/>
                <w:iCs w:val="0"/>
                <w:sz w:val="17"/>
                <w:szCs w:val="18"/>
              </w:rPr>
              <w:t>1.2 (1.0–1.3)</w:t>
            </w:r>
          </w:p>
        </w:tc>
        <w:tc>
          <w:tcPr>
            <w:tcW w:w="2350" w:type="dxa"/>
            <w:tcBorders/>
            <w:tcMar>
              <w:top w:w="20" w:type="dxa"/>
              <w:left w:w="80" w:type="dxa"/>
              <w:bottom w:w="20" w:type="dxa"/>
              <w:right w:w="80" w:type="dxa"/>
            </w:tcMar>
            <w:vAlign w:val="center"/>
          </w:tcPr>
          <w:p w14:paraId="19BEDF01">
            <w:pPr>
              <w:spacing w:before="0" w:after="0" w:line="240" w:lineRule="auto"/>
              <w:jc w:val="left"/>
            </w:pPr>
            <w:r>
              <w:rPr>
                <w:rFonts w:ascii="Arial" w:hAnsi="Arial" w:eastAsia="Arial" w:cs="Times New Roman"/>
                <w:b w:val="0"/>
                <w:bCs w:val="0"/>
                <w:i w:val="0"/>
                <w:iCs w:val="0"/>
                <w:sz w:val="17"/>
                <w:szCs w:val="18"/>
              </w:rPr>
              <w:t>1.0 (0.9–1.2)</w:t>
            </w:r>
          </w:p>
        </w:tc>
        <w:tc>
          <w:tcPr>
            <w:tcW w:w="1788" w:type="dxa"/>
            <w:tcBorders/>
            <w:tcMar>
              <w:top w:w="20" w:type="dxa"/>
              <w:left w:w="80" w:type="dxa"/>
              <w:bottom w:w="20" w:type="dxa"/>
              <w:right w:w="80" w:type="dxa"/>
            </w:tcMar>
            <w:vAlign w:val="center"/>
          </w:tcPr>
          <w:p w14:paraId="616176AB">
            <w:pPr>
              <w:spacing w:before="0" w:after="0" w:line="240" w:lineRule="auto"/>
              <w:jc w:val="left"/>
            </w:pPr>
            <w:r>
              <w:rPr>
                <w:rFonts w:ascii="Arial" w:hAnsi="Arial" w:eastAsia="Arial" w:cs="Times New Roman"/>
                <w:b w:val="0"/>
                <w:bCs w:val="0"/>
                <w:i w:val="0"/>
                <w:iCs w:val="0"/>
                <w:sz w:val="17"/>
                <w:szCs w:val="18"/>
              </w:rPr>
              <w:t>&lt; 0.001</w:t>
            </w:r>
          </w:p>
        </w:tc>
      </w:tr>
      <w:tr w14:paraId="7B4D070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43A80C66">
            <w:pPr>
              <w:spacing w:before="0" w:after="0" w:line="240" w:lineRule="auto"/>
              <w:jc w:val="left"/>
            </w:pPr>
            <w:r>
              <w:rPr>
                <w:rFonts w:ascii="Arial" w:hAnsi="Arial" w:eastAsia="Arial" w:cs="Times New Roman"/>
                <w:b w:val="0"/>
                <w:bCs w:val="0"/>
                <w:i w:val="0"/>
                <w:iCs w:val="0"/>
                <w:sz w:val="17"/>
                <w:szCs w:val="18"/>
              </w:rPr>
              <w:t>Mean longitudinal diameter (cm)</w:t>
            </w:r>
          </w:p>
        </w:tc>
        <w:tc>
          <w:tcPr>
            <w:tcW w:w="2100" w:type="dxa"/>
            <w:tcBorders/>
            <w:tcMar>
              <w:top w:w="20" w:type="dxa"/>
              <w:left w:w="80" w:type="dxa"/>
              <w:bottom w:w="20" w:type="dxa"/>
              <w:right w:w="80" w:type="dxa"/>
            </w:tcMar>
            <w:vAlign w:val="center"/>
          </w:tcPr>
          <w:p w14:paraId="46F00E8C">
            <w:pPr>
              <w:spacing w:before="0" w:after="0" w:line="240" w:lineRule="auto"/>
              <w:jc w:val="left"/>
            </w:pPr>
            <w:r>
              <w:rPr>
                <w:rFonts w:ascii="Arial" w:hAnsi="Arial" w:eastAsia="Arial" w:cs="Times New Roman"/>
                <w:b w:val="0"/>
                <w:bCs w:val="0"/>
                <w:i w:val="0"/>
                <w:iCs w:val="0"/>
                <w:sz w:val="17"/>
                <w:szCs w:val="18"/>
              </w:rPr>
              <w:t>3.7 (3.5–3.9)</w:t>
            </w:r>
          </w:p>
        </w:tc>
        <w:tc>
          <w:tcPr>
            <w:tcW w:w="2350" w:type="dxa"/>
            <w:tcBorders/>
            <w:tcMar>
              <w:top w:w="20" w:type="dxa"/>
              <w:left w:w="80" w:type="dxa"/>
              <w:bottom w:w="20" w:type="dxa"/>
              <w:right w:w="80" w:type="dxa"/>
            </w:tcMar>
            <w:vAlign w:val="center"/>
          </w:tcPr>
          <w:p w14:paraId="2C00C937">
            <w:pPr>
              <w:spacing w:before="0" w:after="0" w:line="240" w:lineRule="auto"/>
              <w:jc w:val="left"/>
            </w:pPr>
            <w:r>
              <w:rPr>
                <w:rFonts w:ascii="Arial" w:hAnsi="Arial" w:eastAsia="Arial" w:cs="Times New Roman"/>
                <w:b w:val="0"/>
                <w:bCs w:val="0"/>
                <w:i w:val="0"/>
                <w:iCs w:val="0"/>
                <w:sz w:val="17"/>
                <w:szCs w:val="18"/>
              </w:rPr>
              <w:t>3.5 (3.3–3.7)</w:t>
            </w:r>
          </w:p>
        </w:tc>
        <w:tc>
          <w:tcPr>
            <w:tcW w:w="1788" w:type="dxa"/>
            <w:tcBorders/>
            <w:tcMar>
              <w:top w:w="20" w:type="dxa"/>
              <w:left w:w="80" w:type="dxa"/>
              <w:bottom w:w="20" w:type="dxa"/>
              <w:right w:w="80" w:type="dxa"/>
            </w:tcMar>
            <w:vAlign w:val="center"/>
          </w:tcPr>
          <w:p w14:paraId="2ADE74E3">
            <w:pPr>
              <w:spacing w:before="0" w:after="0" w:line="240" w:lineRule="auto"/>
              <w:jc w:val="left"/>
            </w:pPr>
            <w:r>
              <w:rPr>
                <w:rFonts w:ascii="Arial" w:hAnsi="Arial" w:eastAsia="Arial" w:cs="Times New Roman"/>
                <w:b w:val="0"/>
                <w:bCs w:val="0"/>
                <w:i w:val="0"/>
                <w:iCs w:val="0"/>
                <w:sz w:val="17"/>
                <w:szCs w:val="18"/>
              </w:rPr>
              <w:t>&lt; 0.001</w:t>
            </w:r>
          </w:p>
        </w:tc>
      </w:tr>
      <w:tr w14:paraId="114DF6F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6266D625">
            <w:pPr>
              <w:spacing w:before="0" w:after="0" w:line="240" w:lineRule="auto"/>
              <w:jc w:val="left"/>
            </w:pPr>
            <w:r>
              <w:rPr>
                <w:rFonts w:ascii="Arial" w:hAnsi="Arial" w:eastAsia="Arial" w:cs="Times New Roman"/>
                <w:b w:val="0"/>
                <w:bCs w:val="0"/>
                <w:i w:val="0"/>
                <w:iCs w:val="0"/>
                <w:sz w:val="17"/>
                <w:szCs w:val="18"/>
              </w:rPr>
              <w:t>Varicocele on report</w:t>
            </w:r>
          </w:p>
        </w:tc>
        <w:tc>
          <w:tcPr>
            <w:tcW w:w="2100" w:type="dxa"/>
            <w:tcBorders/>
            <w:tcMar>
              <w:top w:w="20" w:type="dxa"/>
              <w:left w:w="80" w:type="dxa"/>
              <w:bottom w:w="20" w:type="dxa"/>
              <w:right w:w="80" w:type="dxa"/>
            </w:tcMar>
            <w:vAlign w:val="center"/>
          </w:tcPr>
          <w:p w14:paraId="34CF31F4">
            <w:pPr>
              <w:spacing w:before="0" w:after="0" w:line="240" w:lineRule="auto"/>
              <w:jc w:val="left"/>
            </w:pPr>
            <w:r>
              <w:rPr>
                <w:rFonts w:ascii="Arial" w:hAnsi="Arial" w:eastAsia="Arial" w:cs="Times New Roman"/>
                <w:b w:val="0"/>
                <w:bCs w:val="0"/>
                <w:i w:val="0"/>
                <w:iCs w:val="0"/>
                <w:sz w:val="17"/>
                <w:szCs w:val="18"/>
              </w:rPr>
              <w:t>141/319 (44.2)</w:t>
            </w:r>
          </w:p>
        </w:tc>
        <w:tc>
          <w:tcPr>
            <w:tcW w:w="2350" w:type="dxa"/>
            <w:tcBorders/>
            <w:tcMar>
              <w:top w:w="20" w:type="dxa"/>
              <w:left w:w="80" w:type="dxa"/>
              <w:bottom w:w="20" w:type="dxa"/>
              <w:right w:w="80" w:type="dxa"/>
            </w:tcMar>
            <w:vAlign w:val="center"/>
          </w:tcPr>
          <w:p w14:paraId="6D8F760C">
            <w:pPr>
              <w:spacing w:before="0" w:after="0" w:line="240" w:lineRule="auto"/>
              <w:jc w:val="left"/>
            </w:pPr>
            <w:r>
              <w:rPr>
                <w:rFonts w:ascii="Arial" w:hAnsi="Arial" w:eastAsia="Arial" w:cs="Times New Roman"/>
                <w:b w:val="0"/>
                <w:bCs w:val="0"/>
                <w:i w:val="0"/>
                <w:iCs w:val="0"/>
                <w:sz w:val="17"/>
                <w:szCs w:val="18"/>
              </w:rPr>
              <w:t>457/1,163 (39.3)</w:t>
            </w:r>
          </w:p>
        </w:tc>
        <w:tc>
          <w:tcPr>
            <w:tcW w:w="1788" w:type="dxa"/>
            <w:tcBorders/>
            <w:tcMar>
              <w:top w:w="20" w:type="dxa"/>
              <w:left w:w="80" w:type="dxa"/>
              <w:bottom w:w="20" w:type="dxa"/>
              <w:right w:w="80" w:type="dxa"/>
            </w:tcMar>
            <w:vAlign w:val="center"/>
          </w:tcPr>
          <w:p w14:paraId="3A726A1E">
            <w:pPr>
              <w:spacing w:before="0" w:after="0" w:line="240" w:lineRule="auto"/>
              <w:jc w:val="left"/>
            </w:pPr>
            <w:r>
              <w:rPr>
                <w:rFonts w:ascii="Arial" w:hAnsi="Arial" w:eastAsia="Arial" w:cs="Times New Roman"/>
                <w:b w:val="0"/>
                <w:bCs w:val="0"/>
                <w:i w:val="0"/>
                <w:iCs w:val="0"/>
                <w:sz w:val="17"/>
                <w:szCs w:val="18"/>
              </w:rPr>
              <w:t>0.114</w:t>
            </w:r>
          </w:p>
        </w:tc>
      </w:tr>
      <w:tr w14:paraId="79CDDB4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400" w:type="dxa"/>
            <w:tcBorders/>
            <w:tcMar>
              <w:top w:w="20" w:type="dxa"/>
              <w:left w:w="80" w:type="dxa"/>
              <w:bottom w:w="20" w:type="dxa"/>
              <w:right w:w="80" w:type="dxa"/>
            </w:tcMar>
            <w:vAlign w:val="center"/>
          </w:tcPr>
          <w:p w14:paraId="4DA15B6A">
            <w:pPr>
              <w:spacing w:before="0" w:after="0" w:line="240" w:lineRule="auto"/>
              <w:jc w:val="left"/>
            </w:pPr>
            <w:r>
              <w:rPr>
                <w:rFonts w:ascii="Arial" w:hAnsi="Arial" w:eastAsia="Arial" w:cs="Times New Roman"/>
                <w:b w:val="0"/>
                <w:bCs w:val="0"/>
                <w:i w:val="0"/>
                <w:iCs w:val="0"/>
                <w:sz w:val="17"/>
                <w:szCs w:val="18"/>
              </w:rPr>
              <w:t>Any echotexture abnormality</w:t>
            </w:r>
          </w:p>
        </w:tc>
        <w:tc>
          <w:tcPr>
            <w:tcW w:w="2100" w:type="dxa"/>
            <w:tcBorders/>
            <w:tcMar>
              <w:top w:w="20" w:type="dxa"/>
              <w:left w:w="80" w:type="dxa"/>
              <w:bottom w:w="20" w:type="dxa"/>
              <w:right w:w="80" w:type="dxa"/>
            </w:tcMar>
            <w:vAlign w:val="center"/>
          </w:tcPr>
          <w:p w14:paraId="690BFC7D">
            <w:pPr>
              <w:spacing w:before="0" w:after="0" w:line="240" w:lineRule="auto"/>
              <w:jc w:val="left"/>
            </w:pPr>
            <w:r>
              <w:rPr>
                <w:rFonts w:ascii="Arial" w:hAnsi="Arial" w:eastAsia="Arial" w:cs="Times New Roman"/>
                <w:b w:val="0"/>
                <w:bCs w:val="0"/>
                <w:i w:val="0"/>
                <w:iCs w:val="0"/>
                <w:sz w:val="17"/>
                <w:szCs w:val="18"/>
              </w:rPr>
              <w:t>46/319 (14.4)</w:t>
            </w:r>
          </w:p>
        </w:tc>
        <w:tc>
          <w:tcPr>
            <w:tcW w:w="2350" w:type="dxa"/>
            <w:tcBorders/>
            <w:tcMar>
              <w:top w:w="20" w:type="dxa"/>
              <w:left w:w="80" w:type="dxa"/>
              <w:bottom w:w="20" w:type="dxa"/>
              <w:right w:w="80" w:type="dxa"/>
            </w:tcMar>
            <w:vAlign w:val="center"/>
          </w:tcPr>
          <w:p w14:paraId="075C33E7">
            <w:pPr>
              <w:spacing w:before="0" w:after="0" w:line="240" w:lineRule="auto"/>
              <w:jc w:val="left"/>
            </w:pPr>
            <w:r>
              <w:rPr>
                <w:rFonts w:ascii="Arial" w:hAnsi="Arial" w:eastAsia="Arial" w:cs="Times New Roman"/>
                <w:b w:val="0"/>
                <w:bCs w:val="0"/>
                <w:i w:val="0"/>
                <w:iCs w:val="0"/>
                <w:sz w:val="17"/>
                <w:szCs w:val="18"/>
              </w:rPr>
              <w:t>27/1,163 (2.3)</w:t>
            </w:r>
          </w:p>
        </w:tc>
        <w:tc>
          <w:tcPr>
            <w:tcW w:w="1788" w:type="dxa"/>
            <w:tcBorders/>
            <w:tcMar>
              <w:top w:w="20" w:type="dxa"/>
              <w:left w:w="80" w:type="dxa"/>
              <w:bottom w:w="20" w:type="dxa"/>
              <w:right w:w="80" w:type="dxa"/>
            </w:tcMar>
            <w:vAlign w:val="center"/>
          </w:tcPr>
          <w:p w14:paraId="4A815337">
            <w:pPr>
              <w:spacing w:before="0" w:after="0" w:line="240" w:lineRule="auto"/>
              <w:jc w:val="left"/>
            </w:pPr>
            <w:r>
              <w:rPr>
                <w:rFonts w:ascii="Arial" w:hAnsi="Arial" w:eastAsia="Arial" w:cs="Times New Roman"/>
                <w:b w:val="0"/>
                <w:bCs w:val="0"/>
                <w:i w:val="0"/>
                <w:iCs w:val="0"/>
                <w:sz w:val="17"/>
                <w:szCs w:val="18"/>
              </w:rPr>
              <w:t>&lt; 0.001</w:t>
            </w:r>
          </w:p>
        </w:tc>
      </w:tr>
      <w:tr w14:paraId="4E97E53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bottom w:val="single" w:sz="8" w:color="000000"/>
            </w:tcBorders>
            <w:tcMar>
              <w:top w:w="20" w:type="dxa"/>
              <w:left w:w="80" w:type="dxa"/>
              <w:bottom w:w="20" w:type="dxa"/>
              <w:right w:w="80" w:type="dxa"/>
            </w:tcMar>
            <w:vAlign w:val="center"/>
          </w:tcPr>
          <w:p w14:paraId="1D3F4F7B">
            <w:pPr>
              <w:spacing w:before="0" w:after="0" w:line="240" w:lineRule="auto"/>
              <w:jc w:val="left"/>
            </w:pPr>
            <w:r>
              <w:rPr>
                <w:rFonts w:ascii="Arial" w:hAnsi="Arial" w:eastAsia="Arial" w:cs="Times New Roman"/>
                <w:b w:val="0"/>
                <w:bCs w:val="0"/>
                <w:i w:val="0"/>
                <w:iCs w:val="0"/>
                <w:sz w:val="17"/>
                <w:szCs w:val="18"/>
              </w:rPr>
              <w:t>Largest-side volume above the cohort 95th percentile (5.14 mL)</w:t>
            </w:r>
          </w:p>
        </w:tc>
        <w:tc>
          <w:tcPr>
            <w:tcW w:w="2100" w:type="dxa"/>
            <w:tcBorders>
              <w:bottom w:val="single" w:sz="8" w:color="000000"/>
            </w:tcBorders>
            <w:tcMar>
              <w:top w:w="20" w:type="dxa"/>
              <w:left w:w="80" w:type="dxa"/>
              <w:bottom w:w="20" w:type="dxa"/>
              <w:right w:w="80" w:type="dxa"/>
            </w:tcMar>
            <w:vAlign w:val="center"/>
          </w:tcPr>
          <w:p w14:paraId="533CDCF7">
            <w:pPr>
              <w:spacing w:before="0" w:after="0" w:line="240" w:lineRule="auto"/>
              <w:jc w:val="left"/>
            </w:pPr>
            <w:r>
              <w:rPr>
                <w:rFonts w:ascii="Arial" w:hAnsi="Arial" w:eastAsia="Arial" w:cs="Times New Roman"/>
                <w:b w:val="0"/>
                <w:bCs w:val="0"/>
                <w:i w:val="0"/>
                <w:iCs w:val="0"/>
                <w:sz w:val="17"/>
                <w:szCs w:val="18"/>
              </w:rPr>
              <w:t>48/319 (15.0)</w:t>
            </w:r>
          </w:p>
        </w:tc>
        <w:tc>
          <w:tcPr>
            <w:tcW w:w="2350" w:type="dxa"/>
            <w:tcBorders>
              <w:bottom w:val="single" w:sz="8" w:color="000000"/>
            </w:tcBorders>
            <w:tcMar>
              <w:top w:w="20" w:type="dxa"/>
              <w:left w:w="80" w:type="dxa"/>
              <w:bottom w:w="20" w:type="dxa"/>
              <w:right w:w="80" w:type="dxa"/>
            </w:tcMar>
            <w:vAlign w:val="center"/>
          </w:tcPr>
          <w:p w14:paraId="4DB9449C">
            <w:pPr>
              <w:spacing w:before="0" w:after="0" w:line="240" w:lineRule="auto"/>
              <w:jc w:val="left"/>
            </w:pPr>
            <w:r>
              <w:rPr>
                <w:rFonts w:ascii="Arial" w:hAnsi="Arial" w:eastAsia="Arial" w:cs="Times New Roman"/>
                <w:b w:val="0"/>
                <w:bCs w:val="0"/>
                <w:i w:val="0"/>
                <w:iCs w:val="0"/>
                <w:sz w:val="17"/>
                <w:szCs w:val="18"/>
              </w:rPr>
              <w:t>27/1,163 (2.3)</w:t>
            </w:r>
          </w:p>
        </w:tc>
        <w:tc>
          <w:tcPr>
            <w:tcW w:w="1788" w:type="dxa"/>
            <w:tcBorders>
              <w:bottom w:val="single" w:sz="8" w:color="000000"/>
            </w:tcBorders>
            <w:tcMar>
              <w:top w:w="20" w:type="dxa"/>
              <w:left w:w="80" w:type="dxa"/>
              <w:bottom w:w="20" w:type="dxa"/>
              <w:right w:w="80" w:type="dxa"/>
            </w:tcMar>
            <w:vAlign w:val="center"/>
          </w:tcPr>
          <w:p w14:paraId="79EC6E28">
            <w:pPr>
              <w:spacing w:before="0" w:after="0" w:line="240" w:lineRule="auto"/>
              <w:jc w:val="left"/>
            </w:pPr>
            <w:r>
              <w:rPr>
                <w:rFonts w:ascii="Arial" w:hAnsi="Arial" w:eastAsia="Arial" w:cs="Times New Roman"/>
                <w:b w:val="0"/>
                <w:bCs w:val="0"/>
                <w:i w:val="0"/>
                <w:iCs w:val="0"/>
                <w:sz w:val="17"/>
                <w:szCs w:val="18"/>
              </w:rPr>
              <w:t>&lt; 0.001</w:t>
            </w:r>
          </w:p>
        </w:tc>
      </w:tr>
    </w:tbl>
    <w:p w14:paraId="6299B5A0">
      <w:pPr>
        <w:keepNext w:val="0"/>
        <w:spacing w:before="0" w:after="40" w:line="220" w:lineRule="auto"/>
        <w:jc w:val="left"/>
      </w:pPr>
      <w:r>
        <w:rPr>
          <w:rFonts w:ascii="Times New Roman" w:hAnsi="Times New Roman" w:eastAsia="Times New Roman" w:cs="Times New Roman"/>
          <w:b w:val="0"/>
          <w:bCs w:val="0"/>
          <w:i w:val="0"/>
          <w:iCs w:val="0"/>
          <w:sz w:val="17"/>
          <w:szCs w:val="17"/>
        </w:rPr>
        <w:t xml:space="preserve">Values are median (interquartile range) for continuous variables and </w:t>
      </w:r>
      <w:r>
        <w:rPr>
          <w:rFonts w:ascii="Times New Roman" w:hAnsi="Times New Roman" w:eastAsia="Times New Roman" w:cs="Times New Roman"/>
          <w:b w:val="0"/>
          <w:bCs w:val="0"/>
          <w:i/>
          <w:iCs/>
          <w:sz w:val="17"/>
          <w:szCs w:val="17"/>
        </w:rPr>
        <w:t>n</w:t>
      </w:r>
      <w:r>
        <w:rPr>
          <w:rFonts w:ascii="Times New Roman" w:hAnsi="Times New Roman" w:eastAsia="Times New Roman" w:cs="Times New Roman"/>
          <w:b w:val="0"/>
          <w:bCs w:val="0"/>
          <w:i w:val="0"/>
          <w:iCs w:val="0"/>
          <w:sz w:val="17"/>
          <w:szCs w:val="17"/>
        </w:rPr>
        <w:t>/N (%) for categorical variables. All 1,482 men of the final common cohort are compared by the primary outcome.</w:t>
      </w:r>
    </w:p>
    <w:p w14:paraId="115D20C5">
      <w:pPr>
        <w:keepNext w:val="0"/>
        <w:spacing w:before="0" w:after="40" w:line="220" w:lineRule="auto"/>
        <w:jc w:val="left"/>
      </w:pPr>
      <w:r>
        <w:rPr>
          <w:rFonts w:ascii="Times New Roman" w:hAnsi="Times New Roman" w:eastAsia="Times New Roman" w:cs="Times New Roman"/>
          <w:b w:val="0"/>
          <w:bCs w:val="0"/>
          <w:i w:val="0"/>
          <w:iCs w:val="0"/>
          <w:sz w:val="17"/>
          <w:szCs w:val="17"/>
          <w:vertAlign w:val="superscript"/>
        </w:rPr>
        <w:t>a</w:t>
      </w:r>
      <w:r>
        <w:rPr>
          <w:rFonts w:ascii="Times New Roman" w:hAnsi="Times New Roman" w:eastAsia="Times New Roman" w:cs="Times New Roman"/>
          <w:b w:val="0"/>
          <w:bCs w:val="0"/>
          <w:i w:val="0"/>
          <w:iCs w:val="0"/>
          <w:sz w:val="17"/>
          <w:szCs w:val="17"/>
        </w:rPr>
        <w:t xml:space="preserve">Available for 1,475 men. </w:t>
      </w:r>
      <w:r>
        <w:rPr>
          <w:rFonts w:ascii="Times New Roman" w:hAnsi="Times New Roman" w:eastAsia="Times New Roman" w:cs="Times New Roman"/>
          <w:b w:val="0"/>
          <w:bCs w:val="0"/>
          <w:i w:val="0"/>
          <w:iCs w:val="0"/>
          <w:sz w:val="17"/>
          <w:szCs w:val="17"/>
          <w:vertAlign w:val="superscript"/>
        </w:rPr>
        <w:t>b</w:t>
      </w:r>
      <w:r>
        <w:rPr>
          <w:rFonts w:ascii="Times New Roman" w:hAnsi="Times New Roman" w:eastAsia="Times New Roman" w:cs="Times New Roman"/>
          <w:b w:val="0"/>
          <w:bCs w:val="0"/>
          <w:i w:val="0"/>
          <w:iCs w:val="0"/>
          <w:sz w:val="17"/>
          <w:szCs w:val="17"/>
        </w:rPr>
        <w:t>Available for 1,467 men.</w:t>
      </w:r>
    </w:p>
    <w:p w14:paraId="275E31EF">
      <w:pPr>
        <w:keepNext w:val="0"/>
        <w:spacing w:before="0" w:after="40" w:line="220" w:lineRule="auto"/>
        <w:jc w:val="left"/>
      </w:pP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values are from Mann–Whitney or chi-squared tests (Fisher exact test where an expected count was below five) and are descriptive: no covariate adjustment and no correction for multiplicity were applied, because this table characterises the cohort rather than testing the study hypothesis. Men with a high DFI were older and had longer abstinence, lower progressive and total motility and larger seminal vesicles by every measurement, whereas semen volume and varicocele did not differ. Sperm concentration and total sperm number differed only slightly, and in the direction opposite to that of the motility measures.</w:t>
      </w:r>
    </w:p>
    <w:p w14:paraId="39D1FF06">
      <w:pPr>
        <w:keepNext w:val="0"/>
        <w:spacing w:before="0" w:after="40" w:line="220" w:lineRule="auto"/>
        <w:jc w:val="left"/>
      </w:pPr>
      <w:r>
        <w:rPr>
          <w:rFonts w:ascii="Times New Roman" w:hAnsi="Times New Roman" w:eastAsia="Times New Roman" w:cs="Times New Roman"/>
          <w:b w:val="0"/>
          <w:bCs w:val="0"/>
          <w:i w:val="0"/>
          <w:iCs w:val="0"/>
          <w:sz w:val="17"/>
          <w:szCs w:val="17"/>
        </w:rPr>
        <w:t>DFI, sperm DNA fragmentation index.</w:t>
      </w:r>
    </w:p>
    <w:p w14:paraId="6D880C5E">
      <w:r>
        <w:br w:type="page"/>
      </w:r>
    </w:p>
    <w:p w14:paraId="50C09AA8">
      <w:pPr>
        <w:keepNext/>
        <w:spacing w:before="0" w:after="100" w:line="240" w:lineRule="auto"/>
        <w:jc w:val="left"/>
      </w:pPr>
      <w:r>
        <w:rPr>
          <w:rFonts w:ascii="Times New Roman" w:hAnsi="Times New Roman" w:eastAsia="Times New Roman" w:cs="Times New Roman"/>
          <w:b/>
          <w:bCs/>
          <w:i w:val="0"/>
          <w:iCs w:val="0"/>
          <w:sz w:val="22"/>
          <w:szCs w:val="22"/>
        </w:rPr>
        <w:t>Supplementary Table S3. Non-linearity of the association between bilateral total seminal-vesicle volume and DFI ≥ 30%</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800"/>
        <w:gridCol w:w="3400"/>
        <w:gridCol w:w="3438"/>
      </w:tblGrid>
      <w:tr w14:paraId="69412E3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800" w:type="dxa"/>
            <w:tcBorders>
              <w:top w:val="single" w:sz="8" w:color="000000"/>
              <w:bottom w:val="single" w:sz="8" w:color="000000"/>
            </w:tcBorders>
            <w:tcMar>
              <w:top w:w="20" w:type="dxa"/>
              <w:left w:w="80" w:type="dxa"/>
              <w:bottom w:w="20" w:type="dxa"/>
              <w:right w:w="80" w:type="dxa"/>
            </w:tcMar>
            <w:vAlign w:val="center"/>
          </w:tcPr>
          <w:p w14:paraId="2C3F2316">
            <w:pPr>
              <w:spacing w:before="0" w:after="0" w:line="240" w:lineRule="auto"/>
              <w:jc w:val="left"/>
            </w:pPr>
            <w:r>
              <w:rPr>
                <w:rFonts w:ascii="Arial" w:hAnsi="Arial" w:eastAsia="Arial" w:cs="Times New Roman"/>
                <w:b/>
                <w:bCs/>
                <w:i w:val="0"/>
                <w:iCs w:val="0"/>
                <w:sz w:val="17"/>
                <w:szCs w:val="18"/>
              </w:rPr>
              <w:t>Percentile of volume</w:t>
            </w:r>
          </w:p>
        </w:tc>
        <w:tc>
          <w:tcPr>
            <w:tcW w:w="3400" w:type="dxa"/>
            <w:tcBorders>
              <w:top w:val="single" w:sz="8" w:color="000000"/>
              <w:bottom w:val="single" w:sz="8" w:color="000000"/>
            </w:tcBorders>
            <w:tcMar>
              <w:top w:w="20" w:type="dxa"/>
              <w:left w:w="80" w:type="dxa"/>
              <w:bottom w:w="20" w:type="dxa"/>
              <w:right w:w="80" w:type="dxa"/>
            </w:tcMar>
            <w:vAlign w:val="center"/>
          </w:tcPr>
          <w:p w14:paraId="6B217EF1">
            <w:pPr>
              <w:spacing w:before="0" w:after="0" w:line="240" w:lineRule="auto"/>
              <w:jc w:val="left"/>
            </w:pPr>
            <w:r>
              <w:rPr>
                <w:rFonts w:ascii="Arial" w:hAnsi="Arial" w:eastAsia="Arial" w:cs="Times New Roman"/>
                <w:b/>
                <w:bCs/>
                <w:i w:val="0"/>
                <w:iCs w:val="0"/>
                <w:sz w:val="17"/>
                <w:szCs w:val="18"/>
              </w:rPr>
              <w:t>Bilateral total seminal-vesicle volume (mL)</w:t>
            </w:r>
          </w:p>
        </w:tc>
        <w:tc>
          <w:tcPr>
            <w:tcW w:w="3438" w:type="dxa"/>
            <w:tcBorders>
              <w:top w:val="single" w:sz="8" w:color="000000"/>
              <w:bottom w:val="single" w:sz="8" w:color="000000"/>
            </w:tcBorders>
            <w:tcMar>
              <w:top w:w="20" w:type="dxa"/>
              <w:left w:w="80" w:type="dxa"/>
              <w:bottom w:w="20" w:type="dxa"/>
              <w:right w:w="80" w:type="dxa"/>
            </w:tcMar>
            <w:vAlign w:val="center"/>
          </w:tcPr>
          <w:p w14:paraId="477161FA">
            <w:pPr>
              <w:spacing w:before="0" w:after="0" w:line="240" w:lineRule="auto"/>
              <w:jc w:val="left"/>
            </w:pPr>
            <w:r>
              <w:rPr>
                <w:rFonts w:ascii="Arial" w:hAnsi="Arial" w:eastAsia="Arial" w:cs="Times New Roman"/>
                <w:b/>
                <w:bCs/>
                <w:i w:val="0"/>
                <w:iCs w:val="0"/>
                <w:sz w:val="17"/>
                <w:szCs w:val="18"/>
              </w:rPr>
              <w:t>Predicted probability of DFI ≥ 30%</w:t>
            </w:r>
          </w:p>
        </w:tc>
      </w:tr>
      <w:tr w14:paraId="106804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53ED8145">
            <w:pPr>
              <w:spacing w:before="0" w:after="0" w:line="240" w:lineRule="auto"/>
              <w:jc w:val="left"/>
            </w:pPr>
            <w:r>
              <w:rPr>
                <w:rFonts w:ascii="Arial" w:hAnsi="Arial" w:eastAsia="Arial" w:cs="Times New Roman"/>
                <w:b w:val="0"/>
                <w:bCs w:val="0"/>
                <w:i w:val="0"/>
                <w:iCs w:val="0"/>
                <w:sz w:val="17"/>
                <w:szCs w:val="18"/>
              </w:rPr>
              <w:t>10th</w:t>
            </w:r>
          </w:p>
        </w:tc>
        <w:tc>
          <w:tcPr>
            <w:tcW w:w="3400" w:type="dxa"/>
            <w:tcBorders/>
            <w:tcMar>
              <w:top w:w="20" w:type="dxa"/>
              <w:left w:w="80" w:type="dxa"/>
              <w:bottom w:w="20" w:type="dxa"/>
              <w:right w:w="80" w:type="dxa"/>
            </w:tcMar>
            <w:vAlign w:val="center"/>
          </w:tcPr>
          <w:p w14:paraId="69FC460C">
            <w:pPr>
              <w:spacing w:before="0" w:after="0" w:line="240" w:lineRule="auto"/>
              <w:jc w:val="left"/>
            </w:pPr>
            <w:r>
              <w:rPr>
                <w:rFonts w:ascii="Arial" w:hAnsi="Arial" w:eastAsia="Arial" w:cs="Times New Roman"/>
                <w:b w:val="0"/>
                <w:bCs w:val="0"/>
                <w:i w:val="0"/>
                <w:iCs w:val="0"/>
                <w:sz w:val="17"/>
                <w:szCs w:val="18"/>
              </w:rPr>
              <w:t>2.20</w:t>
            </w:r>
          </w:p>
        </w:tc>
        <w:tc>
          <w:tcPr>
            <w:tcW w:w="3438" w:type="dxa"/>
            <w:tcBorders/>
            <w:tcMar>
              <w:top w:w="20" w:type="dxa"/>
              <w:left w:w="80" w:type="dxa"/>
              <w:bottom w:w="20" w:type="dxa"/>
              <w:right w:w="80" w:type="dxa"/>
            </w:tcMar>
            <w:vAlign w:val="center"/>
          </w:tcPr>
          <w:p w14:paraId="386B4A56">
            <w:pPr>
              <w:spacing w:before="0" w:after="0" w:line="240" w:lineRule="auto"/>
              <w:jc w:val="left"/>
            </w:pPr>
            <w:r>
              <w:rPr>
                <w:rFonts w:ascii="Arial" w:hAnsi="Arial" w:eastAsia="Arial" w:cs="Times New Roman"/>
                <w:b w:val="0"/>
                <w:bCs w:val="0"/>
                <w:i w:val="0"/>
                <w:iCs w:val="0"/>
                <w:sz w:val="17"/>
                <w:szCs w:val="18"/>
              </w:rPr>
              <w:t>0.09</w:t>
            </w:r>
          </w:p>
        </w:tc>
      </w:tr>
      <w:tr w14:paraId="073297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37B1C044">
            <w:pPr>
              <w:spacing w:before="0" w:after="0" w:line="240" w:lineRule="auto"/>
              <w:jc w:val="left"/>
            </w:pPr>
            <w:r>
              <w:rPr>
                <w:rFonts w:ascii="Arial" w:hAnsi="Arial" w:eastAsia="Arial" w:cs="Times New Roman"/>
                <w:b w:val="0"/>
                <w:bCs w:val="0"/>
                <w:i w:val="0"/>
                <w:iCs w:val="0"/>
                <w:sz w:val="17"/>
                <w:szCs w:val="18"/>
              </w:rPr>
              <w:t>25th</w:t>
            </w:r>
          </w:p>
        </w:tc>
        <w:tc>
          <w:tcPr>
            <w:tcW w:w="3400" w:type="dxa"/>
            <w:tcBorders/>
            <w:tcMar>
              <w:top w:w="20" w:type="dxa"/>
              <w:left w:w="80" w:type="dxa"/>
              <w:bottom w:w="20" w:type="dxa"/>
              <w:right w:w="80" w:type="dxa"/>
            </w:tcMar>
            <w:vAlign w:val="center"/>
          </w:tcPr>
          <w:p w14:paraId="71C8C455">
            <w:pPr>
              <w:spacing w:before="0" w:after="0" w:line="240" w:lineRule="auto"/>
              <w:jc w:val="left"/>
            </w:pPr>
            <w:r>
              <w:rPr>
                <w:rFonts w:ascii="Arial" w:hAnsi="Arial" w:eastAsia="Arial" w:cs="Times New Roman"/>
                <w:b w:val="0"/>
                <w:bCs w:val="0"/>
                <w:i w:val="0"/>
                <w:iCs w:val="0"/>
                <w:sz w:val="17"/>
                <w:szCs w:val="18"/>
              </w:rPr>
              <w:t>2.85</w:t>
            </w:r>
          </w:p>
        </w:tc>
        <w:tc>
          <w:tcPr>
            <w:tcW w:w="3438" w:type="dxa"/>
            <w:tcBorders/>
            <w:tcMar>
              <w:top w:w="20" w:type="dxa"/>
              <w:left w:w="80" w:type="dxa"/>
              <w:bottom w:w="20" w:type="dxa"/>
              <w:right w:w="80" w:type="dxa"/>
            </w:tcMar>
            <w:vAlign w:val="center"/>
          </w:tcPr>
          <w:p w14:paraId="622A6FE7">
            <w:pPr>
              <w:spacing w:before="0" w:after="0" w:line="240" w:lineRule="auto"/>
              <w:jc w:val="left"/>
            </w:pPr>
            <w:r>
              <w:rPr>
                <w:rFonts w:ascii="Arial" w:hAnsi="Arial" w:eastAsia="Arial" w:cs="Times New Roman"/>
                <w:b w:val="0"/>
                <w:bCs w:val="0"/>
                <w:i w:val="0"/>
                <w:iCs w:val="0"/>
                <w:sz w:val="17"/>
                <w:szCs w:val="18"/>
              </w:rPr>
              <w:t>0.09</w:t>
            </w:r>
          </w:p>
        </w:tc>
      </w:tr>
      <w:tr w14:paraId="7342574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73F9FA2F">
            <w:pPr>
              <w:spacing w:before="0" w:after="0" w:line="240" w:lineRule="auto"/>
              <w:jc w:val="left"/>
            </w:pPr>
            <w:r>
              <w:rPr>
                <w:rFonts w:ascii="Arial" w:hAnsi="Arial" w:eastAsia="Arial" w:cs="Times New Roman"/>
                <w:b w:val="0"/>
                <w:bCs w:val="0"/>
                <w:i w:val="0"/>
                <w:iCs w:val="0"/>
                <w:sz w:val="17"/>
                <w:szCs w:val="18"/>
              </w:rPr>
              <w:t>50th</w:t>
            </w:r>
          </w:p>
        </w:tc>
        <w:tc>
          <w:tcPr>
            <w:tcW w:w="3400" w:type="dxa"/>
            <w:tcBorders/>
            <w:tcMar>
              <w:top w:w="20" w:type="dxa"/>
              <w:left w:w="80" w:type="dxa"/>
              <w:bottom w:w="20" w:type="dxa"/>
              <w:right w:w="80" w:type="dxa"/>
            </w:tcMar>
            <w:vAlign w:val="center"/>
          </w:tcPr>
          <w:p w14:paraId="31D385FD">
            <w:pPr>
              <w:spacing w:before="0" w:after="0" w:line="240" w:lineRule="auto"/>
              <w:jc w:val="left"/>
            </w:pPr>
            <w:r>
              <w:rPr>
                <w:rFonts w:ascii="Arial" w:hAnsi="Arial" w:eastAsia="Arial" w:cs="Times New Roman"/>
                <w:b w:val="0"/>
                <w:bCs w:val="0"/>
                <w:i w:val="0"/>
                <w:iCs w:val="0"/>
                <w:sz w:val="17"/>
                <w:szCs w:val="18"/>
              </w:rPr>
              <w:t>3.82</w:t>
            </w:r>
          </w:p>
        </w:tc>
        <w:tc>
          <w:tcPr>
            <w:tcW w:w="3438" w:type="dxa"/>
            <w:tcBorders/>
            <w:tcMar>
              <w:top w:w="20" w:type="dxa"/>
              <w:left w:w="80" w:type="dxa"/>
              <w:bottom w:w="20" w:type="dxa"/>
              <w:right w:w="80" w:type="dxa"/>
            </w:tcMar>
            <w:vAlign w:val="center"/>
          </w:tcPr>
          <w:p w14:paraId="56F51E78">
            <w:pPr>
              <w:spacing w:before="0" w:after="0" w:line="240" w:lineRule="auto"/>
              <w:jc w:val="left"/>
            </w:pPr>
            <w:r>
              <w:rPr>
                <w:rFonts w:ascii="Arial" w:hAnsi="Arial" w:eastAsia="Arial" w:cs="Times New Roman"/>
                <w:b w:val="0"/>
                <w:bCs w:val="0"/>
                <w:i w:val="0"/>
                <w:iCs w:val="0"/>
                <w:sz w:val="17"/>
                <w:szCs w:val="18"/>
              </w:rPr>
              <w:t>0.12</w:t>
            </w:r>
          </w:p>
        </w:tc>
      </w:tr>
      <w:tr w14:paraId="571D608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090738D7">
            <w:pPr>
              <w:spacing w:before="0" w:after="0" w:line="240" w:lineRule="auto"/>
              <w:jc w:val="left"/>
            </w:pPr>
            <w:r>
              <w:rPr>
                <w:rFonts w:ascii="Arial" w:hAnsi="Arial" w:eastAsia="Arial" w:cs="Times New Roman"/>
                <w:b w:val="0"/>
                <w:bCs w:val="0"/>
                <w:i w:val="0"/>
                <w:iCs w:val="0"/>
                <w:sz w:val="17"/>
                <w:szCs w:val="18"/>
              </w:rPr>
              <w:t>75th</w:t>
            </w:r>
          </w:p>
        </w:tc>
        <w:tc>
          <w:tcPr>
            <w:tcW w:w="3400" w:type="dxa"/>
            <w:tcBorders/>
            <w:tcMar>
              <w:top w:w="20" w:type="dxa"/>
              <w:left w:w="80" w:type="dxa"/>
              <w:bottom w:w="20" w:type="dxa"/>
              <w:right w:w="80" w:type="dxa"/>
            </w:tcMar>
            <w:vAlign w:val="center"/>
          </w:tcPr>
          <w:p w14:paraId="6CCB357F">
            <w:pPr>
              <w:spacing w:before="0" w:after="0" w:line="240" w:lineRule="auto"/>
              <w:jc w:val="left"/>
            </w:pPr>
            <w:r>
              <w:rPr>
                <w:rFonts w:ascii="Arial" w:hAnsi="Arial" w:eastAsia="Arial" w:cs="Times New Roman"/>
                <w:b w:val="0"/>
                <w:bCs w:val="0"/>
                <w:i w:val="0"/>
                <w:iCs w:val="0"/>
                <w:sz w:val="17"/>
                <w:szCs w:val="18"/>
              </w:rPr>
              <w:t>5.02</w:t>
            </w:r>
          </w:p>
        </w:tc>
        <w:tc>
          <w:tcPr>
            <w:tcW w:w="3438" w:type="dxa"/>
            <w:tcBorders/>
            <w:tcMar>
              <w:top w:w="20" w:type="dxa"/>
              <w:left w:w="80" w:type="dxa"/>
              <w:bottom w:w="20" w:type="dxa"/>
              <w:right w:w="80" w:type="dxa"/>
            </w:tcMar>
            <w:vAlign w:val="center"/>
          </w:tcPr>
          <w:p w14:paraId="65F92644">
            <w:pPr>
              <w:spacing w:before="0" w:after="0" w:line="240" w:lineRule="auto"/>
              <w:jc w:val="left"/>
            </w:pPr>
            <w:r>
              <w:rPr>
                <w:rFonts w:ascii="Arial" w:hAnsi="Arial" w:eastAsia="Arial" w:cs="Times New Roman"/>
                <w:b w:val="0"/>
                <w:bCs w:val="0"/>
                <w:i w:val="0"/>
                <w:iCs w:val="0"/>
                <w:sz w:val="17"/>
                <w:szCs w:val="18"/>
              </w:rPr>
              <w:t>0.17</w:t>
            </w:r>
          </w:p>
        </w:tc>
      </w:tr>
      <w:tr w14:paraId="4759161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35AFA4AD">
            <w:pPr>
              <w:spacing w:before="0" w:after="0" w:line="240" w:lineRule="auto"/>
              <w:jc w:val="left"/>
            </w:pPr>
            <w:r>
              <w:rPr>
                <w:rFonts w:ascii="Arial" w:hAnsi="Arial" w:eastAsia="Arial" w:cs="Times New Roman"/>
                <w:b w:val="0"/>
                <w:bCs w:val="0"/>
                <w:i w:val="0"/>
                <w:iCs w:val="0"/>
                <w:sz w:val="17"/>
                <w:szCs w:val="18"/>
              </w:rPr>
              <w:t>90th</w:t>
            </w:r>
          </w:p>
        </w:tc>
        <w:tc>
          <w:tcPr>
            <w:tcW w:w="3400" w:type="dxa"/>
            <w:tcBorders/>
            <w:tcMar>
              <w:top w:w="20" w:type="dxa"/>
              <w:left w:w="80" w:type="dxa"/>
              <w:bottom w:w="20" w:type="dxa"/>
              <w:right w:w="80" w:type="dxa"/>
            </w:tcMar>
            <w:vAlign w:val="center"/>
          </w:tcPr>
          <w:p w14:paraId="3AAD85FB">
            <w:pPr>
              <w:spacing w:before="0" w:after="0" w:line="240" w:lineRule="auto"/>
              <w:jc w:val="left"/>
            </w:pPr>
            <w:r>
              <w:rPr>
                <w:rFonts w:ascii="Arial" w:hAnsi="Arial" w:eastAsia="Arial" w:cs="Times New Roman"/>
                <w:b w:val="0"/>
                <w:bCs w:val="0"/>
                <w:i w:val="0"/>
                <w:iCs w:val="0"/>
                <w:sz w:val="17"/>
                <w:szCs w:val="18"/>
              </w:rPr>
              <w:t>6.59</w:t>
            </w:r>
          </w:p>
        </w:tc>
        <w:tc>
          <w:tcPr>
            <w:tcW w:w="3438" w:type="dxa"/>
            <w:tcBorders/>
            <w:tcMar>
              <w:top w:w="20" w:type="dxa"/>
              <w:left w:w="80" w:type="dxa"/>
              <w:bottom w:w="20" w:type="dxa"/>
              <w:right w:w="80" w:type="dxa"/>
            </w:tcMar>
            <w:vAlign w:val="center"/>
          </w:tcPr>
          <w:p w14:paraId="47D0329F">
            <w:pPr>
              <w:spacing w:before="0" w:after="0" w:line="240" w:lineRule="auto"/>
              <w:jc w:val="left"/>
            </w:pPr>
            <w:r>
              <w:rPr>
                <w:rFonts w:ascii="Arial" w:hAnsi="Arial" w:eastAsia="Arial" w:cs="Times New Roman"/>
                <w:b w:val="0"/>
                <w:bCs w:val="0"/>
                <w:i w:val="0"/>
                <w:iCs w:val="0"/>
                <w:sz w:val="17"/>
                <w:szCs w:val="18"/>
              </w:rPr>
              <w:t>0.26</w:t>
            </w:r>
          </w:p>
        </w:tc>
      </w:tr>
      <w:tr w14:paraId="668D02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bottom w:val="single" w:sz="8" w:color="000000"/>
            </w:tcBorders>
            <w:tcMar>
              <w:top w:w="20" w:type="dxa"/>
              <w:left w:w="80" w:type="dxa"/>
              <w:bottom w:w="20" w:type="dxa"/>
              <w:right w:w="80" w:type="dxa"/>
            </w:tcMar>
            <w:vAlign w:val="center"/>
          </w:tcPr>
          <w:p w14:paraId="3A013495">
            <w:pPr>
              <w:spacing w:before="0" w:after="0" w:line="240" w:lineRule="auto"/>
              <w:jc w:val="left"/>
            </w:pPr>
            <w:r>
              <w:rPr>
                <w:rFonts w:ascii="Arial" w:hAnsi="Arial" w:eastAsia="Arial" w:cs="Times New Roman"/>
                <w:b w:val="0"/>
                <w:bCs w:val="0"/>
                <w:i w:val="0"/>
                <w:iCs w:val="0"/>
                <w:sz w:val="17"/>
                <w:szCs w:val="18"/>
              </w:rPr>
              <w:t>95th</w:t>
            </w:r>
          </w:p>
        </w:tc>
        <w:tc>
          <w:tcPr>
            <w:tcW w:w="3400" w:type="dxa"/>
            <w:tcBorders>
              <w:bottom w:val="single" w:sz="8" w:color="000000"/>
            </w:tcBorders>
            <w:tcMar>
              <w:top w:w="20" w:type="dxa"/>
              <w:left w:w="80" w:type="dxa"/>
              <w:bottom w:w="20" w:type="dxa"/>
              <w:right w:w="80" w:type="dxa"/>
            </w:tcMar>
            <w:vAlign w:val="center"/>
          </w:tcPr>
          <w:p w14:paraId="6F22436B">
            <w:pPr>
              <w:spacing w:before="0" w:after="0" w:line="240" w:lineRule="auto"/>
              <w:jc w:val="left"/>
            </w:pPr>
            <w:r>
              <w:rPr>
                <w:rFonts w:ascii="Arial" w:hAnsi="Arial" w:eastAsia="Arial" w:cs="Times New Roman"/>
                <w:b w:val="0"/>
                <w:bCs w:val="0"/>
                <w:i w:val="0"/>
                <w:iCs w:val="0"/>
                <w:sz w:val="17"/>
                <w:szCs w:val="18"/>
              </w:rPr>
              <w:t>8.93</w:t>
            </w:r>
          </w:p>
        </w:tc>
        <w:tc>
          <w:tcPr>
            <w:tcW w:w="3438" w:type="dxa"/>
            <w:tcBorders>
              <w:bottom w:val="single" w:sz="8" w:color="000000"/>
            </w:tcBorders>
            <w:tcMar>
              <w:top w:w="20" w:type="dxa"/>
              <w:left w:w="80" w:type="dxa"/>
              <w:bottom w:w="20" w:type="dxa"/>
              <w:right w:w="80" w:type="dxa"/>
            </w:tcMar>
            <w:vAlign w:val="center"/>
          </w:tcPr>
          <w:p w14:paraId="1186599C">
            <w:pPr>
              <w:spacing w:before="0" w:after="0" w:line="240" w:lineRule="auto"/>
              <w:jc w:val="left"/>
            </w:pPr>
            <w:r>
              <w:rPr>
                <w:rFonts w:ascii="Arial" w:hAnsi="Arial" w:eastAsia="Arial" w:cs="Times New Roman"/>
                <w:b w:val="0"/>
                <w:bCs w:val="0"/>
                <w:i w:val="0"/>
                <w:iCs w:val="0"/>
                <w:sz w:val="17"/>
                <w:szCs w:val="18"/>
              </w:rPr>
              <w:t>0.39</w:t>
            </w:r>
          </w:p>
        </w:tc>
      </w:tr>
    </w:tbl>
    <w:p w14:paraId="469137B6">
      <w:pPr>
        <w:keepNext w:val="0"/>
        <w:spacing w:before="0" w:after="40" w:line="220" w:lineRule="auto"/>
        <w:jc w:val="left"/>
      </w:pPr>
      <w:r>
        <w:rPr>
          <w:rFonts w:ascii="Times New Roman" w:hAnsi="Times New Roman" w:eastAsia="Times New Roman" w:cs="Times New Roman"/>
          <w:b w:val="0"/>
          <w:bCs w:val="0"/>
          <w:i w:val="0"/>
          <w:iCs w:val="0"/>
          <w:sz w:val="17"/>
          <w:szCs w:val="17"/>
        </w:rPr>
        <w:t>A centred natural cubic spline (three degrees of freedom) for bilateral total volume was compared with linear and null models in the common cohort (n = 1,482), with adjustment for age, varicocele and centred splines for both abstinence intervals. The overall association was strong (</w:t>
      </w: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&lt; 0.001) and departed from linearity (</w:t>
      </w: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 0.006).</w:t>
      </w:r>
    </w:p>
    <w:p w14:paraId="31B79D5B">
      <w:pPr>
        <w:keepNext w:val="0"/>
        <w:spacing w:before="0" w:after="40" w:line="220" w:lineRule="auto"/>
        <w:jc w:val="left"/>
      </w:pPr>
      <w:r>
        <w:rPr>
          <w:rFonts w:ascii="Times New Roman" w:hAnsi="Times New Roman" w:eastAsia="Times New Roman" w:cs="Times New Roman"/>
          <w:b w:val="0"/>
          <w:bCs w:val="0"/>
          <w:i w:val="0"/>
          <w:iCs w:val="0"/>
          <w:sz w:val="17"/>
          <w:szCs w:val="17"/>
        </w:rPr>
        <w:t>Predictions set varicocele to absent and all other covariates to their median values. They are conditional, in-sample descriptive estimates and are not externally calibrated risks.</w:t>
      </w:r>
    </w:p>
    <w:p w14:paraId="3D25B622">
      <w:pPr>
        <w:keepNext w:val="0"/>
        <w:spacing w:before="0" w:after="40" w:line="220" w:lineRule="auto"/>
        <w:jc w:val="left"/>
      </w:pPr>
      <w:r>
        <w:rPr>
          <w:rFonts w:ascii="Times New Roman" w:hAnsi="Times New Roman" w:eastAsia="Times New Roman" w:cs="Times New Roman"/>
          <w:b w:val="0"/>
          <w:bCs w:val="0"/>
          <w:i w:val="0"/>
          <w:iCs w:val="0"/>
          <w:sz w:val="17"/>
          <w:szCs w:val="17"/>
        </w:rPr>
        <w:t>DFI, sperm DNA fragmentation index.</w:t>
      </w:r>
    </w:p>
    <w:p w14:paraId="097EE1FB">
      <w:r>
        <w:br w:type="page"/>
      </w:r>
    </w:p>
    <w:p w14:paraId="080A6343">
      <w:pPr>
        <w:keepNext/>
        <w:spacing w:before="0" w:after="100" w:line="240" w:lineRule="auto"/>
        <w:jc w:val="left"/>
      </w:pPr>
      <w:r>
        <w:rPr>
          <w:rFonts w:ascii="Times New Roman" w:hAnsi="Times New Roman" w:eastAsia="Times New Roman" w:cs="Times New Roman"/>
          <w:b/>
          <w:bCs/>
          <w:i w:val="0"/>
          <w:iCs w:val="0"/>
          <w:sz w:val="22"/>
          <w:szCs w:val="22"/>
        </w:rPr>
        <w:t>Supplementary Table S4. Head-to-head comparison of candidate seminal-vesicle measurements</w:t>
      </w:r>
    </w:p>
    <w:p w14:paraId="3F5C89AA">
      <w:pPr>
        <w:keepNext/>
        <w:spacing w:before="140" w:after="60" w:line="240" w:lineRule="auto"/>
        <w:jc w:val="left"/>
      </w:pPr>
      <w:r>
        <w:rPr>
          <w:rFonts w:ascii="Times New Roman" w:hAnsi="Times New Roman" w:eastAsia="Times New Roman" w:cs="Times New Roman"/>
          <w:b/>
          <w:bCs/>
          <w:i w:val="0"/>
          <w:iCs w:val="0"/>
          <w:sz w:val="18"/>
          <w:szCs w:val="18"/>
        </w:rPr>
        <w:t>(A) Continuous outcomes</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3238"/>
        <w:gridCol w:w="3200"/>
        <w:gridCol w:w="3200"/>
      </w:tblGrid>
      <w:tr w14:paraId="714A49F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3238" w:type="dxa"/>
            <w:tcBorders>
              <w:top w:val="single" w:sz="8" w:color="000000"/>
              <w:bottom w:val="single" w:sz="8" w:color="000000"/>
            </w:tcBorders>
            <w:tcMar>
              <w:top w:w="20" w:type="dxa"/>
              <w:left w:w="80" w:type="dxa"/>
              <w:bottom w:w="20" w:type="dxa"/>
              <w:right w:w="80" w:type="dxa"/>
            </w:tcMar>
            <w:vAlign w:val="center"/>
          </w:tcPr>
          <w:p w14:paraId="0987BDA9">
            <w:pPr>
              <w:spacing w:before="0" w:after="0" w:line="240" w:lineRule="auto"/>
              <w:jc w:val="left"/>
            </w:pPr>
            <w:r>
              <w:rPr>
                <w:rFonts w:ascii="Arial" w:hAnsi="Arial" w:eastAsia="Arial" w:cs="Times New Roman"/>
                <w:b/>
                <w:bCs/>
                <w:i w:val="0"/>
                <w:iCs w:val="0"/>
                <w:sz w:val="17"/>
                <w:szCs w:val="18"/>
              </w:rPr>
              <w:t>Measurement</w:t>
            </w:r>
          </w:p>
        </w:tc>
        <w:tc>
          <w:tcPr>
            <w:tcW w:w="3200" w:type="dxa"/>
            <w:tcBorders>
              <w:top w:val="single" w:sz="8" w:color="000000"/>
              <w:bottom w:val="single" w:sz="8" w:color="000000"/>
            </w:tcBorders>
            <w:tcMar>
              <w:top w:w="20" w:type="dxa"/>
              <w:left w:w="80" w:type="dxa"/>
              <w:bottom w:w="20" w:type="dxa"/>
              <w:right w:w="80" w:type="dxa"/>
            </w:tcMar>
            <w:vAlign w:val="center"/>
          </w:tcPr>
          <w:p w14:paraId="19E96170">
            <w:pPr>
              <w:spacing w:before="0" w:after="0" w:line="240" w:lineRule="auto"/>
              <w:jc w:val="left"/>
            </w:pPr>
            <w:r>
              <w:rPr>
                <w:rFonts w:ascii="Arial" w:hAnsi="Arial" w:eastAsia="Arial" w:cs="Times New Roman"/>
                <w:b/>
                <w:bCs/>
                <w:i w:val="0"/>
                <w:iCs w:val="0"/>
                <w:sz w:val="17"/>
                <w:szCs w:val="18"/>
              </w:rPr>
              <w:t>DFI, adjusted % difference per 1 SD (95% CI)</w:t>
            </w:r>
          </w:p>
        </w:tc>
        <w:tc>
          <w:tcPr>
            <w:tcW w:w="3200" w:type="dxa"/>
            <w:tcBorders>
              <w:top w:val="single" w:sz="8" w:color="000000"/>
              <w:bottom w:val="single" w:sz="8" w:color="000000"/>
            </w:tcBorders>
            <w:tcMar>
              <w:top w:w="20" w:type="dxa"/>
              <w:left w:w="80" w:type="dxa"/>
              <w:bottom w:w="20" w:type="dxa"/>
              <w:right w:w="80" w:type="dxa"/>
            </w:tcMar>
            <w:vAlign w:val="center"/>
          </w:tcPr>
          <w:p w14:paraId="7913EE28">
            <w:pPr>
              <w:spacing w:before="0" w:after="0" w:line="240" w:lineRule="auto"/>
              <w:jc w:val="left"/>
            </w:pPr>
            <w:r>
              <w:rPr>
                <w:rFonts w:ascii="Arial" w:hAnsi="Arial" w:eastAsia="Arial" w:cs="Times New Roman"/>
                <w:b/>
                <w:bCs/>
                <w:i w:val="0"/>
                <w:iCs w:val="0"/>
                <w:sz w:val="17"/>
                <w:szCs w:val="18"/>
              </w:rPr>
              <w:t>Progressive motility, adjusted % difference per 1 SD (95% CI)</w:t>
            </w:r>
          </w:p>
        </w:tc>
      </w:tr>
      <w:tr w14:paraId="7F30225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39E4AD2A">
            <w:pPr>
              <w:spacing w:before="0" w:after="0" w:line="240" w:lineRule="auto"/>
              <w:jc w:val="left"/>
            </w:pPr>
            <w:r>
              <w:rPr>
                <w:rFonts w:ascii="Arial" w:hAnsi="Arial" w:eastAsia="Arial" w:cs="Times New Roman"/>
                <w:b w:val="0"/>
                <w:bCs w:val="0"/>
                <w:i w:val="0"/>
                <w:iCs w:val="0"/>
                <w:sz w:val="17"/>
                <w:szCs w:val="18"/>
              </w:rPr>
              <w:t>Bilateral total volume</w:t>
            </w:r>
          </w:p>
        </w:tc>
        <w:tc>
          <w:tcPr>
            <w:tcW w:w="3200" w:type="dxa"/>
            <w:tcBorders/>
            <w:tcMar>
              <w:top w:w="20" w:type="dxa"/>
              <w:left w:w="80" w:type="dxa"/>
              <w:bottom w:w="20" w:type="dxa"/>
              <w:right w:w="80" w:type="dxa"/>
            </w:tcMar>
            <w:vAlign w:val="center"/>
          </w:tcPr>
          <w:p w14:paraId="526C5481">
            <w:pPr>
              <w:spacing w:before="0" w:after="0" w:line="240" w:lineRule="auto"/>
              <w:jc w:val="left"/>
            </w:pPr>
            <w:r>
              <w:rPr>
                <w:rFonts w:ascii="Arial" w:hAnsi="Arial" w:eastAsia="Arial" w:cs="Times New Roman"/>
                <w:b w:val="0"/>
                <w:bCs w:val="0"/>
                <w:i w:val="0"/>
                <w:iCs w:val="0"/>
                <w:sz w:val="17"/>
                <w:szCs w:val="18"/>
              </w:rPr>
              <w:t>+16.4 (+12.9 to +20.1)</w:t>
            </w:r>
          </w:p>
        </w:tc>
        <w:tc>
          <w:tcPr>
            <w:tcW w:w="3200" w:type="dxa"/>
            <w:tcBorders/>
            <w:tcMar>
              <w:top w:w="20" w:type="dxa"/>
              <w:left w:w="80" w:type="dxa"/>
              <w:bottom w:w="20" w:type="dxa"/>
              <w:right w:w="80" w:type="dxa"/>
            </w:tcMar>
            <w:vAlign w:val="center"/>
          </w:tcPr>
          <w:p w14:paraId="21C81747">
            <w:pPr>
              <w:spacing w:before="0" w:after="0" w:line="240" w:lineRule="auto"/>
              <w:jc w:val="left"/>
            </w:pPr>
            <w:r>
              <w:rPr>
                <w:rFonts w:ascii="Arial" w:hAnsi="Arial" w:eastAsia="Arial" w:cs="Times New Roman"/>
                <w:b w:val="0"/>
                <w:bCs w:val="0"/>
                <w:i w:val="0"/>
                <w:iCs w:val="0"/>
                <w:sz w:val="17"/>
                <w:szCs w:val="18"/>
              </w:rPr>
              <w:t>−17.0 (−20.7 to −13.2)</w:t>
            </w:r>
          </w:p>
        </w:tc>
      </w:tr>
      <w:tr w14:paraId="77A7A95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3968AC4A">
            <w:pPr>
              <w:spacing w:before="0" w:after="0" w:line="240" w:lineRule="auto"/>
              <w:jc w:val="left"/>
            </w:pPr>
            <w:r>
              <w:rPr>
                <w:rFonts w:ascii="Arial" w:hAnsi="Arial" w:eastAsia="Arial" w:cs="Times New Roman"/>
                <w:b w:val="0"/>
                <w:bCs w:val="0"/>
                <w:i w:val="0"/>
                <w:iCs w:val="0"/>
                <w:sz w:val="17"/>
                <w:szCs w:val="18"/>
              </w:rPr>
              <w:t>Mean per-side volume</w:t>
            </w:r>
            <w:r>
              <w:rPr>
                <w:rFonts w:ascii="Arial" w:hAnsi="Arial" w:eastAsia="Arial" w:cs="Times New Roman"/>
                <w:b w:val="0"/>
                <w:bCs w:val="0"/>
                <w:i w:val="0"/>
                <w:iCs w:val="0"/>
                <w:sz w:val="17"/>
                <w:szCs w:val="18"/>
                <w:vertAlign w:val="superscript"/>
              </w:rPr>
              <w:t>a</w:t>
            </w:r>
          </w:p>
        </w:tc>
        <w:tc>
          <w:tcPr>
            <w:tcW w:w="3200" w:type="dxa"/>
            <w:tcBorders/>
            <w:tcMar>
              <w:top w:w="20" w:type="dxa"/>
              <w:left w:w="80" w:type="dxa"/>
              <w:bottom w:w="20" w:type="dxa"/>
              <w:right w:w="80" w:type="dxa"/>
            </w:tcMar>
            <w:vAlign w:val="center"/>
          </w:tcPr>
          <w:p w14:paraId="536CABE7">
            <w:pPr>
              <w:spacing w:before="0" w:after="0" w:line="240" w:lineRule="auto"/>
              <w:jc w:val="left"/>
            </w:pPr>
            <w:r>
              <w:rPr>
                <w:rFonts w:ascii="Arial" w:hAnsi="Arial" w:eastAsia="Arial" w:cs="Times New Roman"/>
                <w:b w:val="0"/>
                <w:bCs w:val="0"/>
                <w:i w:val="0"/>
                <w:iCs w:val="0"/>
                <w:sz w:val="17"/>
                <w:szCs w:val="18"/>
              </w:rPr>
              <w:t>+16.4 (+12.9 to +20.1)</w:t>
            </w:r>
          </w:p>
        </w:tc>
        <w:tc>
          <w:tcPr>
            <w:tcW w:w="3200" w:type="dxa"/>
            <w:tcBorders/>
            <w:tcMar>
              <w:top w:w="20" w:type="dxa"/>
              <w:left w:w="80" w:type="dxa"/>
              <w:bottom w:w="20" w:type="dxa"/>
              <w:right w:w="80" w:type="dxa"/>
            </w:tcMar>
            <w:vAlign w:val="center"/>
          </w:tcPr>
          <w:p w14:paraId="2C8B91CA">
            <w:pPr>
              <w:spacing w:before="0" w:after="0" w:line="240" w:lineRule="auto"/>
              <w:jc w:val="left"/>
            </w:pPr>
            <w:r>
              <w:rPr>
                <w:rFonts w:ascii="Arial" w:hAnsi="Arial" w:eastAsia="Arial" w:cs="Times New Roman"/>
                <w:b w:val="0"/>
                <w:bCs w:val="0"/>
                <w:i w:val="0"/>
                <w:iCs w:val="0"/>
                <w:sz w:val="17"/>
                <w:szCs w:val="18"/>
              </w:rPr>
              <w:t>−17.0 (−20.7 to −13.2)</w:t>
            </w:r>
          </w:p>
        </w:tc>
      </w:tr>
      <w:tr w14:paraId="32BE70B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5F4BC97E">
            <w:pPr>
              <w:spacing w:before="0" w:after="0" w:line="240" w:lineRule="auto"/>
              <w:jc w:val="left"/>
            </w:pPr>
            <w:r>
              <w:rPr>
                <w:rFonts w:ascii="Arial" w:hAnsi="Arial" w:eastAsia="Arial" w:cs="Times New Roman"/>
                <w:b w:val="0"/>
                <w:bCs w:val="0"/>
                <w:i w:val="0"/>
                <w:iCs w:val="0"/>
                <w:sz w:val="17"/>
                <w:szCs w:val="18"/>
              </w:rPr>
              <w:t>Largest-side volume</w:t>
            </w:r>
          </w:p>
        </w:tc>
        <w:tc>
          <w:tcPr>
            <w:tcW w:w="3200" w:type="dxa"/>
            <w:tcBorders/>
            <w:tcMar>
              <w:top w:w="20" w:type="dxa"/>
              <w:left w:w="80" w:type="dxa"/>
              <w:bottom w:w="20" w:type="dxa"/>
              <w:right w:w="80" w:type="dxa"/>
            </w:tcMar>
            <w:vAlign w:val="center"/>
          </w:tcPr>
          <w:p w14:paraId="342E4EE5">
            <w:pPr>
              <w:spacing w:before="0" w:after="0" w:line="240" w:lineRule="auto"/>
              <w:jc w:val="left"/>
            </w:pPr>
            <w:r>
              <w:rPr>
                <w:rFonts w:ascii="Arial" w:hAnsi="Arial" w:eastAsia="Arial" w:cs="Times New Roman"/>
                <w:b w:val="0"/>
                <w:bCs w:val="0"/>
                <w:i w:val="0"/>
                <w:iCs w:val="0"/>
                <w:sz w:val="17"/>
                <w:szCs w:val="18"/>
              </w:rPr>
              <w:t>+16.0 (+12.4 to +19.6)</w:t>
            </w:r>
          </w:p>
        </w:tc>
        <w:tc>
          <w:tcPr>
            <w:tcW w:w="3200" w:type="dxa"/>
            <w:tcBorders/>
            <w:tcMar>
              <w:top w:w="20" w:type="dxa"/>
              <w:left w:w="80" w:type="dxa"/>
              <w:bottom w:w="20" w:type="dxa"/>
              <w:right w:w="80" w:type="dxa"/>
            </w:tcMar>
            <w:vAlign w:val="center"/>
          </w:tcPr>
          <w:p w14:paraId="26B965E1">
            <w:pPr>
              <w:spacing w:before="0" w:after="0" w:line="240" w:lineRule="auto"/>
              <w:jc w:val="left"/>
            </w:pPr>
            <w:r>
              <w:rPr>
                <w:rFonts w:ascii="Arial" w:hAnsi="Arial" w:eastAsia="Arial" w:cs="Times New Roman"/>
                <w:b w:val="0"/>
                <w:bCs w:val="0"/>
                <w:i w:val="0"/>
                <w:iCs w:val="0"/>
                <w:sz w:val="17"/>
                <w:szCs w:val="18"/>
              </w:rPr>
              <w:t>−16.3 (−20.0 to −12.5)</w:t>
            </w:r>
          </w:p>
        </w:tc>
      </w:tr>
      <w:tr w14:paraId="4F73B9B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0566F41E">
            <w:pPr>
              <w:spacing w:before="0" w:after="0" w:line="240" w:lineRule="auto"/>
              <w:jc w:val="left"/>
            </w:pPr>
            <w:r>
              <w:rPr>
                <w:rFonts w:ascii="Arial" w:hAnsi="Arial" w:eastAsia="Arial" w:cs="Times New Roman"/>
                <w:b w:val="0"/>
                <w:bCs w:val="0"/>
                <w:i w:val="0"/>
                <w:iCs w:val="0"/>
                <w:sz w:val="17"/>
                <w:szCs w:val="18"/>
              </w:rPr>
              <w:t>Smallest-side volume</w:t>
            </w:r>
          </w:p>
        </w:tc>
        <w:tc>
          <w:tcPr>
            <w:tcW w:w="3200" w:type="dxa"/>
            <w:tcBorders/>
            <w:tcMar>
              <w:top w:w="20" w:type="dxa"/>
              <w:left w:w="80" w:type="dxa"/>
              <w:bottom w:w="20" w:type="dxa"/>
              <w:right w:w="80" w:type="dxa"/>
            </w:tcMar>
            <w:vAlign w:val="center"/>
          </w:tcPr>
          <w:p w14:paraId="60765321">
            <w:pPr>
              <w:spacing w:before="0" w:after="0" w:line="240" w:lineRule="auto"/>
              <w:jc w:val="left"/>
            </w:pPr>
            <w:r>
              <w:rPr>
                <w:rFonts w:ascii="Arial" w:hAnsi="Arial" w:eastAsia="Arial" w:cs="Times New Roman"/>
                <w:b w:val="0"/>
                <w:bCs w:val="0"/>
                <w:i w:val="0"/>
                <w:iCs w:val="0"/>
                <w:sz w:val="17"/>
                <w:szCs w:val="18"/>
              </w:rPr>
              <w:t>+15.9 (+12.3 to +19.6)</w:t>
            </w:r>
          </w:p>
        </w:tc>
        <w:tc>
          <w:tcPr>
            <w:tcW w:w="3200" w:type="dxa"/>
            <w:tcBorders/>
            <w:tcMar>
              <w:top w:w="20" w:type="dxa"/>
              <w:left w:w="80" w:type="dxa"/>
              <w:bottom w:w="20" w:type="dxa"/>
              <w:right w:w="80" w:type="dxa"/>
            </w:tcMar>
            <w:vAlign w:val="center"/>
          </w:tcPr>
          <w:p w14:paraId="1D4C8148">
            <w:pPr>
              <w:spacing w:before="0" w:after="0" w:line="240" w:lineRule="auto"/>
              <w:jc w:val="left"/>
            </w:pPr>
            <w:r>
              <w:rPr>
                <w:rFonts w:ascii="Arial" w:hAnsi="Arial" w:eastAsia="Arial" w:cs="Times New Roman"/>
                <w:b w:val="0"/>
                <w:bCs w:val="0"/>
                <w:i w:val="0"/>
                <w:iCs w:val="0"/>
                <w:sz w:val="17"/>
                <w:szCs w:val="18"/>
              </w:rPr>
              <w:t>−17.0 (−20.7 to −13.2)</w:t>
            </w:r>
          </w:p>
        </w:tc>
      </w:tr>
      <w:tr w14:paraId="5AA4A3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0CE3B400">
            <w:pPr>
              <w:spacing w:before="0" w:after="0" w:line="240" w:lineRule="auto"/>
              <w:jc w:val="left"/>
            </w:pPr>
            <w:r>
              <w:rPr>
                <w:rFonts w:ascii="Arial" w:hAnsi="Arial" w:eastAsia="Arial" w:cs="Times New Roman"/>
                <w:b w:val="0"/>
                <w:bCs w:val="0"/>
                <w:i w:val="0"/>
                <w:iCs w:val="0"/>
                <w:sz w:val="17"/>
                <w:szCs w:val="18"/>
              </w:rPr>
              <w:t>Size index</w:t>
            </w:r>
          </w:p>
        </w:tc>
        <w:tc>
          <w:tcPr>
            <w:tcW w:w="3200" w:type="dxa"/>
            <w:tcBorders/>
            <w:tcMar>
              <w:top w:w="20" w:type="dxa"/>
              <w:left w:w="80" w:type="dxa"/>
              <w:bottom w:w="20" w:type="dxa"/>
              <w:right w:w="80" w:type="dxa"/>
            </w:tcMar>
            <w:vAlign w:val="center"/>
          </w:tcPr>
          <w:p w14:paraId="6D0AE33C">
            <w:pPr>
              <w:spacing w:before="0" w:after="0" w:line="240" w:lineRule="auto"/>
              <w:jc w:val="left"/>
            </w:pPr>
            <w:r>
              <w:rPr>
                <w:rFonts w:ascii="Arial" w:hAnsi="Arial" w:eastAsia="Arial" w:cs="Times New Roman"/>
                <w:b w:val="0"/>
                <w:bCs w:val="0"/>
                <w:i w:val="0"/>
                <w:iCs w:val="0"/>
                <w:sz w:val="17"/>
                <w:szCs w:val="18"/>
              </w:rPr>
              <w:t>+17.0 (+13.4 to +20.7)</w:t>
            </w:r>
          </w:p>
        </w:tc>
        <w:tc>
          <w:tcPr>
            <w:tcW w:w="3200" w:type="dxa"/>
            <w:tcBorders/>
            <w:tcMar>
              <w:top w:w="20" w:type="dxa"/>
              <w:left w:w="80" w:type="dxa"/>
              <w:bottom w:w="20" w:type="dxa"/>
              <w:right w:w="80" w:type="dxa"/>
            </w:tcMar>
            <w:vAlign w:val="center"/>
          </w:tcPr>
          <w:p w14:paraId="58207861">
            <w:pPr>
              <w:spacing w:before="0" w:after="0" w:line="240" w:lineRule="auto"/>
              <w:jc w:val="left"/>
            </w:pPr>
            <w:r>
              <w:rPr>
                <w:rFonts w:ascii="Arial" w:hAnsi="Arial" w:eastAsia="Arial" w:cs="Times New Roman"/>
                <w:b w:val="0"/>
                <w:bCs w:val="0"/>
                <w:i w:val="0"/>
                <w:iCs w:val="0"/>
                <w:sz w:val="17"/>
                <w:szCs w:val="18"/>
              </w:rPr>
              <w:t>−17.2 (−20.8 to −13.4)</w:t>
            </w:r>
          </w:p>
        </w:tc>
      </w:tr>
      <w:tr w14:paraId="0F5253D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22C4DFB2">
            <w:pPr>
              <w:spacing w:before="0" w:after="0" w:line="240" w:lineRule="auto"/>
              <w:jc w:val="left"/>
            </w:pPr>
            <w:r>
              <w:rPr>
                <w:rFonts w:ascii="Arial" w:hAnsi="Arial" w:eastAsia="Arial" w:cs="Times New Roman"/>
                <w:b w:val="0"/>
                <w:bCs w:val="0"/>
                <w:i w:val="0"/>
                <w:iCs w:val="0"/>
                <w:sz w:val="17"/>
                <w:szCs w:val="18"/>
              </w:rPr>
              <w:t>Mean anteroposterior diameter</w:t>
            </w:r>
          </w:p>
        </w:tc>
        <w:tc>
          <w:tcPr>
            <w:tcW w:w="3200" w:type="dxa"/>
            <w:tcBorders/>
            <w:tcMar>
              <w:top w:w="20" w:type="dxa"/>
              <w:left w:w="80" w:type="dxa"/>
              <w:bottom w:w="20" w:type="dxa"/>
              <w:right w:w="80" w:type="dxa"/>
            </w:tcMar>
            <w:vAlign w:val="center"/>
          </w:tcPr>
          <w:p w14:paraId="6E862EF1">
            <w:pPr>
              <w:spacing w:before="0" w:after="0" w:line="240" w:lineRule="auto"/>
              <w:jc w:val="left"/>
            </w:pPr>
            <w:r>
              <w:rPr>
                <w:rFonts w:ascii="Arial" w:hAnsi="Arial" w:eastAsia="Arial" w:cs="Times New Roman"/>
                <w:b w:val="0"/>
                <w:bCs w:val="0"/>
                <w:i w:val="0"/>
                <w:iCs w:val="0"/>
                <w:sz w:val="17"/>
                <w:szCs w:val="18"/>
              </w:rPr>
              <w:t>+16.0 (+12.4 to +19.6)</w:t>
            </w:r>
          </w:p>
        </w:tc>
        <w:tc>
          <w:tcPr>
            <w:tcW w:w="3200" w:type="dxa"/>
            <w:tcBorders/>
            <w:tcMar>
              <w:top w:w="20" w:type="dxa"/>
              <w:left w:w="80" w:type="dxa"/>
              <w:bottom w:w="20" w:type="dxa"/>
              <w:right w:w="80" w:type="dxa"/>
            </w:tcMar>
            <w:vAlign w:val="center"/>
          </w:tcPr>
          <w:p w14:paraId="66604BFE">
            <w:pPr>
              <w:spacing w:before="0" w:after="0" w:line="240" w:lineRule="auto"/>
              <w:jc w:val="left"/>
            </w:pPr>
            <w:r>
              <w:rPr>
                <w:rFonts w:ascii="Arial" w:hAnsi="Arial" w:eastAsia="Arial" w:cs="Times New Roman"/>
                <w:b w:val="0"/>
                <w:bCs w:val="0"/>
                <w:i w:val="0"/>
                <w:iCs w:val="0"/>
                <w:sz w:val="17"/>
                <w:szCs w:val="18"/>
              </w:rPr>
              <w:t>−16.6 (−20.3 to −12.8)</w:t>
            </w:r>
          </w:p>
        </w:tc>
      </w:tr>
      <w:tr w14:paraId="28ED8C2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55146948">
            <w:pPr>
              <w:spacing w:before="0" w:after="0" w:line="240" w:lineRule="auto"/>
              <w:jc w:val="left"/>
            </w:pPr>
            <w:r>
              <w:rPr>
                <w:rFonts w:ascii="Arial" w:hAnsi="Arial" w:eastAsia="Arial" w:cs="Times New Roman"/>
                <w:b w:val="0"/>
                <w:bCs w:val="0"/>
                <w:i w:val="0"/>
                <w:iCs w:val="0"/>
                <w:sz w:val="17"/>
                <w:szCs w:val="18"/>
              </w:rPr>
              <w:t>Largest anteroposterior diameter</w:t>
            </w:r>
          </w:p>
        </w:tc>
        <w:tc>
          <w:tcPr>
            <w:tcW w:w="3200" w:type="dxa"/>
            <w:tcBorders/>
            <w:tcMar>
              <w:top w:w="20" w:type="dxa"/>
              <w:left w:w="80" w:type="dxa"/>
              <w:bottom w:w="20" w:type="dxa"/>
              <w:right w:w="80" w:type="dxa"/>
            </w:tcMar>
            <w:vAlign w:val="center"/>
          </w:tcPr>
          <w:p w14:paraId="0522D931">
            <w:pPr>
              <w:spacing w:before="0" w:after="0" w:line="240" w:lineRule="auto"/>
              <w:jc w:val="left"/>
            </w:pPr>
            <w:r>
              <w:rPr>
                <w:rFonts w:ascii="Arial" w:hAnsi="Arial" w:eastAsia="Arial" w:cs="Times New Roman"/>
                <w:b w:val="0"/>
                <w:bCs w:val="0"/>
                <w:i w:val="0"/>
                <w:iCs w:val="0"/>
                <w:sz w:val="17"/>
                <w:szCs w:val="18"/>
              </w:rPr>
              <w:t>+15.6 (+12.1 to +19.3)</w:t>
            </w:r>
          </w:p>
        </w:tc>
        <w:tc>
          <w:tcPr>
            <w:tcW w:w="3200" w:type="dxa"/>
            <w:tcBorders/>
            <w:tcMar>
              <w:top w:w="20" w:type="dxa"/>
              <w:left w:w="80" w:type="dxa"/>
              <w:bottom w:w="20" w:type="dxa"/>
              <w:right w:w="80" w:type="dxa"/>
            </w:tcMar>
            <w:vAlign w:val="center"/>
          </w:tcPr>
          <w:p w14:paraId="4CF6D9D6">
            <w:pPr>
              <w:spacing w:before="0" w:after="0" w:line="240" w:lineRule="auto"/>
              <w:jc w:val="left"/>
            </w:pPr>
            <w:r>
              <w:rPr>
                <w:rFonts w:ascii="Arial" w:hAnsi="Arial" w:eastAsia="Arial" w:cs="Times New Roman"/>
                <w:b w:val="0"/>
                <w:bCs w:val="0"/>
                <w:i w:val="0"/>
                <w:iCs w:val="0"/>
                <w:sz w:val="17"/>
                <w:szCs w:val="18"/>
              </w:rPr>
              <w:t>−16.1 (−19.8 to −12.2)</w:t>
            </w:r>
          </w:p>
        </w:tc>
      </w:tr>
      <w:tr w14:paraId="495CA83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5D9C95EE">
            <w:pPr>
              <w:spacing w:before="0" w:after="0" w:line="240" w:lineRule="auto"/>
              <w:jc w:val="left"/>
            </w:pPr>
            <w:r>
              <w:rPr>
                <w:rFonts w:ascii="Arial" w:hAnsi="Arial" w:eastAsia="Arial" w:cs="Times New Roman"/>
                <w:b w:val="0"/>
                <w:bCs w:val="0"/>
                <w:i w:val="0"/>
                <w:iCs w:val="0"/>
                <w:sz w:val="17"/>
                <w:szCs w:val="18"/>
              </w:rPr>
              <w:t>Smallest anteroposterior diameter</w:t>
            </w:r>
          </w:p>
        </w:tc>
        <w:tc>
          <w:tcPr>
            <w:tcW w:w="3200" w:type="dxa"/>
            <w:tcBorders/>
            <w:tcMar>
              <w:top w:w="20" w:type="dxa"/>
              <w:left w:w="80" w:type="dxa"/>
              <w:bottom w:w="20" w:type="dxa"/>
              <w:right w:w="80" w:type="dxa"/>
            </w:tcMar>
            <w:vAlign w:val="center"/>
          </w:tcPr>
          <w:p w14:paraId="1E4F5AE8">
            <w:pPr>
              <w:spacing w:before="0" w:after="0" w:line="240" w:lineRule="auto"/>
              <w:jc w:val="left"/>
            </w:pPr>
            <w:r>
              <w:rPr>
                <w:rFonts w:ascii="Arial" w:hAnsi="Arial" w:eastAsia="Arial" w:cs="Times New Roman"/>
                <w:b w:val="0"/>
                <w:bCs w:val="0"/>
                <w:i w:val="0"/>
                <w:iCs w:val="0"/>
                <w:sz w:val="17"/>
                <w:szCs w:val="18"/>
              </w:rPr>
              <w:t>+15.1 (+11.6 to +18.8)</w:t>
            </w:r>
          </w:p>
        </w:tc>
        <w:tc>
          <w:tcPr>
            <w:tcW w:w="3200" w:type="dxa"/>
            <w:tcBorders/>
            <w:tcMar>
              <w:top w:w="20" w:type="dxa"/>
              <w:left w:w="80" w:type="dxa"/>
              <w:bottom w:w="20" w:type="dxa"/>
              <w:right w:w="80" w:type="dxa"/>
            </w:tcMar>
            <w:vAlign w:val="center"/>
          </w:tcPr>
          <w:p w14:paraId="4365F6DB">
            <w:pPr>
              <w:spacing w:before="0" w:after="0" w:line="240" w:lineRule="auto"/>
              <w:jc w:val="left"/>
            </w:pPr>
            <w:r>
              <w:rPr>
                <w:rFonts w:ascii="Arial" w:hAnsi="Arial" w:eastAsia="Arial" w:cs="Times New Roman"/>
                <w:b w:val="0"/>
                <w:bCs w:val="0"/>
                <w:i w:val="0"/>
                <w:iCs w:val="0"/>
                <w:sz w:val="17"/>
                <w:szCs w:val="18"/>
              </w:rPr>
              <w:t>−16.2 (−19.9 to −12.4)</w:t>
            </w:r>
          </w:p>
        </w:tc>
      </w:tr>
      <w:tr w14:paraId="4E89F3E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15B1AE30">
            <w:pPr>
              <w:spacing w:before="0" w:after="0" w:line="240" w:lineRule="auto"/>
              <w:jc w:val="left"/>
            </w:pPr>
            <w:r>
              <w:rPr>
                <w:rFonts w:ascii="Arial" w:hAnsi="Arial" w:eastAsia="Arial" w:cs="Times New Roman"/>
                <w:b w:val="0"/>
                <w:bCs w:val="0"/>
                <w:i w:val="0"/>
                <w:iCs w:val="0"/>
                <w:sz w:val="17"/>
                <w:szCs w:val="18"/>
              </w:rPr>
              <w:t>Mean longitudinal diameter</w:t>
            </w:r>
          </w:p>
        </w:tc>
        <w:tc>
          <w:tcPr>
            <w:tcW w:w="3200" w:type="dxa"/>
            <w:tcBorders/>
            <w:tcMar>
              <w:top w:w="20" w:type="dxa"/>
              <w:left w:w="80" w:type="dxa"/>
              <w:bottom w:w="20" w:type="dxa"/>
              <w:right w:w="80" w:type="dxa"/>
            </w:tcMar>
            <w:vAlign w:val="center"/>
          </w:tcPr>
          <w:p w14:paraId="0936F6CE">
            <w:pPr>
              <w:spacing w:before="0" w:after="0" w:line="240" w:lineRule="auto"/>
              <w:jc w:val="left"/>
            </w:pPr>
            <w:r>
              <w:rPr>
                <w:rFonts w:ascii="Arial" w:hAnsi="Arial" w:eastAsia="Arial" w:cs="Times New Roman"/>
                <w:b w:val="0"/>
                <w:bCs w:val="0"/>
                <w:i w:val="0"/>
                <w:iCs w:val="0"/>
                <w:sz w:val="17"/>
                <w:szCs w:val="18"/>
              </w:rPr>
              <w:t>+12.9 (+9.5 to +16.5)</w:t>
            </w:r>
          </w:p>
        </w:tc>
        <w:tc>
          <w:tcPr>
            <w:tcW w:w="3200" w:type="dxa"/>
            <w:tcBorders/>
            <w:tcMar>
              <w:top w:w="20" w:type="dxa"/>
              <w:left w:w="80" w:type="dxa"/>
              <w:bottom w:w="20" w:type="dxa"/>
              <w:right w:w="80" w:type="dxa"/>
            </w:tcMar>
            <w:vAlign w:val="center"/>
          </w:tcPr>
          <w:p w14:paraId="777684D4">
            <w:pPr>
              <w:spacing w:before="0" w:after="0" w:line="240" w:lineRule="auto"/>
              <w:jc w:val="left"/>
            </w:pPr>
            <w:r>
              <w:rPr>
                <w:rFonts w:ascii="Arial" w:hAnsi="Arial" w:eastAsia="Arial" w:cs="Times New Roman"/>
                <w:b w:val="0"/>
                <w:bCs w:val="0"/>
                <w:i w:val="0"/>
                <w:iCs w:val="0"/>
                <w:sz w:val="17"/>
                <w:szCs w:val="18"/>
              </w:rPr>
              <w:t>−12.9 (−16.8 to −8.9)</w:t>
            </w:r>
          </w:p>
        </w:tc>
      </w:tr>
      <w:tr w14:paraId="4DF9601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tcMar>
              <w:top w:w="20" w:type="dxa"/>
              <w:left w:w="80" w:type="dxa"/>
              <w:bottom w:w="20" w:type="dxa"/>
              <w:right w:w="80" w:type="dxa"/>
            </w:tcMar>
            <w:vAlign w:val="center"/>
          </w:tcPr>
          <w:p w14:paraId="31716C71">
            <w:pPr>
              <w:spacing w:before="0" w:after="0" w:line="240" w:lineRule="auto"/>
              <w:jc w:val="left"/>
            </w:pPr>
            <w:r>
              <w:rPr>
                <w:rFonts w:ascii="Arial" w:hAnsi="Arial" w:eastAsia="Arial" w:cs="Times New Roman"/>
                <w:b w:val="0"/>
                <w:bCs w:val="0"/>
                <w:i w:val="0"/>
                <w:iCs w:val="0"/>
                <w:sz w:val="17"/>
                <w:szCs w:val="18"/>
              </w:rPr>
              <w:t>Largest longitudinal diameter</w:t>
            </w:r>
          </w:p>
        </w:tc>
        <w:tc>
          <w:tcPr>
            <w:tcW w:w="3200" w:type="dxa"/>
            <w:tcBorders/>
            <w:tcMar>
              <w:top w:w="20" w:type="dxa"/>
              <w:left w:w="80" w:type="dxa"/>
              <w:bottom w:w="20" w:type="dxa"/>
              <w:right w:w="80" w:type="dxa"/>
            </w:tcMar>
            <w:vAlign w:val="center"/>
          </w:tcPr>
          <w:p w14:paraId="2CA970F8">
            <w:pPr>
              <w:spacing w:before="0" w:after="0" w:line="240" w:lineRule="auto"/>
              <w:jc w:val="left"/>
            </w:pPr>
            <w:r>
              <w:rPr>
                <w:rFonts w:ascii="Arial" w:hAnsi="Arial" w:eastAsia="Arial" w:cs="Times New Roman"/>
                <w:b w:val="0"/>
                <w:bCs w:val="0"/>
                <w:i w:val="0"/>
                <w:iCs w:val="0"/>
                <w:sz w:val="17"/>
                <w:szCs w:val="18"/>
              </w:rPr>
              <w:t>+12.8 (+9.3 to +16.4)</w:t>
            </w:r>
          </w:p>
        </w:tc>
        <w:tc>
          <w:tcPr>
            <w:tcW w:w="3200" w:type="dxa"/>
            <w:tcBorders/>
            <w:tcMar>
              <w:top w:w="20" w:type="dxa"/>
              <w:left w:w="80" w:type="dxa"/>
              <w:bottom w:w="20" w:type="dxa"/>
              <w:right w:w="80" w:type="dxa"/>
            </w:tcMar>
            <w:vAlign w:val="center"/>
          </w:tcPr>
          <w:p w14:paraId="3C0F613C">
            <w:pPr>
              <w:spacing w:before="0" w:after="0" w:line="240" w:lineRule="auto"/>
              <w:jc w:val="left"/>
            </w:pPr>
            <w:r>
              <w:rPr>
                <w:rFonts w:ascii="Arial" w:hAnsi="Arial" w:eastAsia="Arial" w:cs="Times New Roman"/>
                <w:b w:val="0"/>
                <w:bCs w:val="0"/>
                <w:i w:val="0"/>
                <w:iCs w:val="0"/>
                <w:sz w:val="17"/>
                <w:szCs w:val="18"/>
              </w:rPr>
              <w:t>−12.3 (−16.2 to −8.3)</w:t>
            </w:r>
          </w:p>
        </w:tc>
      </w:tr>
      <w:tr w14:paraId="6712C7F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238" w:type="dxa"/>
            <w:tcBorders>
              <w:bottom w:val="single" w:sz="8" w:color="000000"/>
            </w:tcBorders>
            <w:tcMar>
              <w:top w:w="20" w:type="dxa"/>
              <w:left w:w="80" w:type="dxa"/>
              <w:bottom w:w="20" w:type="dxa"/>
              <w:right w:w="80" w:type="dxa"/>
            </w:tcMar>
            <w:vAlign w:val="center"/>
          </w:tcPr>
          <w:p w14:paraId="011BB7D4">
            <w:pPr>
              <w:spacing w:before="0" w:after="0" w:line="240" w:lineRule="auto"/>
              <w:jc w:val="left"/>
            </w:pPr>
            <w:r>
              <w:rPr>
                <w:rFonts w:ascii="Arial" w:hAnsi="Arial" w:eastAsia="Arial" w:cs="Times New Roman"/>
                <w:b w:val="0"/>
                <w:bCs w:val="0"/>
                <w:i w:val="0"/>
                <w:iCs w:val="0"/>
                <w:sz w:val="17"/>
                <w:szCs w:val="18"/>
              </w:rPr>
              <w:t>Smallest longitudinal diameter</w:t>
            </w:r>
          </w:p>
        </w:tc>
        <w:tc>
          <w:tcPr>
            <w:tcW w:w="3200" w:type="dxa"/>
            <w:tcBorders>
              <w:bottom w:val="single" w:sz="8" w:color="000000"/>
            </w:tcBorders>
            <w:tcMar>
              <w:top w:w="20" w:type="dxa"/>
              <w:left w:w="80" w:type="dxa"/>
              <w:bottom w:w="20" w:type="dxa"/>
              <w:right w:w="80" w:type="dxa"/>
            </w:tcMar>
            <w:vAlign w:val="center"/>
          </w:tcPr>
          <w:p w14:paraId="2B794F12">
            <w:pPr>
              <w:spacing w:before="0" w:after="0" w:line="240" w:lineRule="auto"/>
              <w:jc w:val="left"/>
            </w:pPr>
            <w:r>
              <w:rPr>
                <w:rFonts w:ascii="Arial" w:hAnsi="Arial" w:eastAsia="Arial" w:cs="Times New Roman"/>
                <w:b w:val="0"/>
                <w:bCs w:val="0"/>
                <w:i w:val="0"/>
                <w:iCs w:val="0"/>
                <w:sz w:val="17"/>
                <w:szCs w:val="18"/>
              </w:rPr>
              <w:t>+11.4 (+7.9 to +14.9)</w:t>
            </w:r>
          </w:p>
        </w:tc>
        <w:tc>
          <w:tcPr>
            <w:tcW w:w="3200" w:type="dxa"/>
            <w:tcBorders>
              <w:bottom w:val="single" w:sz="8" w:color="000000"/>
            </w:tcBorders>
            <w:tcMar>
              <w:top w:w="20" w:type="dxa"/>
              <w:left w:w="80" w:type="dxa"/>
              <w:bottom w:w="20" w:type="dxa"/>
              <w:right w:w="80" w:type="dxa"/>
            </w:tcMar>
            <w:vAlign w:val="center"/>
          </w:tcPr>
          <w:p w14:paraId="29AE6F78">
            <w:pPr>
              <w:spacing w:before="0" w:after="0" w:line="240" w:lineRule="auto"/>
              <w:jc w:val="left"/>
            </w:pPr>
            <w:r>
              <w:rPr>
                <w:rFonts w:ascii="Arial" w:hAnsi="Arial" w:eastAsia="Arial" w:cs="Times New Roman"/>
                <w:b w:val="0"/>
                <w:bCs w:val="0"/>
                <w:i w:val="0"/>
                <w:iCs w:val="0"/>
                <w:sz w:val="17"/>
                <w:szCs w:val="18"/>
              </w:rPr>
              <w:t>−12.0 (−15.9 to −7.9)</w:t>
            </w:r>
          </w:p>
        </w:tc>
      </w:tr>
    </w:tbl>
    <w:p w14:paraId="288997CB">
      <w:pPr>
        <w:keepNext/>
        <w:spacing w:before="140" w:after="60" w:line="240" w:lineRule="auto"/>
        <w:jc w:val="left"/>
      </w:pPr>
      <w:r>
        <w:rPr>
          <w:rFonts w:ascii="Times New Roman" w:hAnsi="Times New Roman" w:eastAsia="Times New Roman" w:cs="Times New Roman"/>
          <w:b/>
          <w:bCs/>
          <w:i w:val="0"/>
          <w:iCs w:val="0"/>
          <w:sz w:val="18"/>
          <w:szCs w:val="18"/>
        </w:rPr>
        <w:t>(B) Adjusted discrimination</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700"/>
        <w:gridCol w:w="1700"/>
        <w:gridCol w:w="2500"/>
        <w:gridCol w:w="1200"/>
        <w:gridCol w:w="1538"/>
      </w:tblGrid>
      <w:tr w14:paraId="780D078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700" w:type="dxa"/>
            <w:tcBorders>
              <w:top w:val="single" w:sz="8" w:color="000000"/>
              <w:bottom w:val="single" w:sz="8" w:color="000000"/>
            </w:tcBorders>
            <w:tcMar>
              <w:top w:w="20" w:type="dxa"/>
              <w:left w:w="80" w:type="dxa"/>
              <w:bottom w:w="20" w:type="dxa"/>
              <w:right w:w="80" w:type="dxa"/>
            </w:tcMar>
            <w:vAlign w:val="center"/>
          </w:tcPr>
          <w:p w14:paraId="57BB2084">
            <w:pPr>
              <w:spacing w:before="0" w:after="0" w:line="240" w:lineRule="auto"/>
              <w:jc w:val="left"/>
            </w:pPr>
            <w:r>
              <w:rPr>
                <w:rFonts w:ascii="Arial" w:hAnsi="Arial" w:eastAsia="Arial" w:cs="Times New Roman"/>
                <w:b/>
                <w:bCs/>
                <w:i w:val="0"/>
                <w:iCs w:val="0"/>
                <w:sz w:val="17"/>
                <w:szCs w:val="18"/>
              </w:rPr>
              <w:t>Measurement</w:t>
            </w:r>
          </w:p>
        </w:tc>
        <w:tc>
          <w:tcPr>
            <w:tcW w:w="1700" w:type="dxa"/>
            <w:tcBorders>
              <w:top w:val="single" w:sz="8" w:color="000000"/>
              <w:bottom w:val="single" w:sz="8" w:color="000000"/>
            </w:tcBorders>
            <w:tcMar>
              <w:top w:w="20" w:type="dxa"/>
              <w:left w:w="80" w:type="dxa"/>
              <w:bottom w:w="20" w:type="dxa"/>
              <w:right w:w="80" w:type="dxa"/>
            </w:tcMar>
            <w:vAlign w:val="center"/>
          </w:tcPr>
          <w:p w14:paraId="07593A51">
            <w:pPr>
              <w:spacing w:before="0" w:after="0" w:line="240" w:lineRule="auto"/>
              <w:jc w:val="left"/>
            </w:pPr>
            <w:r>
              <w:rPr>
                <w:rFonts w:ascii="Arial" w:hAnsi="Arial" w:eastAsia="Arial" w:cs="Times New Roman"/>
                <w:b/>
                <w:bCs/>
                <w:i w:val="0"/>
                <w:iCs w:val="0"/>
                <w:sz w:val="17"/>
                <w:szCs w:val="18"/>
              </w:rPr>
              <w:t>Adjusted AUC for DFI ≥ 30%</w:t>
            </w:r>
          </w:p>
        </w:tc>
        <w:tc>
          <w:tcPr>
            <w:tcW w:w="2500" w:type="dxa"/>
            <w:tcBorders>
              <w:top w:val="single" w:sz="8" w:color="000000"/>
              <w:bottom w:val="single" w:sz="8" w:color="000000"/>
            </w:tcBorders>
            <w:tcMar>
              <w:top w:w="20" w:type="dxa"/>
              <w:left w:w="80" w:type="dxa"/>
              <w:bottom w:w="20" w:type="dxa"/>
              <w:right w:w="80" w:type="dxa"/>
            </w:tcMar>
            <w:vAlign w:val="center"/>
          </w:tcPr>
          <w:p w14:paraId="34B26D79">
            <w:pPr>
              <w:spacing w:before="0" w:after="0" w:line="240" w:lineRule="auto"/>
              <w:jc w:val="left"/>
            </w:pPr>
            <w:r>
              <w:rPr>
                <w:rFonts w:ascii="Arial" w:hAnsi="Arial" w:eastAsia="Arial" w:cs="Times New Roman"/>
                <w:b/>
                <w:bCs/>
                <w:i w:val="0"/>
                <w:iCs w:val="0"/>
                <w:sz w:val="17"/>
                <w:szCs w:val="18"/>
              </w:rPr>
              <w:t>ΔAUC versus bilateral total volume (bootstrap 95% interval)</w:t>
            </w:r>
          </w:p>
        </w:tc>
        <w:tc>
          <w:tcPr>
            <w:tcW w:w="1200" w:type="dxa"/>
            <w:tcBorders>
              <w:top w:val="single" w:sz="8" w:color="000000"/>
              <w:bottom w:val="single" w:sz="8" w:color="000000"/>
            </w:tcBorders>
            <w:tcMar>
              <w:top w:w="20" w:type="dxa"/>
              <w:left w:w="80" w:type="dxa"/>
              <w:bottom w:w="20" w:type="dxa"/>
              <w:right w:w="80" w:type="dxa"/>
            </w:tcMar>
            <w:vAlign w:val="center"/>
          </w:tcPr>
          <w:p w14:paraId="777B2F8D">
            <w:pPr>
              <w:spacing w:before="0" w:after="0" w:line="240" w:lineRule="auto"/>
              <w:jc w:val="left"/>
            </w:pPr>
            <w:r>
              <w:rPr>
                <w:rFonts w:ascii="Arial" w:hAnsi="Arial" w:eastAsia="Arial" w:cs="Times New Roman"/>
                <w:b/>
                <w:bCs/>
                <w:i w:val="0"/>
                <w:iCs w:val="0"/>
                <w:sz w:val="17"/>
                <w:szCs w:val="18"/>
              </w:rPr>
              <w:t xml:space="preserve">Holm </w:t>
            </w:r>
            <w:r>
              <w:rPr>
                <w:rFonts w:ascii="Arial" w:hAnsi="Arial" w:eastAsia="Arial" w:cs="Times New Roman"/>
                <w:b/>
                <w:bCs/>
                <w:i/>
                <w:iCs/>
                <w:sz w:val="17"/>
                <w:szCs w:val="18"/>
              </w:rPr>
              <w:t>P</w:t>
            </w:r>
          </w:p>
        </w:tc>
        <w:tc>
          <w:tcPr>
            <w:tcW w:w="1538" w:type="dxa"/>
            <w:tcBorders>
              <w:top w:val="single" w:sz="8" w:color="000000"/>
              <w:bottom w:val="single" w:sz="8" w:color="000000"/>
            </w:tcBorders>
            <w:tcMar>
              <w:top w:w="20" w:type="dxa"/>
              <w:left w:w="80" w:type="dxa"/>
              <w:bottom w:w="20" w:type="dxa"/>
              <w:right w:w="80" w:type="dxa"/>
            </w:tcMar>
            <w:vAlign w:val="center"/>
          </w:tcPr>
          <w:p w14:paraId="3375E0CE">
            <w:pPr>
              <w:spacing w:before="0" w:after="0" w:line="240" w:lineRule="auto"/>
              <w:jc w:val="left"/>
            </w:pPr>
            <w:r>
              <w:rPr>
                <w:rFonts w:ascii="Arial" w:hAnsi="Arial" w:eastAsia="Arial" w:cs="Times New Roman"/>
                <w:b/>
                <w:bCs/>
                <w:i w:val="0"/>
                <w:iCs w:val="0"/>
                <w:sz w:val="17"/>
                <w:szCs w:val="18"/>
              </w:rPr>
              <w:t>Adjusted AUC for progressive motility &lt; 32%</w:t>
            </w:r>
          </w:p>
        </w:tc>
      </w:tr>
      <w:tr w14:paraId="70F9B69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7249E5C4">
            <w:pPr>
              <w:spacing w:before="0" w:after="0" w:line="240" w:lineRule="auto"/>
              <w:jc w:val="left"/>
            </w:pPr>
            <w:r>
              <w:rPr>
                <w:rFonts w:ascii="Arial" w:hAnsi="Arial" w:eastAsia="Arial" w:cs="Times New Roman"/>
                <w:b w:val="0"/>
                <w:bCs w:val="0"/>
                <w:i w:val="0"/>
                <w:iCs w:val="0"/>
                <w:sz w:val="17"/>
                <w:szCs w:val="18"/>
              </w:rPr>
              <w:t>Bilateral total volume</w:t>
            </w:r>
          </w:p>
        </w:tc>
        <w:tc>
          <w:tcPr>
            <w:tcW w:w="1700" w:type="dxa"/>
            <w:tcBorders/>
            <w:tcMar>
              <w:top w:w="20" w:type="dxa"/>
              <w:left w:w="80" w:type="dxa"/>
              <w:bottom w:w="20" w:type="dxa"/>
              <w:right w:w="80" w:type="dxa"/>
            </w:tcMar>
            <w:vAlign w:val="center"/>
          </w:tcPr>
          <w:p w14:paraId="162EE093">
            <w:pPr>
              <w:spacing w:before="0" w:after="0" w:line="240" w:lineRule="auto"/>
              <w:jc w:val="left"/>
            </w:pPr>
            <w:r>
              <w:rPr>
                <w:rFonts w:ascii="Arial" w:hAnsi="Arial" w:eastAsia="Arial" w:cs="Times New Roman"/>
                <w:b w:val="0"/>
                <w:bCs w:val="0"/>
                <w:i w:val="0"/>
                <w:iCs w:val="0"/>
                <w:sz w:val="17"/>
                <w:szCs w:val="18"/>
              </w:rPr>
              <w:t>0.729</w:t>
            </w:r>
          </w:p>
        </w:tc>
        <w:tc>
          <w:tcPr>
            <w:tcW w:w="2500" w:type="dxa"/>
            <w:tcBorders/>
            <w:tcMar>
              <w:top w:w="20" w:type="dxa"/>
              <w:left w:w="80" w:type="dxa"/>
              <w:bottom w:w="20" w:type="dxa"/>
              <w:right w:w="80" w:type="dxa"/>
            </w:tcMar>
            <w:vAlign w:val="center"/>
          </w:tcPr>
          <w:p w14:paraId="62FD7D3C">
            <w:pPr>
              <w:spacing w:before="0" w:after="0" w:line="240" w:lineRule="auto"/>
              <w:jc w:val="left"/>
            </w:pPr>
            <w:r>
              <w:rPr>
                <w:rFonts w:ascii="Arial" w:hAnsi="Arial" w:eastAsia="Arial" w:cs="Times New Roman"/>
                <w:b w:val="0"/>
                <w:bCs w:val="0"/>
                <w:i w:val="0"/>
                <w:iCs w:val="0"/>
                <w:sz w:val="17"/>
                <w:szCs w:val="18"/>
              </w:rPr>
              <w:t>Reference</w:t>
            </w:r>
          </w:p>
        </w:tc>
        <w:tc>
          <w:tcPr>
            <w:tcW w:w="1200" w:type="dxa"/>
            <w:tcBorders/>
            <w:tcMar>
              <w:top w:w="20" w:type="dxa"/>
              <w:left w:w="80" w:type="dxa"/>
              <w:bottom w:w="20" w:type="dxa"/>
              <w:right w:w="80" w:type="dxa"/>
            </w:tcMar>
            <w:vAlign w:val="center"/>
          </w:tcPr>
          <w:p w14:paraId="2849AF3B">
            <w:pPr>
              <w:spacing w:before="0" w:after="0" w:line="240" w:lineRule="auto"/>
              <w:jc w:val="left"/>
            </w:pPr>
            <w:r>
              <w:rPr>
                <w:rFonts w:ascii="Arial" w:hAnsi="Arial" w:eastAsia="Arial" w:cs="Times New Roman"/>
                <w:b w:val="0"/>
                <w:bCs w:val="0"/>
                <w:i w:val="0"/>
                <w:iCs w:val="0"/>
                <w:sz w:val="17"/>
                <w:szCs w:val="18"/>
              </w:rPr>
              <w:t>1.000</w:t>
            </w:r>
          </w:p>
        </w:tc>
        <w:tc>
          <w:tcPr>
            <w:tcW w:w="1538" w:type="dxa"/>
            <w:tcBorders/>
            <w:tcMar>
              <w:top w:w="20" w:type="dxa"/>
              <w:left w:w="80" w:type="dxa"/>
              <w:bottom w:w="20" w:type="dxa"/>
              <w:right w:w="80" w:type="dxa"/>
            </w:tcMar>
            <w:vAlign w:val="center"/>
          </w:tcPr>
          <w:p w14:paraId="382FD695">
            <w:pPr>
              <w:spacing w:before="0" w:after="0" w:line="240" w:lineRule="auto"/>
              <w:jc w:val="left"/>
            </w:pPr>
            <w:r>
              <w:rPr>
                <w:rFonts w:ascii="Arial" w:hAnsi="Arial" w:eastAsia="Arial" w:cs="Times New Roman"/>
                <w:b w:val="0"/>
                <w:bCs w:val="0"/>
                <w:i w:val="0"/>
                <w:iCs w:val="0"/>
                <w:sz w:val="17"/>
                <w:szCs w:val="18"/>
              </w:rPr>
              <w:t>0.631</w:t>
            </w:r>
          </w:p>
        </w:tc>
      </w:tr>
      <w:tr w14:paraId="78A9459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2E62B5FF">
            <w:pPr>
              <w:spacing w:before="0" w:after="0" w:line="240" w:lineRule="auto"/>
              <w:jc w:val="left"/>
            </w:pPr>
            <w:r>
              <w:rPr>
                <w:rFonts w:ascii="Arial" w:hAnsi="Arial" w:eastAsia="Arial" w:cs="Times New Roman"/>
                <w:b w:val="0"/>
                <w:bCs w:val="0"/>
                <w:i w:val="0"/>
                <w:iCs w:val="0"/>
                <w:sz w:val="17"/>
                <w:szCs w:val="18"/>
              </w:rPr>
              <w:t>Mean per-side volume</w:t>
            </w:r>
            <w:r>
              <w:rPr>
                <w:rFonts w:ascii="Arial" w:hAnsi="Arial" w:eastAsia="Arial" w:cs="Times New Roman"/>
                <w:b w:val="0"/>
                <w:bCs w:val="0"/>
                <w:i w:val="0"/>
                <w:iCs w:val="0"/>
                <w:sz w:val="17"/>
                <w:szCs w:val="18"/>
                <w:vertAlign w:val="superscript"/>
              </w:rPr>
              <w:t>a</w:t>
            </w:r>
          </w:p>
        </w:tc>
        <w:tc>
          <w:tcPr>
            <w:tcW w:w="1700" w:type="dxa"/>
            <w:tcBorders/>
            <w:tcMar>
              <w:top w:w="20" w:type="dxa"/>
              <w:left w:w="80" w:type="dxa"/>
              <w:bottom w:w="20" w:type="dxa"/>
              <w:right w:w="80" w:type="dxa"/>
            </w:tcMar>
            <w:vAlign w:val="center"/>
          </w:tcPr>
          <w:p w14:paraId="37A5DE55">
            <w:pPr>
              <w:spacing w:before="0" w:after="0" w:line="240" w:lineRule="auto"/>
              <w:jc w:val="left"/>
            </w:pPr>
            <w:r>
              <w:rPr>
                <w:rFonts w:ascii="Arial" w:hAnsi="Arial" w:eastAsia="Arial" w:cs="Times New Roman"/>
                <w:b w:val="0"/>
                <w:bCs w:val="0"/>
                <w:i w:val="0"/>
                <w:iCs w:val="0"/>
                <w:sz w:val="17"/>
                <w:szCs w:val="18"/>
              </w:rPr>
              <w:t>0.729</w:t>
            </w:r>
          </w:p>
        </w:tc>
        <w:tc>
          <w:tcPr>
            <w:tcW w:w="2500" w:type="dxa"/>
            <w:tcBorders/>
            <w:tcMar>
              <w:top w:w="20" w:type="dxa"/>
              <w:left w:w="80" w:type="dxa"/>
              <w:bottom w:w="20" w:type="dxa"/>
              <w:right w:w="80" w:type="dxa"/>
            </w:tcMar>
            <w:vAlign w:val="center"/>
          </w:tcPr>
          <w:p w14:paraId="5744F530">
            <w:pPr>
              <w:spacing w:before="0" w:after="0" w:line="240" w:lineRule="auto"/>
              <w:jc w:val="left"/>
            </w:pPr>
            <w:r>
              <w:rPr>
                <w:rFonts w:ascii="Arial" w:hAnsi="Arial" w:eastAsia="Arial" w:cs="Times New Roman"/>
                <w:b w:val="0"/>
                <w:bCs w:val="0"/>
                <w:i w:val="0"/>
                <w:iCs w:val="0"/>
                <w:sz w:val="17"/>
                <w:szCs w:val="18"/>
              </w:rPr>
              <w:t>0.000 (0.000 to 0.000)</w:t>
            </w:r>
          </w:p>
        </w:tc>
        <w:tc>
          <w:tcPr>
            <w:tcW w:w="1200" w:type="dxa"/>
            <w:tcBorders/>
            <w:tcMar>
              <w:top w:w="20" w:type="dxa"/>
              <w:left w:w="80" w:type="dxa"/>
              <w:bottom w:w="20" w:type="dxa"/>
              <w:right w:w="80" w:type="dxa"/>
            </w:tcMar>
            <w:vAlign w:val="center"/>
          </w:tcPr>
          <w:p w14:paraId="7C248F76">
            <w:pPr>
              <w:spacing w:before="0" w:after="0" w:line="240" w:lineRule="auto"/>
              <w:jc w:val="left"/>
            </w:pPr>
            <w:r>
              <w:rPr>
                <w:rFonts w:ascii="Arial" w:hAnsi="Arial" w:eastAsia="Arial" w:cs="Times New Roman"/>
                <w:b w:val="0"/>
                <w:bCs w:val="0"/>
                <w:i w:val="0"/>
                <w:iCs w:val="0"/>
                <w:sz w:val="17"/>
                <w:szCs w:val="18"/>
              </w:rPr>
              <w:t>1.000</w:t>
            </w:r>
          </w:p>
        </w:tc>
        <w:tc>
          <w:tcPr>
            <w:tcW w:w="1538" w:type="dxa"/>
            <w:tcBorders/>
            <w:tcMar>
              <w:top w:w="20" w:type="dxa"/>
              <w:left w:w="80" w:type="dxa"/>
              <w:bottom w:w="20" w:type="dxa"/>
              <w:right w:w="80" w:type="dxa"/>
            </w:tcMar>
            <w:vAlign w:val="center"/>
          </w:tcPr>
          <w:p w14:paraId="18AE4A90">
            <w:pPr>
              <w:spacing w:before="0" w:after="0" w:line="240" w:lineRule="auto"/>
              <w:jc w:val="left"/>
            </w:pPr>
            <w:r>
              <w:rPr>
                <w:rFonts w:ascii="Arial" w:hAnsi="Arial" w:eastAsia="Arial" w:cs="Times New Roman"/>
                <w:b w:val="0"/>
                <w:bCs w:val="0"/>
                <w:i w:val="0"/>
                <w:iCs w:val="0"/>
                <w:sz w:val="17"/>
                <w:szCs w:val="18"/>
              </w:rPr>
              <w:t>0.631</w:t>
            </w:r>
          </w:p>
        </w:tc>
      </w:tr>
      <w:tr w14:paraId="7B3342F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71E057DC">
            <w:pPr>
              <w:spacing w:before="0" w:after="0" w:line="240" w:lineRule="auto"/>
              <w:jc w:val="left"/>
            </w:pPr>
            <w:r>
              <w:rPr>
                <w:rFonts w:ascii="Arial" w:hAnsi="Arial" w:eastAsia="Arial" w:cs="Times New Roman"/>
                <w:b w:val="0"/>
                <w:bCs w:val="0"/>
                <w:i w:val="0"/>
                <w:iCs w:val="0"/>
                <w:sz w:val="17"/>
                <w:szCs w:val="18"/>
              </w:rPr>
              <w:t>Largest-side volume</w:t>
            </w:r>
          </w:p>
        </w:tc>
        <w:tc>
          <w:tcPr>
            <w:tcW w:w="1700" w:type="dxa"/>
            <w:tcBorders/>
            <w:tcMar>
              <w:top w:w="20" w:type="dxa"/>
              <w:left w:w="80" w:type="dxa"/>
              <w:bottom w:w="20" w:type="dxa"/>
              <w:right w:w="80" w:type="dxa"/>
            </w:tcMar>
            <w:vAlign w:val="center"/>
          </w:tcPr>
          <w:p w14:paraId="6517FA58">
            <w:pPr>
              <w:spacing w:before="0" w:after="0" w:line="240" w:lineRule="auto"/>
              <w:jc w:val="left"/>
            </w:pPr>
            <w:r>
              <w:rPr>
                <w:rFonts w:ascii="Arial" w:hAnsi="Arial" w:eastAsia="Arial" w:cs="Times New Roman"/>
                <w:b w:val="0"/>
                <w:bCs w:val="0"/>
                <w:i w:val="0"/>
                <w:iCs w:val="0"/>
                <w:sz w:val="17"/>
                <w:szCs w:val="18"/>
              </w:rPr>
              <w:t>0.726</w:t>
            </w:r>
          </w:p>
        </w:tc>
        <w:tc>
          <w:tcPr>
            <w:tcW w:w="2500" w:type="dxa"/>
            <w:tcBorders/>
            <w:tcMar>
              <w:top w:w="20" w:type="dxa"/>
              <w:left w:w="80" w:type="dxa"/>
              <w:bottom w:w="20" w:type="dxa"/>
              <w:right w:w="80" w:type="dxa"/>
            </w:tcMar>
            <w:vAlign w:val="center"/>
          </w:tcPr>
          <w:p w14:paraId="2798BCCF">
            <w:pPr>
              <w:spacing w:before="0" w:after="0" w:line="240" w:lineRule="auto"/>
              <w:jc w:val="left"/>
            </w:pPr>
            <w:r>
              <w:rPr>
                <w:rFonts w:ascii="Arial" w:hAnsi="Arial" w:eastAsia="Arial" w:cs="Times New Roman"/>
                <w:b w:val="0"/>
                <w:bCs w:val="0"/>
                <w:i w:val="0"/>
                <w:iCs w:val="0"/>
                <w:sz w:val="17"/>
                <w:szCs w:val="18"/>
              </w:rPr>
              <w:t>−0.003 (−0.008 to 0.001)</w:t>
            </w:r>
          </w:p>
        </w:tc>
        <w:tc>
          <w:tcPr>
            <w:tcW w:w="1200" w:type="dxa"/>
            <w:tcBorders/>
            <w:tcMar>
              <w:top w:w="20" w:type="dxa"/>
              <w:left w:w="80" w:type="dxa"/>
              <w:bottom w:w="20" w:type="dxa"/>
              <w:right w:w="80" w:type="dxa"/>
            </w:tcMar>
            <w:vAlign w:val="center"/>
          </w:tcPr>
          <w:p w14:paraId="5D25B52B">
            <w:pPr>
              <w:spacing w:before="0" w:after="0" w:line="240" w:lineRule="auto"/>
              <w:jc w:val="left"/>
            </w:pPr>
            <w:r>
              <w:rPr>
                <w:rFonts w:ascii="Arial" w:hAnsi="Arial" w:eastAsia="Arial" w:cs="Times New Roman"/>
                <w:b w:val="0"/>
                <w:bCs w:val="0"/>
                <w:i w:val="0"/>
                <w:iCs w:val="0"/>
                <w:sz w:val="17"/>
                <w:szCs w:val="18"/>
              </w:rPr>
              <w:t>0.840</w:t>
            </w:r>
          </w:p>
        </w:tc>
        <w:tc>
          <w:tcPr>
            <w:tcW w:w="1538" w:type="dxa"/>
            <w:tcBorders/>
            <w:tcMar>
              <w:top w:w="20" w:type="dxa"/>
              <w:left w:w="80" w:type="dxa"/>
              <w:bottom w:w="20" w:type="dxa"/>
              <w:right w:w="80" w:type="dxa"/>
            </w:tcMar>
            <w:vAlign w:val="center"/>
          </w:tcPr>
          <w:p w14:paraId="08292B14">
            <w:pPr>
              <w:spacing w:before="0" w:after="0" w:line="240" w:lineRule="auto"/>
              <w:jc w:val="left"/>
            </w:pPr>
            <w:r>
              <w:rPr>
                <w:rFonts w:ascii="Arial" w:hAnsi="Arial" w:eastAsia="Arial" w:cs="Times New Roman"/>
                <w:b w:val="0"/>
                <w:bCs w:val="0"/>
                <w:i w:val="0"/>
                <w:iCs w:val="0"/>
                <w:sz w:val="17"/>
                <w:szCs w:val="18"/>
              </w:rPr>
              <w:t>0.631</w:t>
            </w:r>
          </w:p>
        </w:tc>
      </w:tr>
      <w:tr w14:paraId="271499C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1ECE8961">
            <w:pPr>
              <w:spacing w:before="0" w:after="0" w:line="240" w:lineRule="auto"/>
              <w:jc w:val="left"/>
            </w:pPr>
            <w:r>
              <w:rPr>
                <w:rFonts w:ascii="Arial" w:hAnsi="Arial" w:eastAsia="Arial" w:cs="Times New Roman"/>
                <w:b w:val="0"/>
                <w:bCs w:val="0"/>
                <w:i w:val="0"/>
                <w:iCs w:val="0"/>
                <w:sz w:val="17"/>
                <w:szCs w:val="18"/>
              </w:rPr>
              <w:t>Smallest-side volume</w:t>
            </w:r>
          </w:p>
        </w:tc>
        <w:tc>
          <w:tcPr>
            <w:tcW w:w="1700" w:type="dxa"/>
            <w:tcBorders/>
            <w:tcMar>
              <w:top w:w="20" w:type="dxa"/>
              <w:left w:w="80" w:type="dxa"/>
              <w:bottom w:w="20" w:type="dxa"/>
              <w:right w:w="80" w:type="dxa"/>
            </w:tcMar>
            <w:vAlign w:val="center"/>
          </w:tcPr>
          <w:p w14:paraId="292C9B1A">
            <w:pPr>
              <w:spacing w:before="0" w:after="0" w:line="240" w:lineRule="auto"/>
              <w:jc w:val="left"/>
            </w:pPr>
            <w:r>
              <w:rPr>
                <w:rFonts w:ascii="Arial" w:hAnsi="Arial" w:eastAsia="Arial" w:cs="Times New Roman"/>
                <w:b w:val="0"/>
                <w:bCs w:val="0"/>
                <w:i w:val="0"/>
                <w:iCs w:val="0"/>
                <w:sz w:val="17"/>
                <w:szCs w:val="18"/>
              </w:rPr>
              <w:t>0.723</w:t>
            </w:r>
          </w:p>
        </w:tc>
        <w:tc>
          <w:tcPr>
            <w:tcW w:w="2500" w:type="dxa"/>
            <w:tcBorders/>
            <w:tcMar>
              <w:top w:w="20" w:type="dxa"/>
              <w:left w:w="80" w:type="dxa"/>
              <w:bottom w:w="20" w:type="dxa"/>
              <w:right w:w="80" w:type="dxa"/>
            </w:tcMar>
            <w:vAlign w:val="center"/>
          </w:tcPr>
          <w:p w14:paraId="0337D383">
            <w:pPr>
              <w:spacing w:before="0" w:after="0" w:line="240" w:lineRule="auto"/>
              <w:jc w:val="left"/>
            </w:pPr>
            <w:r>
              <w:rPr>
                <w:rFonts w:ascii="Arial" w:hAnsi="Arial" w:eastAsia="Arial" w:cs="Times New Roman"/>
                <w:b w:val="0"/>
                <w:bCs w:val="0"/>
                <w:i w:val="0"/>
                <w:iCs w:val="0"/>
                <w:sz w:val="17"/>
                <w:szCs w:val="18"/>
              </w:rPr>
              <w:t>−0.006 (−0.014 to 0.002)</w:t>
            </w:r>
          </w:p>
        </w:tc>
        <w:tc>
          <w:tcPr>
            <w:tcW w:w="1200" w:type="dxa"/>
            <w:tcBorders/>
            <w:tcMar>
              <w:top w:w="20" w:type="dxa"/>
              <w:left w:w="80" w:type="dxa"/>
              <w:bottom w:w="20" w:type="dxa"/>
              <w:right w:w="80" w:type="dxa"/>
            </w:tcMar>
            <w:vAlign w:val="center"/>
          </w:tcPr>
          <w:p w14:paraId="5CABB266">
            <w:pPr>
              <w:spacing w:before="0" w:after="0" w:line="240" w:lineRule="auto"/>
              <w:jc w:val="left"/>
            </w:pPr>
            <w:r>
              <w:rPr>
                <w:rFonts w:ascii="Arial" w:hAnsi="Arial" w:eastAsia="Arial" w:cs="Times New Roman"/>
                <w:b w:val="0"/>
                <w:bCs w:val="0"/>
                <w:i w:val="0"/>
                <w:iCs w:val="0"/>
                <w:sz w:val="17"/>
                <w:szCs w:val="18"/>
              </w:rPr>
              <w:t>0.784</w:t>
            </w:r>
          </w:p>
        </w:tc>
        <w:tc>
          <w:tcPr>
            <w:tcW w:w="1538" w:type="dxa"/>
            <w:tcBorders/>
            <w:tcMar>
              <w:top w:w="20" w:type="dxa"/>
              <w:left w:w="80" w:type="dxa"/>
              <w:bottom w:w="20" w:type="dxa"/>
              <w:right w:w="80" w:type="dxa"/>
            </w:tcMar>
            <w:vAlign w:val="center"/>
          </w:tcPr>
          <w:p w14:paraId="38D66E76">
            <w:pPr>
              <w:spacing w:before="0" w:after="0" w:line="240" w:lineRule="auto"/>
              <w:jc w:val="left"/>
            </w:pPr>
            <w:r>
              <w:rPr>
                <w:rFonts w:ascii="Arial" w:hAnsi="Arial" w:eastAsia="Arial" w:cs="Times New Roman"/>
                <w:b w:val="0"/>
                <w:bCs w:val="0"/>
                <w:i w:val="0"/>
                <w:iCs w:val="0"/>
                <w:sz w:val="17"/>
                <w:szCs w:val="18"/>
              </w:rPr>
              <w:t>0.630</w:t>
            </w:r>
          </w:p>
        </w:tc>
      </w:tr>
      <w:tr w14:paraId="12F342A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52E27AC9">
            <w:pPr>
              <w:spacing w:before="0" w:after="0" w:line="240" w:lineRule="auto"/>
              <w:jc w:val="left"/>
            </w:pPr>
            <w:r>
              <w:rPr>
                <w:rFonts w:ascii="Arial" w:hAnsi="Arial" w:eastAsia="Arial" w:cs="Times New Roman"/>
                <w:b w:val="0"/>
                <w:bCs w:val="0"/>
                <w:i w:val="0"/>
                <w:iCs w:val="0"/>
                <w:sz w:val="17"/>
                <w:szCs w:val="18"/>
              </w:rPr>
              <w:t>Size index</w:t>
            </w:r>
          </w:p>
        </w:tc>
        <w:tc>
          <w:tcPr>
            <w:tcW w:w="1700" w:type="dxa"/>
            <w:tcBorders/>
            <w:tcMar>
              <w:top w:w="20" w:type="dxa"/>
              <w:left w:w="80" w:type="dxa"/>
              <w:bottom w:w="20" w:type="dxa"/>
              <w:right w:w="80" w:type="dxa"/>
            </w:tcMar>
            <w:vAlign w:val="center"/>
          </w:tcPr>
          <w:p w14:paraId="09004031">
            <w:pPr>
              <w:spacing w:before="0" w:after="0" w:line="240" w:lineRule="auto"/>
              <w:jc w:val="left"/>
            </w:pPr>
            <w:r>
              <w:rPr>
                <w:rFonts w:ascii="Arial" w:hAnsi="Arial" w:eastAsia="Arial" w:cs="Times New Roman"/>
                <w:b w:val="0"/>
                <w:bCs w:val="0"/>
                <w:i w:val="0"/>
                <w:iCs w:val="0"/>
                <w:sz w:val="17"/>
                <w:szCs w:val="18"/>
              </w:rPr>
              <w:t>0.730</w:t>
            </w:r>
          </w:p>
        </w:tc>
        <w:tc>
          <w:tcPr>
            <w:tcW w:w="2500" w:type="dxa"/>
            <w:tcBorders/>
            <w:tcMar>
              <w:top w:w="20" w:type="dxa"/>
              <w:left w:w="80" w:type="dxa"/>
              <w:bottom w:w="20" w:type="dxa"/>
              <w:right w:w="80" w:type="dxa"/>
            </w:tcMar>
            <w:vAlign w:val="center"/>
          </w:tcPr>
          <w:p w14:paraId="52B9CF74">
            <w:pPr>
              <w:spacing w:before="0" w:after="0" w:line="240" w:lineRule="auto"/>
              <w:jc w:val="left"/>
            </w:pPr>
            <w:r>
              <w:rPr>
                <w:rFonts w:ascii="Arial" w:hAnsi="Arial" w:eastAsia="Arial" w:cs="Times New Roman"/>
                <w:b w:val="0"/>
                <w:bCs w:val="0"/>
                <w:i w:val="0"/>
                <w:iCs w:val="0"/>
                <w:sz w:val="17"/>
                <w:szCs w:val="18"/>
              </w:rPr>
              <w:t>+0.002 (−0.003 to 0.008)</w:t>
            </w:r>
          </w:p>
        </w:tc>
        <w:tc>
          <w:tcPr>
            <w:tcW w:w="1200" w:type="dxa"/>
            <w:tcBorders/>
            <w:tcMar>
              <w:top w:w="20" w:type="dxa"/>
              <w:left w:w="80" w:type="dxa"/>
              <w:bottom w:w="20" w:type="dxa"/>
              <w:right w:w="80" w:type="dxa"/>
            </w:tcMar>
            <w:vAlign w:val="center"/>
          </w:tcPr>
          <w:p w14:paraId="0FA05F86">
            <w:pPr>
              <w:spacing w:before="0" w:after="0" w:line="240" w:lineRule="auto"/>
              <w:jc w:val="left"/>
            </w:pPr>
            <w:r>
              <w:rPr>
                <w:rFonts w:ascii="Arial" w:hAnsi="Arial" w:eastAsia="Arial" w:cs="Times New Roman"/>
                <w:b w:val="0"/>
                <w:bCs w:val="0"/>
                <w:i w:val="0"/>
                <w:iCs w:val="0"/>
                <w:sz w:val="17"/>
                <w:szCs w:val="18"/>
              </w:rPr>
              <w:t>0.904</w:t>
            </w:r>
          </w:p>
        </w:tc>
        <w:tc>
          <w:tcPr>
            <w:tcW w:w="1538" w:type="dxa"/>
            <w:tcBorders/>
            <w:tcMar>
              <w:top w:w="20" w:type="dxa"/>
              <w:left w:w="80" w:type="dxa"/>
              <w:bottom w:w="20" w:type="dxa"/>
              <w:right w:w="80" w:type="dxa"/>
            </w:tcMar>
            <w:vAlign w:val="center"/>
          </w:tcPr>
          <w:p w14:paraId="125ED1EB">
            <w:pPr>
              <w:spacing w:before="0" w:after="0" w:line="240" w:lineRule="auto"/>
              <w:jc w:val="left"/>
            </w:pPr>
            <w:r>
              <w:rPr>
                <w:rFonts w:ascii="Arial" w:hAnsi="Arial" w:eastAsia="Arial" w:cs="Times New Roman"/>
                <w:b w:val="0"/>
                <w:bCs w:val="0"/>
                <w:i w:val="0"/>
                <w:iCs w:val="0"/>
                <w:sz w:val="17"/>
                <w:szCs w:val="18"/>
              </w:rPr>
              <w:t>0.630</w:t>
            </w:r>
          </w:p>
        </w:tc>
      </w:tr>
      <w:tr w14:paraId="2EF559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7A74F7E4">
            <w:pPr>
              <w:spacing w:before="0" w:after="0" w:line="240" w:lineRule="auto"/>
              <w:jc w:val="left"/>
            </w:pPr>
            <w:r>
              <w:rPr>
                <w:rFonts w:ascii="Arial" w:hAnsi="Arial" w:eastAsia="Arial" w:cs="Times New Roman"/>
                <w:b w:val="0"/>
                <w:bCs w:val="0"/>
                <w:i w:val="0"/>
                <w:iCs w:val="0"/>
                <w:sz w:val="17"/>
                <w:szCs w:val="18"/>
              </w:rPr>
              <w:t>Mean anteroposterior diameter</w:t>
            </w:r>
          </w:p>
        </w:tc>
        <w:tc>
          <w:tcPr>
            <w:tcW w:w="1700" w:type="dxa"/>
            <w:tcBorders/>
            <w:tcMar>
              <w:top w:w="20" w:type="dxa"/>
              <w:left w:w="80" w:type="dxa"/>
              <w:bottom w:w="20" w:type="dxa"/>
              <w:right w:w="80" w:type="dxa"/>
            </w:tcMar>
            <w:vAlign w:val="center"/>
          </w:tcPr>
          <w:p w14:paraId="4903BB45">
            <w:pPr>
              <w:spacing w:before="0" w:after="0" w:line="240" w:lineRule="auto"/>
              <w:jc w:val="left"/>
            </w:pPr>
            <w:r>
              <w:rPr>
                <w:rFonts w:ascii="Arial" w:hAnsi="Arial" w:eastAsia="Arial" w:cs="Times New Roman"/>
                <w:b w:val="0"/>
                <w:bCs w:val="0"/>
                <w:i w:val="0"/>
                <w:iCs w:val="0"/>
                <w:sz w:val="17"/>
                <w:szCs w:val="18"/>
              </w:rPr>
              <w:t>0.725</w:t>
            </w:r>
          </w:p>
        </w:tc>
        <w:tc>
          <w:tcPr>
            <w:tcW w:w="2500" w:type="dxa"/>
            <w:tcBorders/>
            <w:tcMar>
              <w:top w:w="20" w:type="dxa"/>
              <w:left w:w="80" w:type="dxa"/>
              <w:bottom w:w="20" w:type="dxa"/>
              <w:right w:w="80" w:type="dxa"/>
            </w:tcMar>
            <w:vAlign w:val="center"/>
          </w:tcPr>
          <w:p w14:paraId="38CD07E5">
            <w:pPr>
              <w:spacing w:before="0" w:after="0" w:line="240" w:lineRule="auto"/>
              <w:jc w:val="left"/>
            </w:pPr>
            <w:r>
              <w:rPr>
                <w:rFonts w:ascii="Arial" w:hAnsi="Arial" w:eastAsia="Arial" w:cs="Times New Roman"/>
                <w:b w:val="0"/>
                <w:bCs w:val="0"/>
                <w:i w:val="0"/>
                <w:iCs w:val="0"/>
                <w:sz w:val="17"/>
                <w:szCs w:val="18"/>
              </w:rPr>
              <w:t>−0.004 (−0.009 to 0.002)</w:t>
            </w:r>
          </w:p>
        </w:tc>
        <w:tc>
          <w:tcPr>
            <w:tcW w:w="1200" w:type="dxa"/>
            <w:tcBorders/>
            <w:tcMar>
              <w:top w:w="20" w:type="dxa"/>
              <w:left w:w="80" w:type="dxa"/>
              <w:bottom w:w="20" w:type="dxa"/>
              <w:right w:w="80" w:type="dxa"/>
            </w:tcMar>
            <w:vAlign w:val="center"/>
          </w:tcPr>
          <w:p w14:paraId="395D67A7">
            <w:pPr>
              <w:spacing w:before="0" w:after="0" w:line="240" w:lineRule="auto"/>
              <w:jc w:val="left"/>
            </w:pPr>
            <w:r>
              <w:rPr>
                <w:rFonts w:ascii="Arial" w:hAnsi="Arial" w:eastAsia="Arial" w:cs="Times New Roman"/>
                <w:b w:val="0"/>
                <w:bCs w:val="0"/>
                <w:i w:val="0"/>
                <w:iCs w:val="0"/>
                <w:sz w:val="17"/>
                <w:szCs w:val="18"/>
              </w:rPr>
              <w:t>0.840</w:t>
            </w:r>
          </w:p>
        </w:tc>
        <w:tc>
          <w:tcPr>
            <w:tcW w:w="1538" w:type="dxa"/>
            <w:tcBorders/>
            <w:tcMar>
              <w:top w:w="20" w:type="dxa"/>
              <w:left w:w="80" w:type="dxa"/>
              <w:bottom w:w="20" w:type="dxa"/>
              <w:right w:w="80" w:type="dxa"/>
            </w:tcMar>
            <w:vAlign w:val="center"/>
          </w:tcPr>
          <w:p w14:paraId="166D1FBB">
            <w:pPr>
              <w:spacing w:before="0" w:after="0" w:line="240" w:lineRule="auto"/>
              <w:jc w:val="left"/>
            </w:pPr>
            <w:r>
              <w:rPr>
                <w:rFonts w:ascii="Arial" w:hAnsi="Arial" w:eastAsia="Arial" w:cs="Times New Roman"/>
                <w:b w:val="0"/>
                <w:bCs w:val="0"/>
                <w:i w:val="0"/>
                <w:iCs w:val="0"/>
                <w:sz w:val="17"/>
                <w:szCs w:val="18"/>
              </w:rPr>
              <w:t>0.629</w:t>
            </w:r>
          </w:p>
        </w:tc>
      </w:tr>
      <w:tr w14:paraId="222A008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0AE4FFB3">
            <w:pPr>
              <w:spacing w:before="0" w:after="0" w:line="240" w:lineRule="auto"/>
              <w:jc w:val="left"/>
            </w:pPr>
            <w:r>
              <w:rPr>
                <w:rFonts w:ascii="Arial" w:hAnsi="Arial" w:eastAsia="Arial" w:cs="Times New Roman"/>
                <w:b w:val="0"/>
                <w:bCs w:val="0"/>
                <w:i w:val="0"/>
                <w:iCs w:val="0"/>
                <w:sz w:val="17"/>
                <w:szCs w:val="18"/>
              </w:rPr>
              <w:t>Largest anteroposterior diameter</w:t>
            </w:r>
          </w:p>
        </w:tc>
        <w:tc>
          <w:tcPr>
            <w:tcW w:w="1700" w:type="dxa"/>
            <w:tcBorders/>
            <w:tcMar>
              <w:top w:w="20" w:type="dxa"/>
              <w:left w:w="80" w:type="dxa"/>
              <w:bottom w:w="20" w:type="dxa"/>
              <w:right w:w="80" w:type="dxa"/>
            </w:tcMar>
            <w:vAlign w:val="center"/>
          </w:tcPr>
          <w:p w14:paraId="2B2DC0BB">
            <w:pPr>
              <w:spacing w:before="0" w:after="0" w:line="240" w:lineRule="auto"/>
              <w:jc w:val="left"/>
            </w:pPr>
            <w:r>
              <w:rPr>
                <w:rFonts w:ascii="Arial" w:hAnsi="Arial" w:eastAsia="Arial" w:cs="Times New Roman"/>
                <w:b w:val="0"/>
                <w:bCs w:val="0"/>
                <w:i w:val="0"/>
                <w:iCs w:val="0"/>
                <w:sz w:val="17"/>
                <w:szCs w:val="18"/>
              </w:rPr>
              <w:t>0.720</w:t>
            </w:r>
          </w:p>
        </w:tc>
        <w:tc>
          <w:tcPr>
            <w:tcW w:w="2500" w:type="dxa"/>
            <w:tcBorders/>
            <w:tcMar>
              <w:top w:w="20" w:type="dxa"/>
              <w:left w:w="80" w:type="dxa"/>
              <w:bottom w:w="20" w:type="dxa"/>
              <w:right w:w="80" w:type="dxa"/>
            </w:tcMar>
            <w:vAlign w:val="center"/>
          </w:tcPr>
          <w:p w14:paraId="6ED1CD84">
            <w:pPr>
              <w:spacing w:before="0" w:after="0" w:line="240" w:lineRule="auto"/>
              <w:jc w:val="left"/>
            </w:pPr>
            <w:r>
              <w:rPr>
                <w:rFonts w:ascii="Arial" w:hAnsi="Arial" w:eastAsia="Arial" w:cs="Times New Roman"/>
                <w:b w:val="0"/>
                <w:bCs w:val="0"/>
                <w:i w:val="0"/>
                <w:iCs w:val="0"/>
                <w:sz w:val="17"/>
                <w:szCs w:val="18"/>
              </w:rPr>
              <w:t>−0.008 (−0.015 to −0.001)</w:t>
            </w:r>
          </w:p>
        </w:tc>
        <w:tc>
          <w:tcPr>
            <w:tcW w:w="1200" w:type="dxa"/>
            <w:tcBorders/>
            <w:tcMar>
              <w:top w:w="20" w:type="dxa"/>
              <w:left w:w="80" w:type="dxa"/>
              <w:bottom w:w="20" w:type="dxa"/>
              <w:right w:w="80" w:type="dxa"/>
            </w:tcMar>
            <w:vAlign w:val="center"/>
          </w:tcPr>
          <w:p w14:paraId="24FB9E47">
            <w:pPr>
              <w:spacing w:before="0" w:after="0" w:line="240" w:lineRule="auto"/>
              <w:jc w:val="left"/>
            </w:pPr>
            <w:r>
              <w:rPr>
                <w:rFonts w:ascii="Arial" w:hAnsi="Arial" w:eastAsia="Arial" w:cs="Times New Roman"/>
                <w:b w:val="0"/>
                <w:bCs w:val="0"/>
                <w:i w:val="0"/>
                <w:iCs w:val="0"/>
                <w:sz w:val="17"/>
                <w:szCs w:val="18"/>
              </w:rPr>
              <w:t>0.200</w:t>
            </w:r>
          </w:p>
        </w:tc>
        <w:tc>
          <w:tcPr>
            <w:tcW w:w="1538" w:type="dxa"/>
            <w:tcBorders/>
            <w:tcMar>
              <w:top w:w="20" w:type="dxa"/>
              <w:left w:w="80" w:type="dxa"/>
              <w:bottom w:w="20" w:type="dxa"/>
              <w:right w:w="80" w:type="dxa"/>
            </w:tcMar>
            <w:vAlign w:val="center"/>
          </w:tcPr>
          <w:p w14:paraId="12C935FE">
            <w:pPr>
              <w:spacing w:before="0" w:after="0" w:line="240" w:lineRule="auto"/>
              <w:jc w:val="left"/>
            </w:pPr>
            <w:r>
              <w:rPr>
                <w:rFonts w:ascii="Arial" w:hAnsi="Arial" w:eastAsia="Arial" w:cs="Times New Roman"/>
                <w:b w:val="0"/>
                <w:bCs w:val="0"/>
                <w:i w:val="0"/>
                <w:iCs w:val="0"/>
                <w:sz w:val="17"/>
                <w:szCs w:val="18"/>
              </w:rPr>
              <w:t>0.628</w:t>
            </w:r>
          </w:p>
        </w:tc>
      </w:tr>
      <w:tr w14:paraId="430D37B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05F975B0">
            <w:pPr>
              <w:spacing w:before="0" w:after="0" w:line="240" w:lineRule="auto"/>
              <w:jc w:val="left"/>
            </w:pPr>
            <w:r>
              <w:rPr>
                <w:rFonts w:ascii="Arial" w:hAnsi="Arial" w:eastAsia="Arial" w:cs="Times New Roman"/>
                <w:b w:val="0"/>
                <w:bCs w:val="0"/>
                <w:i w:val="0"/>
                <w:iCs w:val="0"/>
                <w:sz w:val="17"/>
                <w:szCs w:val="18"/>
              </w:rPr>
              <w:t>Smallest anteroposterior diameter</w:t>
            </w:r>
          </w:p>
        </w:tc>
        <w:tc>
          <w:tcPr>
            <w:tcW w:w="1700" w:type="dxa"/>
            <w:tcBorders/>
            <w:tcMar>
              <w:top w:w="20" w:type="dxa"/>
              <w:left w:w="80" w:type="dxa"/>
              <w:bottom w:w="20" w:type="dxa"/>
              <w:right w:w="80" w:type="dxa"/>
            </w:tcMar>
            <w:vAlign w:val="center"/>
          </w:tcPr>
          <w:p w14:paraId="745ED5EB">
            <w:pPr>
              <w:spacing w:before="0" w:after="0" w:line="240" w:lineRule="auto"/>
              <w:jc w:val="left"/>
            </w:pPr>
            <w:r>
              <w:rPr>
                <w:rFonts w:ascii="Arial" w:hAnsi="Arial" w:eastAsia="Arial" w:cs="Times New Roman"/>
                <w:b w:val="0"/>
                <w:bCs w:val="0"/>
                <w:i w:val="0"/>
                <w:iCs w:val="0"/>
                <w:sz w:val="17"/>
                <w:szCs w:val="18"/>
              </w:rPr>
              <w:t>0.721</w:t>
            </w:r>
          </w:p>
        </w:tc>
        <w:tc>
          <w:tcPr>
            <w:tcW w:w="2500" w:type="dxa"/>
            <w:tcBorders/>
            <w:tcMar>
              <w:top w:w="20" w:type="dxa"/>
              <w:left w:w="80" w:type="dxa"/>
              <w:bottom w:w="20" w:type="dxa"/>
              <w:right w:w="80" w:type="dxa"/>
            </w:tcMar>
            <w:vAlign w:val="center"/>
          </w:tcPr>
          <w:p w14:paraId="5A7D6E6E">
            <w:pPr>
              <w:spacing w:before="0" w:after="0" w:line="240" w:lineRule="auto"/>
              <w:jc w:val="left"/>
            </w:pPr>
            <w:r>
              <w:rPr>
                <w:rFonts w:ascii="Arial" w:hAnsi="Arial" w:eastAsia="Arial" w:cs="Times New Roman"/>
                <w:b w:val="0"/>
                <w:bCs w:val="0"/>
                <w:i w:val="0"/>
                <w:iCs w:val="0"/>
                <w:sz w:val="17"/>
                <w:szCs w:val="18"/>
              </w:rPr>
              <w:t>−0.008 (−0.018 to 0.002)</w:t>
            </w:r>
          </w:p>
        </w:tc>
        <w:tc>
          <w:tcPr>
            <w:tcW w:w="1200" w:type="dxa"/>
            <w:tcBorders/>
            <w:tcMar>
              <w:top w:w="20" w:type="dxa"/>
              <w:left w:w="80" w:type="dxa"/>
              <w:bottom w:w="20" w:type="dxa"/>
              <w:right w:w="80" w:type="dxa"/>
            </w:tcMar>
            <w:vAlign w:val="center"/>
          </w:tcPr>
          <w:p w14:paraId="799E4907">
            <w:pPr>
              <w:spacing w:before="0" w:after="0" w:line="240" w:lineRule="auto"/>
              <w:jc w:val="left"/>
            </w:pPr>
            <w:r>
              <w:rPr>
                <w:rFonts w:ascii="Arial" w:hAnsi="Arial" w:eastAsia="Arial" w:cs="Times New Roman"/>
                <w:b w:val="0"/>
                <w:bCs w:val="0"/>
                <w:i w:val="0"/>
                <w:iCs w:val="0"/>
                <w:sz w:val="17"/>
                <w:szCs w:val="18"/>
              </w:rPr>
              <w:t>0.784</w:t>
            </w:r>
          </w:p>
        </w:tc>
        <w:tc>
          <w:tcPr>
            <w:tcW w:w="1538" w:type="dxa"/>
            <w:tcBorders/>
            <w:tcMar>
              <w:top w:w="20" w:type="dxa"/>
              <w:left w:w="80" w:type="dxa"/>
              <w:bottom w:w="20" w:type="dxa"/>
              <w:right w:w="80" w:type="dxa"/>
            </w:tcMar>
            <w:vAlign w:val="center"/>
          </w:tcPr>
          <w:p w14:paraId="6857FE0B">
            <w:pPr>
              <w:spacing w:before="0" w:after="0" w:line="240" w:lineRule="auto"/>
              <w:jc w:val="left"/>
            </w:pPr>
            <w:r>
              <w:rPr>
                <w:rFonts w:ascii="Arial" w:hAnsi="Arial" w:eastAsia="Arial" w:cs="Times New Roman"/>
                <w:b w:val="0"/>
                <w:bCs w:val="0"/>
                <w:i w:val="0"/>
                <w:iCs w:val="0"/>
                <w:sz w:val="17"/>
                <w:szCs w:val="18"/>
              </w:rPr>
              <w:t>0.628</w:t>
            </w:r>
          </w:p>
        </w:tc>
      </w:tr>
      <w:tr w14:paraId="1633102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6929A16B">
            <w:pPr>
              <w:spacing w:before="0" w:after="0" w:line="240" w:lineRule="auto"/>
              <w:jc w:val="left"/>
            </w:pPr>
            <w:r>
              <w:rPr>
                <w:rFonts w:ascii="Arial" w:hAnsi="Arial" w:eastAsia="Arial" w:cs="Times New Roman"/>
                <w:b w:val="0"/>
                <w:bCs w:val="0"/>
                <w:i w:val="0"/>
                <w:iCs w:val="0"/>
                <w:sz w:val="17"/>
                <w:szCs w:val="18"/>
              </w:rPr>
              <w:t>Mean longitudinal diameter</w:t>
            </w:r>
          </w:p>
        </w:tc>
        <w:tc>
          <w:tcPr>
            <w:tcW w:w="1700" w:type="dxa"/>
            <w:tcBorders/>
            <w:tcMar>
              <w:top w:w="20" w:type="dxa"/>
              <w:left w:w="80" w:type="dxa"/>
              <w:bottom w:w="20" w:type="dxa"/>
              <w:right w:w="80" w:type="dxa"/>
            </w:tcMar>
            <w:vAlign w:val="center"/>
          </w:tcPr>
          <w:p w14:paraId="5BFC72E4">
            <w:pPr>
              <w:spacing w:before="0" w:after="0" w:line="240" w:lineRule="auto"/>
              <w:jc w:val="left"/>
            </w:pPr>
            <w:r>
              <w:rPr>
                <w:rFonts w:ascii="Arial" w:hAnsi="Arial" w:eastAsia="Arial" w:cs="Times New Roman"/>
                <w:b w:val="0"/>
                <w:bCs w:val="0"/>
                <w:i w:val="0"/>
                <w:iCs w:val="0"/>
                <w:sz w:val="17"/>
                <w:szCs w:val="18"/>
              </w:rPr>
              <w:t>0.711</w:t>
            </w:r>
          </w:p>
        </w:tc>
        <w:tc>
          <w:tcPr>
            <w:tcW w:w="2500" w:type="dxa"/>
            <w:tcBorders/>
            <w:tcMar>
              <w:top w:w="20" w:type="dxa"/>
              <w:left w:w="80" w:type="dxa"/>
              <w:bottom w:w="20" w:type="dxa"/>
              <w:right w:w="80" w:type="dxa"/>
            </w:tcMar>
            <w:vAlign w:val="center"/>
          </w:tcPr>
          <w:p w14:paraId="51B1121A">
            <w:pPr>
              <w:spacing w:before="0" w:after="0" w:line="240" w:lineRule="auto"/>
              <w:jc w:val="left"/>
            </w:pPr>
            <w:r>
              <w:rPr>
                <w:rFonts w:ascii="Arial" w:hAnsi="Arial" w:eastAsia="Arial" w:cs="Times New Roman"/>
                <w:b w:val="0"/>
                <w:bCs w:val="0"/>
                <w:i w:val="0"/>
                <w:iCs w:val="0"/>
                <w:sz w:val="17"/>
                <w:szCs w:val="18"/>
              </w:rPr>
              <w:t>−0.018 (−0.037 to 0.004)</w:t>
            </w:r>
          </w:p>
        </w:tc>
        <w:tc>
          <w:tcPr>
            <w:tcW w:w="1200" w:type="dxa"/>
            <w:tcBorders/>
            <w:tcMar>
              <w:top w:w="20" w:type="dxa"/>
              <w:left w:w="80" w:type="dxa"/>
              <w:bottom w:w="20" w:type="dxa"/>
              <w:right w:w="80" w:type="dxa"/>
            </w:tcMar>
            <w:vAlign w:val="center"/>
          </w:tcPr>
          <w:p w14:paraId="4E336963">
            <w:pPr>
              <w:spacing w:before="0" w:after="0" w:line="240" w:lineRule="auto"/>
              <w:jc w:val="left"/>
            </w:pPr>
            <w:r>
              <w:rPr>
                <w:rFonts w:ascii="Arial" w:hAnsi="Arial" w:eastAsia="Arial" w:cs="Times New Roman"/>
                <w:b w:val="0"/>
                <w:bCs w:val="0"/>
                <w:i w:val="0"/>
                <w:iCs w:val="0"/>
                <w:sz w:val="17"/>
                <w:szCs w:val="18"/>
              </w:rPr>
              <w:t>0.784</w:t>
            </w:r>
          </w:p>
        </w:tc>
        <w:tc>
          <w:tcPr>
            <w:tcW w:w="1538" w:type="dxa"/>
            <w:tcBorders/>
            <w:tcMar>
              <w:top w:w="20" w:type="dxa"/>
              <w:left w:w="80" w:type="dxa"/>
              <w:bottom w:w="20" w:type="dxa"/>
              <w:right w:w="80" w:type="dxa"/>
            </w:tcMar>
            <w:vAlign w:val="center"/>
          </w:tcPr>
          <w:p w14:paraId="04C585CF">
            <w:pPr>
              <w:spacing w:before="0" w:after="0" w:line="240" w:lineRule="auto"/>
              <w:jc w:val="left"/>
            </w:pPr>
            <w:r>
              <w:rPr>
                <w:rFonts w:ascii="Arial" w:hAnsi="Arial" w:eastAsia="Arial" w:cs="Times New Roman"/>
                <w:b w:val="0"/>
                <w:bCs w:val="0"/>
                <w:i w:val="0"/>
                <w:iCs w:val="0"/>
                <w:sz w:val="17"/>
                <w:szCs w:val="18"/>
              </w:rPr>
              <w:t>0.621</w:t>
            </w:r>
          </w:p>
        </w:tc>
      </w:tr>
      <w:tr w14:paraId="488591D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tcMar>
              <w:top w:w="20" w:type="dxa"/>
              <w:left w:w="80" w:type="dxa"/>
              <w:bottom w:w="20" w:type="dxa"/>
              <w:right w:w="80" w:type="dxa"/>
            </w:tcMar>
            <w:vAlign w:val="center"/>
          </w:tcPr>
          <w:p w14:paraId="2F2FA12E">
            <w:pPr>
              <w:spacing w:before="0" w:after="0" w:line="240" w:lineRule="auto"/>
              <w:jc w:val="left"/>
            </w:pPr>
            <w:r>
              <w:rPr>
                <w:rFonts w:ascii="Arial" w:hAnsi="Arial" w:eastAsia="Arial" w:cs="Times New Roman"/>
                <w:b w:val="0"/>
                <w:bCs w:val="0"/>
                <w:i w:val="0"/>
                <w:iCs w:val="0"/>
                <w:sz w:val="17"/>
                <w:szCs w:val="18"/>
              </w:rPr>
              <w:t>Largest longitudinal diameter</w:t>
            </w:r>
          </w:p>
        </w:tc>
        <w:tc>
          <w:tcPr>
            <w:tcW w:w="1700" w:type="dxa"/>
            <w:tcBorders/>
            <w:tcMar>
              <w:top w:w="20" w:type="dxa"/>
              <w:left w:w="80" w:type="dxa"/>
              <w:bottom w:w="20" w:type="dxa"/>
              <w:right w:w="80" w:type="dxa"/>
            </w:tcMar>
            <w:vAlign w:val="center"/>
          </w:tcPr>
          <w:p w14:paraId="68BC1920">
            <w:pPr>
              <w:spacing w:before="0" w:after="0" w:line="240" w:lineRule="auto"/>
              <w:jc w:val="left"/>
            </w:pPr>
            <w:r>
              <w:rPr>
                <w:rFonts w:ascii="Arial" w:hAnsi="Arial" w:eastAsia="Arial" w:cs="Times New Roman"/>
                <w:b w:val="0"/>
                <w:bCs w:val="0"/>
                <w:i w:val="0"/>
                <w:iCs w:val="0"/>
                <w:sz w:val="17"/>
                <w:szCs w:val="18"/>
              </w:rPr>
              <w:t>0.711</w:t>
            </w:r>
          </w:p>
        </w:tc>
        <w:tc>
          <w:tcPr>
            <w:tcW w:w="2500" w:type="dxa"/>
            <w:tcBorders/>
            <w:tcMar>
              <w:top w:w="20" w:type="dxa"/>
              <w:left w:w="80" w:type="dxa"/>
              <w:bottom w:w="20" w:type="dxa"/>
              <w:right w:w="80" w:type="dxa"/>
            </w:tcMar>
            <w:vAlign w:val="center"/>
          </w:tcPr>
          <w:p w14:paraId="692D5CB4">
            <w:pPr>
              <w:spacing w:before="0" w:after="0" w:line="240" w:lineRule="auto"/>
              <w:jc w:val="left"/>
            </w:pPr>
            <w:r>
              <w:rPr>
                <w:rFonts w:ascii="Arial" w:hAnsi="Arial" w:eastAsia="Arial" w:cs="Times New Roman"/>
                <w:b w:val="0"/>
                <w:bCs w:val="0"/>
                <w:i w:val="0"/>
                <w:iCs w:val="0"/>
                <w:sz w:val="17"/>
                <w:szCs w:val="18"/>
              </w:rPr>
              <w:t>−0.017 (−0.037 to 0.002)</w:t>
            </w:r>
          </w:p>
        </w:tc>
        <w:tc>
          <w:tcPr>
            <w:tcW w:w="1200" w:type="dxa"/>
            <w:tcBorders/>
            <w:tcMar>
              <w:top w:w="20" w:type="dxa"/>
              <w:left w:w="80" w:type="dxa"/>
              <w:bottom w:w="20" w:type="dxa"/>
              <w:right w:w="80" w:type="dxa"/>
            </w:tcMar>
            <w:vAlign w:val="center"/>
          </w:tcPr>
          <w:p w14:paraId="51C22CC1">
            <w:pPr>
              <w:spacing w:before="0" w:after="0" w:line="240" w:lineRule="auto"/>
              <w:jc w:val="left"/>
            </w:pPr>
            <w:r>
              <w:rPr>
                <w:rFonts w:ascii="Arial" w:hAnsi="Arial" w:eastAsia="Arial" w:cs="Times New Roman"/>
                <w:b w:val="0"/>
                <w:bCs w:val="0"/>
                <w:i w:val="0"/>
                <w:iCs w:val="0"/>
                <w:sz w:val="17"/>
                <w:szCs w:val="18"/>
              </w:rPr>
              <w:t>0.784</w:t>
            </w:r>
          </w:p>
        </w:tc>
        <w:tc>
          <w:tcPr>
            <w:tcW w:w="1538" w:type="dxa"/>
            <w:tcBorders/>
            <w:tcMar>
              <w:top w:w="20" w:type="dxa"/>
              <w:left w:w="80" w:type="dxa"/>
              <w:bottom w:w="20" w:type="dxa"/>
              <w:right w:w="80" w:type="dxa"/>
            </w:tcMar>
            <w:vAlign w:val="center"/>
          </w:tcPr>
          <w:p w14:paraId="6AB1E1B1">
            <w:pPr>
              <w:spacing w:before="0" w:after="0" w:line="240" w:lineRule="auto"/>
              <w:jc w:val="left"/>
            </w:pPr>
            <w:r>
              <w:rPr>
                <w:rFonts w:ascii="Arial" w:hAnsi="Arial" w:eastAsia="Arial" w:cs="Times New Roman"/>
                <w:b w:val="0"/>
                <w:bCs w:val="0"/>
                <w:i w:val="0"/>
                <w:iCs w:val="0"/>
                <w:sz w:val="17"/>
                <w:szCs w:val="18"/>
              </w:rPr>
              <w:t>0.620</w:t>
            </w:r>
          </w:p>
        </w:tc>
      </w:tr>
      <w:tr w14:paraId="131D0F7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700" w:type="dxa"/>
            <w:tcBorders>
              <w:bottom w:val="single" w:sz="8" w:color="000000"/>
            </w:tcBorders>
            <w:tcMar>
              <w:top w:w="20" w:type="dxa"/>
              <w:left w:w="80" w:type="dxa"/>
              <w:bottom w:w="20" w:type="dxa"/>
              <w:right w:w="80" w:type="dxa"/>
            </w:tcMar>
            <w:vAlign w:val="center"/>
          </w:tcPr>
          <w:p w14:paraId="7CC176D7">
            <w:pPr>
              <w:spacing w:before="0" w:after="0" w:line="240" w:lineRule="auto"/>
              <w:jc w:val="left"/>
            </w:pPr>
            <w:r>
              <w:rPr>
                <w:rFonts w:ascii="Arial" w:hAnsi="Arial" w:eastAsia="Arial" w:cs="Times New Roman"/>
                <w:b w:val="0"/>
                <w:bCs w:val="0"/>
                <w:i w:val="0"/>
                <w:iCs w:val="0"/>
                <w:sz w:val="17"/>
                <w:szCs w:val="18"/>
              </w:rPr>
              <w:t>Smallest longitudinal diameter</w:t>
            </w:r>
          </w:p>
        </w:tc>
        <w:tc>
          <w:tcPr>
            <w:tcW w:w="1700" w:type="dxa"/>
            <w:tcBorders>
              <w:bottom w:val="single" w:sz="8" w:color="000000"/>
            </w:tcBorders>
            <w:tcMar>
              <w:top w:w="20" w:type="dxa"/>
              <w:left w:w="80" w:type="dxa"/>
              <w:bottom w:w="20" w:type="dxa"/>
              <w:right w:w="80" w:type="dxa"/>
            </w:tcMar>
            <w:vAlign w:val="center"/>
          </w:tcPr>
          <w:p w14:paraId="452C3735">
            <w:pPr>
              <w:spacing w:before="0" w:after="0" w:line="240" w:lineRule="auto"/>
              <w:jc w:val="left"/>
            </w:pPr>
            <w:r>
              <w:rPr>
                <w:rFonts w:ascii="Arial" w:hAnsi="Arial" w:eastAsia="Arial" w:cs="Times New Roman"/>
                <w:b w:val="0"/>
                <w:bCs w:val="0"/>
                <w:i w:val="0"/>
                <w:iCs w:val="0"/>
                <w:sz w:val="17"/>
                <w:szCs w:val="18"/>
              </w:rPr>
              <w:t>0.704</w:t>
            </w:r>
          </w:p>
        </w:tc>
        <w:tc>
          <w:tcPr>
            <w:tcW w:w="2500" w:type="dxa"/>
            <w:tcBorders>
              <w:bottom w:val="single" w:sz="8" w:color="000000"/>
            </w:tcBorders>
            <w:tcMar>
              <w:top w:w="20" w:type="dxa"/>
              <w:left w:w="80" w:type="dxa"/>
              <w:bottom w:w="20" w:type="dxa"/>
              <w:right w:w="80" w:type="dxa"/>
            </w:tcMar>
            <w:vAlign w:val="center"/>
          </w:tcPr>
          <w:p w14:paraId="1F7C927F">
            <w:pPr>
              <w:spacing w:before="0" w:after="0" w:line="240" w:lineRule="auto"/>
              <w:jc w:val="left"/>
            </w:pPr>
            <w:r>
              <w:rPr>
                <w:rFonts w:ascii="Arial" w:hAnsi="Arial" w:eastAsia="Arial" w:cs="Times New Roman"/>
                <w:b w:val="0"/>
                <w:bCs w:val="0"/>
                <w:i w:val="0"/>
                <w:iCs w:val="0"/>
                <w:sz w:val="17"/>
                <w:szCs w:val="18"/>
              </w:rPr>
              <w:t>−0.024 (−0.045 to −0.002)</w:t>
            </w:r>
          </w:p>
        </w:tc>
        <w:tc>
          <w:tcPr>
            <w:tcW w:w="1200" w:type="dxa"/>
            <w:tcBorders>
              <w:bottom w:val="single" w:sz="8" w:color="000000"/>
            </w:tcBorders>
            <w:tcMar>
              <w:top w:w="20" w:type="dxa"/>
              <w:left w:w="80" w:type="dxa"/>
              <w:bottom w:w="20" w:type="dxa"/>
              <w:right w:w="80" w:type="dxa"/>
            </w:tcMar>
            <w:vAlign w:val="center"/>
          </w:tcPr>
          <w:p w14:paraId="47ABC870">
            <w:pPr>
              <w:spacing w:before="0" w:after="0" w:line="240" w:lineRule="auto"/>
              <w:jc w:val="left"/>
            </w:pPr>
            <w:r>
              <w:rPr>
                <w:rFonts w:ascii="Arial" w:hAnsi="Arial" w:eastAsia="Arial" w:cs="Times New Roman"/>
                <w:b w:val="0"/>
                <w:bCs w:val="0"/>
                <w:i w:val="0"/>
                <w:iCs w:val="0"/>
                <w:sz w:val="17"/>
                <w:szCs w:val="18"/>
              </w:rPr>
              <w:t>0.270</w:t>
            </w:r>
          </w:p>
        </w:tc>
        <w:tc>
          <w:tcPr>
            <w:tcW w:w="1538" w:type="dxa"/>
            <w:tcBorders>
              <w:bottom w:val="single" w:sz="8" w:color="000000"/>
            </w:tcBorders>
            <w:tcMar>
              <w:top w:w="20" w:type="dxa"/>
              <w:left w:w="80" w:type="dxa"/>
              <w:bottom w:w="20" w:type="dxa"/>
              <w:right w:w="80" w:type="dxa"/>
            </w:tcMar>
            <w:vAlign w:val="center"/>
          </w:tcPr>
          <w:p w14:paraId="617DA23B">
            <w:pPr>
              <w:spacing w:before="0" w:after="0" w:line="240" w:lineRule="auto"/>
              <w:jc w:val="left"/>
            </w:pPr>
            <w:r>
              <w:rPr>
                <w:rFonts w:ascii="Arial" w:hAnsi="Arial" w:eastAsia="Arial" w:cs="Times New Roman"/>
                <w:b w:val="0"/>
                <w:bCs w:val="0"/>
                <w:i w:val="0"/>
                <w:iCs w:val="0"/>
                <w:sz w:val="17"/>
                <w:szCs w:val="18"/>
              </w:rPr>
              <w:t>0.619</w:t>
            </w:r>
          </w:p>
        </w:tc>
      </w:tr>
    </w:tbl>
    <w:p w14:paraId="0CF184F4">
      <w:pPr>
        <w:keepNext w:val="0"/>
        <w:spacing w:before="0" w:after="40" w:line="220" w:lineRule="auto"/>
        <w:jc w:val="left"/>
      </w:pPr>
      <w:r>
        <w:rPr>
          <w:rFonts w:ascii="Times New Roman" w:hAnsi="Times New Roman" w:eastAsia="Times New Roman" w:cs="Times New Roman"/>
          <w:b w:val="0"/>
          <w:bCs w:val="0"/>
          <w:i w:val="0"/>
          <w:iCs w:val="0"/>
          <w:sz w:val="17"/>
          <w:szCs w:val="17"/>
        </w:rPr>
        <w:t xml:space="preserve">All models started from the final common cohort. Models of continuous DFI used n = 1,482 and models of progressive motility used the 1,475 men with that outcome recorded. Effects are percentage differences per 1 SD of each measurement after adjustment for age, varicocele and centred natural cubic splines (three degrees of freedom) for both abstinence intervals. Adjusted AUC models used the same covariates. ΔAUC is the paired patient-level difference from bilateral total volume; Holm </w:t>
      </w: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values control the family of candidate-measurement comparisons.</w:t>
      </w:r>
    </w:p>
    <w:p w14:paraId="0F097E2C">
      <w:pPr>
        <w:keepNext w:val="0"/>
        <w:spacing w:before="0" w:after="40" w:line="220" w:lineRule="auto"/>
        <w:jc w:val="left"/>
      </w:pPr>
      <w:r>
        <w:rPr>
          <w:rFonts w:ascii="Times New Roman" w:hAnsi="Times New Roman" w:eastAsia="Times New Roman" w:cs="Times New Roman"/>
          <w:b w:val="0"/>
          <w:bCs w:val="0"/>
          <w:i w:val="0"/>
          <w:iCs w:val="0"/>
          <w:sz w:val="17"/>
          <w:szCs w:val="17"/>
          <w:vertAlign w:val="superscript"/>
        </w:rPr>
        <w:t>a</w:t>
      </w:r>
      <w:r>
        <w:rPr>
          <w:rFonts w:ascii="Times New Roman" w:hAnsi="Times New Roman" w:eastAsia="Times New Roman" w:cs="Times New Roman"/>
          <w:b w:val="0"/>
          <w:bCs w:val="0"/>
          <w:i w:val="0"/>
          <w:iCs w:val="0"/>
          <w:sz w:val="17"/>
          <w:szCs w:val="17"/>
        </w:rPr>
        <w:t>Mean per-side volume is an exact linear rescaling of bilateral total volume (bilateral total volume divided by two when both sides are complete) and is not an independent competing measurement.</w:t>
      </w:r>
    </w:p>
    <w:p w14:paraId="05FE3EB1">
      <w:pPr>
        <w:keepNext w:val="0"/>
        <w:spacing w:before="0" w:after="40" w:line="220" w:lineRule="auto"/>
        <w:jc w:val="left"/>
      </w:pPr>
      <w:r>
        <w:rPr>
          <w:rFonts w:ascii="Times New Roman" w:hAnsi="Times New Roman" w:eastAsia="Times New Roman" w:cs="Times New Roman"/>
          <w:b w:val="0"/>
          <w:bCs w:val="0"/>
          <w:i w:val="0"/>
          <w:iCs w:val="0"/>
          <w:sz w:val="17"/>
          <w:szCs w:val="17"/>
        </w:rPr>
        <w:t>The covariate-only AUC was 0.657 for DFI ≥ 30% and 0.607 for progressive motility &lt; 32%. No candidate measurement outperformed bilateral total volume after correction for multiplicity. Internally derived cut-offs are retained in the analysis archive and are not proposed as clinical thresholds.</w:t>
      </w:r>
    </w:p>
    <w:p w14:paraId="7B400B05">
      <w:pPr>
        <w:keepNext w:val="0"/>
        <w:spacing w:before="0" w:after="40" w:line="220" w:lineRule="auto"/>
        <w:jc w:val="left"/>
      </w:pPr>
      <w:r>
        <w:rPr>
          <w:rFonts w:ascii="Times New Roman" w:hAnsi="Times New Roman" w:eastAsia="Times New Roman" w:cs="Times New Roman"/>
          <w:b w:val="0"/>
          <w:bCs w:val="0"/>
          <w:i w:val="0"/>
          <w:iCs w:val="0"/>
          <w:sz w:val="17"/>
          <w:szCs w:val="17"/>
        </w:rPr>
        <w:t>AUC, area under the receiver operating characteristic curve; CI, confidence interval; DFI, sperm DNA fragmentation index; SD, standard deviation.</w:t>
      </w:r>
    </w:p>
    <w:p w14:paraId="7614B0A3">
      <w:r>
        <w:br w:type="page"/>
      </w:r>
    </w:p>
    <w:p w14:paraId="5D4D87B5">
      <w:pPr>
        <w:keepNext/>
        <w:spacing w:before="0" w:after="100" w:line="240" w:lineRule="auto"/>
        <w:jc w:val="left"/>
      </w:pPr>
      <w:r>
        <w:rPr>
          <w:rFonts w:ascii="Times New Roman" w:hAnsi="Times New Roman" w:eastAsia="Times New Roman" w:cs="Times New Roman"/>
          <w:b/>
          <w:bCs/>
          <w:i w:val="0"/>
          <w:iCs w:val="0"/>
          <w:sz w:val="22"/>
          <w:szCs w:val="22"/>
        </w:rPr>
        <w:t>Supplementary Table S5. Sensitivity of the primary estimate to abstinence-duration specification</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4400"/>
        <w:gridCol w:w="1400"/>
        <w:gridCol w:w="1500"/>
        <w:gridCol w:w="2338"/>
      </w:tblGrid>
      <w:tr w14:paraId="6C260F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4400" w:type="dxa"/>
            <w:tcBorders>
              <w:top w:val="single" w:sz="8" w:color="000000"/>
              <w:bottom w:val="single" w:sz="8" w:color="000000"/>
            </w:tcBorders>
            <w:tcMar>
              <w:top w:w="20" w:type="dxa"/>
              <w:left w:w="80" w:type="dxa"/>
              <w:bottom w:w="20" w:type="dxa"/>
              <w:right w:w="80" w:type="dxa"/>
            </w:tcMar>
            <w:vAlign w:val="center"/>
          </w:tcPr>
          <w:p w14:paraId="61CED9FA">
            <w:pPr>
              <w:spacing w:before="0" w:after="0" w:line="240" w:lineRule="auto"/>
              <w:jc w:val="left"/>
            </w:pPr>
            <w:r>
              <w:rPr>
                <w:rFonts w:ascii="Arial" w:hAnsi="Arial" w:eastAsia="Arial" w:cs="Times New Roman"/>
                <w:b/>
                <w:bCs/>
                <w:i w:val="0"/>
                <w:iCs w:val="0"/>
                <w:sz w:val="17"/>
                <w:szCs w:val="18"/>
              </w:rPr>
              <w:t>Analysis</w:t>
            </w:r>
          </w:p>
        </w:tc>
        <w:tc>
          <w:tcPr>
            <w:tcW w:w="1400" w:type="dxa"/>
            <w:tcBorders>
              <w:top w:val="single" w:sz="8" w:color="000000"/>
              <w:bottom w:val="single" w:sz="8" w:color="000000"/>
            </w:tcBorders>
            <w:tcMar>
              <w:top w:w="20" w:type="dxa"/>
              <w:left w:w="80" w:type="dxa"/>
              <w:bottom w:w="20" w:type="dxa"/>
              <w:right w:w="80" w:type="dxa"/>
            </w:tcMar>
            <w:vAlign w:val="center"/>
          </w:tcPr>
          <w:p w14:paraId="1C8BD42E">
            <w:pPr>
              <w:spacing w:before="0" w:after="0" w:line="240" w:lineRule="auto"/>
              <w:jc w:val="left"/>
            </w:pPr>
            <w:r>
              <w:rPr>
                <w:rFonts w:ascii="Arial" w:hAnsi="Arial" w:eastAsia="Arial" w:cs="Times New Roman"/>
                <w:b/>
                <w:bCs/>
                <w:i w:val="0"/>
                <w:iCs w:val="0"/>
                <w:sz w:val="17"/>
                <w:szCs w:val="18"/>
              </w:rPr>
              <w:t>n</w:t>
            </w:r>
          </w:p>
        </w:tc>
        <w:tc>
          <w:tcPr>
            <w:tcW w:w="1500" w:type="dxa"/>
            <w:tcBorders>
              <w:top w:val="single" w:sz="8" w:color="000000"/>
              <w:bottom w:val="single" w:sz="8" w:color="000000"/>
            </w:tcBorders>
            <w:tcMar>
              <w:top w:w="20" w:type="dxa"/>
              <w:left w:w="80" w:type="dxa"/>
              <w:bottom w:w="20" w:type="dxa"/>
              <w:right w:w="80" w:type="dxa"/>
            </w:tcMar>
            <w:vAlign w:val="center"/>
          </w:tcPr>
          <w:p w14:paraId="5A2CC505">
            <w:pPr>
              <w:spacing w:before="0" w:after="0" w:line="240" w:lineRule="auto"/>
              <w:jc w:val="left"/>
            </w:pPr>
            <w:r>
              <w:rPr>
                <w:rFonts w:ascii="Arial" w:hAnsi="Arial" w:eastAsia="Arial" w:cs="Times New Roman"/>
                <w:b/>
                <w:bCs/>
                <w:i w:val="0"/>
                <w:iCs w:val="0"/>
                <w:sz w:val="17"/>
                <w:szCs w:val="18"/>
              </w:rPr>
              <w:t>Events</w:t>
            </w:r>
          </w:p>
        </w:tc>
        <w:tc>
          <w:tcPr>
            <w:tcW w:w="2338" w:type="dxa"/>
            <w:tcBorders>
              <w:top w:val="single" w:sz="8" w:color="000000"/>
              <w:bottom w:val="single" w:sz="8" w:color="000000"/>
            </w:tcBorders>
            <w:tcMar>
              <w:top w:w="20" w:type="dxa"/>
              <w:left w:w="80" w:type="dxa"/>
              <w:bottom w:w="20" w:type="dxa"/>
              <w:right w:w="80" w:type="dxa"/>
            </w:tcMar>
            <w:vAlign w:val="center"/>
          </w:tcPr>
          <w:p w14:paraId="4225A685">
            <w:pPr>
              <w:spacing w:before="0" w:after="0" w:line="240" w:lineRule="auto"/>
              <w:jc w:val="left"/>
            </w:pPr>
            <w:r>
              <w:rPr>
                <w:rFonts w:ascii="Arial" w:hAnsi="Arial" w:eastAsia="Arial" w:cs="Times New Roman"/>
                <w:b/>
                <w:bCs/>
                <w:i w:val="0"/>
                <w:iCs w:val="0"/>
                <w:sz w:val="17"/>
                <w:szCs w:val="18"/>
              </w:rPr>
              <w:t>Adjusted OR (95% CI)</w:t>
            </w:r>
          </w:p>
        </w:tc>
      </w:tr>
      <w:tr w14:paraId="4531AD7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4400" w:type="dxa"/>
            <w:tcBorders/>
            <w:tcMar>
              <w:top w:w="20" w:type="dxa"/>
              <w:left w:w="80" w:type="dxa"/>
              <w:bottom w:w="20" w:type="dxa"/>
              <w:right w:w="80" w:type="dxa"/>
            </w:tcMar>
            <w:vAlign w:val="center"/>
          </w:tcPr>
          <w:p w14:paraId="04A759EB">
            <w:pPr>
              <w:spacing w:before="0" w:after="0" w:line="240" w:lineRule="auto"/>
              <w:jc w:val="left"/>
            </w:pPr>
            <w:r>
              <w:rPr>
                <w:rFonts w:ascii="Arial" w:hAnsi="Arial" w:eastAsia="Arial" w:cs="Times New Roman"/>
                <w:b w:val="0"/>
                <w:bCs w:val="0"/>
                <w:i w:val="0"/>
                <w:iCs w:val="0"/>
                <w:sz w:val="17"/>
                <w:szCs w:val="18"/>
              </w:rPr>
              <w:t>Both abstinence intervals (primary model)</w:t>
            </w:r>
          </w:p>
        </w:tc>
        <w:tc>
          <w:tcPr>
            <w:tcW w:w="1400" w:type="dxa"/>
            <w:tcBorders/>
            <w:tcMar>
              <w:top w:w="20" w:type="dxa"/>
              <w:left w:w="80" w:type="dxa"/>
              <w:bottom w:w="20" w:type="dxa"/>
              <w:right w:w="80" w:type="dxa"/>
            </w:tcMar>
            <w:vAlign w:val="center"/>
          </w:tcPr>
          <w:p w14:paraId="4B2F00DF">
            <w:pPr>
              <w:spacing w:before="0" w:after="0" w:line="240" w:lineRule="auto"/>
              <w:jc w:val="left"/>
            </w:pPr>
            <w:r>
              <w:rPr>
                <w:rFonts w:ascii="Arial" w:hAnsi="Arial" w:eastAsia="Arial" w:cs="Times New Roman"/>
                <w:b w:val="0"/>
                <w:bCs w:val="0"/>
                <w:i w:val="0"/>
                <w:iCs w:val="0"/>
                <w:sz w:val="17"/>
                <w:szCs w:val="18"/>
              </w:rPr>
              <w:t>1,482</w:t>
            </w:r>
          </w:p>
        </w:tc>
        <w:tc>
          <w:tcPr>
            <w:tcW w:w="1500" w:type="dxa"/>
            <w:tcBorders/>
            <w:tcMar>
              <w:top w:w="20" w:type="dxa"/>
              <w:left w:w="80" w:type="dxa"/>
              <w:bottom w:w="20" w:type="dxa"/>
              <w:right w:w="80" w:type="dxa"/>
            </w:tcMar>
            <w:vAlign w:val="center"/>
          </w:tcPr>
          <w:p w14:paraId="6B31332A">
            <w:pPr>
              <w:spacing w:before="0" w:after="0" w:line="240" w:lineRule="auto"/>
              <w:jc w:val="left"/>
            </w:pPr>
            <w:r>
              <w:rPr>
                <w:rFonts w:ascii="Arial" w:hAnsi="Arial" w:eastAsia="Arial" w:cs="Times New Roman"/>
                <w:b w:val="0"/>
                <w:bCs w:val="0"/>
                <w:i w:val="0"/>
                <w:iCs w:val="0"/>
                <w:sz w:val="17"/>
                <w:szCs w:val="18"/>
              </w:rPr>
              <w:t>319</w:t>
            </w:r>
          </w:p>
        </w:tc>
        <w:tc>
          <w:tcPr>
            <w:tcW w:w="2338" w:type="dxa"/>
            <w:tcBorders/>
            <w:tcMar>
              <w:top w:w="20" w:type="dxa"/>
              <w:left w:w="80" w:type="dxa"/>
              <w:bottom w:w="20" w:type="dxa"/>
              <w:right w:w="80" w:type="dxa"/>
            </w:tcMar>
            <w:vAlign w:val="center"/>
          </w:tcPr>
          <w:p w14:paraId="39091323">
            <w:pPr>
              <w:spacing w:before="0" w:after="0" w:line="240" w:lineRule="auto"/>
              <w:jc w:val="left"/>
            </w:pPr>
            <w:r>
              <w:rPr>
                <w:rFonts w:ascii="Arial" w:hAnsi="Arial" w:eastAsia="Arial" w:cs="Times New Roman"/>
                <w:b w:val="0"/>
                <w:bCs w:val="0"/>
                <w:i w:val="0"/>
                <w:iCs w:val="0"/>
                <w:sz w:val="17"/>
                <w:szCs w:val="18"/>
              </w:rPr>
              <w:t>1.83 (1.60–2.10)</w:t>
            </w:r>
          </w:p>
        </w:tc>
      </w:tr>
      <w:tr w14:paraId="0F5EBE5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4400" w:type="dxa"/>
            <w:tcBorders/>
            <w:tcMar>
              <w:top w:w="20" w:type="dxa"/>
              <w:left w:w="80" w:type="dxa"/>
              <w:bottom w:w="20" w:type="dxa"/>
              <w:right w:w="80" w:type="dxa"/>
            </w:tcMar>
            <w:vAlign w:val="center"/>
          </w:tcPr>
          <w:p w14:paraId="6BB61111">
            <w:pPr>
              <w:spacing w:before="0" w:after="0" w:line="240" w:lineRule="auto"/>
              <w:jc w:val="left"/>
            </w:pPr>
            <w:r>
              <w:rPr>
                <w:rFonts w:ascii="Arial" w:hAnsi="Arial" w:eastAsia="Arial" w:cs="Times New Roman"/>
                <w:b w:val="0"/>
                <w:bCs w:val="0"/>
                <w:i w:val="0"/>
                <w:iCs w:val="0"/>
                <w:sz w:val="17"/>
                <w:szCs w:val="18"/>
              </w:rPr>
              <w:t>Neither abstinence measure, same cohort</w:t>
            </w:r>
          </w:p>
        </w:tc>
        <w:tc>
          <w:tcPr>
            <w:tcW w:w="1400" w:type="dxa"/>
            <w:tcBorders/>
            <w:tcMar>
              <w:top w:w="20" w:type="dxa"/>
              <w:left w:w="80" w:type="dxa"/>
              <w:bottom w:w="20" w:type="dxa"/>
              <w:right w:w="80" w:type="dxa"/>
            </w:tcMar>
            <w:vAlign w:val="center"/>
          </w:tcPr>
          <w:p w14:paraId="4E412C0E">
            <w:pPr>
              <w:spacing w:before="0" w:after="0" w:line="240" w:lineRule="auto"/>
              <w:jc w:val="left"/>
            </w:pPr>
            <w:r>
              <w:rPr>
                <w:rFonts w:ascii="Arial" w:hAnsi="Arial" w:eastAsia="Arial" w:cs="Times New Roman"/>
                <w:b w:val="0"/>
                <w:bCs w:val="0"/>
                <w:i w:val="0"/>
                <w:iCs w:val="0"/>
                <w:sz w:val="17"/>
                <w:szCs w:val="18"/>
              </w:rPr>
              <w:t>1,482</w:t>
            </w:r>
          </w:p>
        </w:tc>
        <w:tc>
          <w:tcPr>
            <w:tcW w:w="1500" w:type="dxa"/>
            <w:tcBorders/>
            <w:tcMar>
              <w:top w:w="20" w:type="dxa"/>
              <w:left w:w="80" w:type="dxa"/>
              <w:bottom w:w="20" w:type="dxa"/>
              <w:right w:w="80" w:type="dxa"/>
            </w:tcMar>
            <w:vAlign w:val="center"/>
          </w:tcPr>
          <w:p w14:paraId="6BD9AA66">
            <w:pPr>
              <w:spacing w:before="0" w:after="0" w:line="240" w:lineRule="auto"/>
              <w:jc w:val="left"/>
            </w:pPr>
            <w:r>
              <w:rPr>
                <w:rFonts w:ascii="Arial" w:hAnsi="Arial" w:eastAsia="Arial" w:cs="Times New Roman"/>
                <w:b w:val="0"/>
                <w:bCs w:val="0"/>
                <w:i w:val="0"/>
                <w:iCs w:val="0"/>
                <w:sz w:val="17"/>
                <w:szCs w:val="18"/>
              </w:rPr>
              <w:t>319</w:t>
            </w:r>
          </w:p>
        </w:tc>
        <w:tc>
          <w:tcPr>
            <w:tcW w:w="2338" w:type="dxa"/>
            <w:tcBorders/>
            <w:tcMar>
              <w:top w:w="20" w:type="dxa"/>
              <w:left w:w="80" w:type="dxa"/>
              <w:bottom w:w="20" w:type="dxa"/>
              <w:right w:w="80" w:type="dxa"/>
            </w:tcMar>
            <w:vAlign w:val="center"/>
          </w:tcPr>
          <w:p w14:paraId="211B90A5">
            <w:pPr>
              <w:spacing w:before="0" w:after="0" w:line="240" w:lineRule="auto"/>
              <w:jc w:val="left"/>
            </w:pPr>
            <w:r>
              <w:rPr>
                <w:rFonts w:ascii="Arial" w:hAnsi="Arial" w:eastAsia="Arial" w:cs="Times New Roman"/>
                <w:b w:val="0"/>
                <w:bCs w:val="0"/>
                <w:i w:val="0"/>
                <w:iCs w:val="0"/>
                <w:sz w:val="17"/>
                <w:szCs w:val="18"/>
              </w:rPr>
              <w:t>1.82 (1.59–2.08)</w:t>
            </w:r>
          </w:p>
        </w:tc>
      </w:tr>
      <w:tr w14:paraId="48BAC2C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4400" w:type="dxa"/>
            <w:tcBorders/>
            <w:tcMar>
              <w:top w:w="20" w:type="dxa"/>
              <w:left w:w="80" w:type="dxa"/>
              <w:bottom w:w="20" w:type="dxa"/>
              <w:right w:w="80" w:type="dxa"/>
            </w:tcMar>
            <w:vAlign w:val="center"/>
          </w:tcPr>
          <w:p w14:paraId="4CB251EE">
            <w:pPr>
              <w:spacing w:before="0" w:after="0" w:line="240" w:lineRule="auto"/>
              <w:jc w:val="left"/>
            </w:pPr>
            <w:r>
              <w:rPr>
                <w:rFonts w:ascii="Arial" w:hAnsi="Arial" w:eastAsia="Arial" w:cs="Times New Roman"/>
                <w:b w:val="0"/>
                <w:bCs w:val="0"/>
                <w:i w:val="0"/>
                <w:iCs w:val="0"/>
                <w:sz w:val="17"/>
                <w:szCs w:val="18"/>
              </w:rPr>
              <w:t>Semen-side abstinence only</w:t>
            </w:r>
          </w:p>
        </w:tc>
        <w:tc>
          <w:tcPr>
            <w:tcW w:w="1400" w:type="dxa"/>
            <w:tcBorders/>
            <w:tcMar>
              <w:top w:w="20" w:type="dxa"/>
              <w:left w:w="80" w:type="dxa"/>
              <w:bottom w:w="20" w:type="dxa"/>
              <w:right w:w="80" w:type="dxa"/>
            </w:tcMar>
            <w:vAlign w:val="center"/>
          </w:tcPr>
          <w:p w14:paraId="014F003F">
            <w:pPr>
              <w:spacing w:before="0" w:after="0" w:line="240" w:lineRule="auto"/>
              <w:jc w:val="left"/>
            </w:pPr>
            <w:r>
              <w:rPr>
                <w:rFonts w:ascii="Arial" w:hAnsi="Arial" w:eastAsia="Arial" w:cs="Times New Roman"/>
                <w:b w:val="0"/>
                <w:bCs w:val="0"/>
                <w:i w:val="0"/>
                <w:iCs w:val="0"/>
                <w:sz w:val="17"/>
                <w:szCs w:val="18"/>
              </w:rPr>
              <w:t>1,482</w:t>
            </w:r>
          </w:p>
        </w:tc>
        <w:tc>
          <w:tcPr>
            <w:tcW w:w="1500" w:type="dxa"/>
            <w:tcBorders/>
            <w:tcMar>
              <w:top w:w="20" w:type="dxa"/>
              <w:left w:w="80" w:type="dxa"/>
              <w:bottom w:w="20" w:type="dxa"/>
              <w:right w:w="80" w:type="dxa"/>
            </w:tcMar>
            <w:vAlign w:val="center"/>
          </w:tcPr>
          <w:p w14:paraId="0E867B33">
            <w:pPr>
              <w:spacing w:before="0" w:after="0" w:line="240" w:lineRule="auto"/>
              <w:jc w:val="left"/>
            </w:pPr>
            <w:r>
              <w:rPr>
                <w:rFonts w:ascii="Arial" w:hAnsi="Arial" w:eastAsia="Arial" w:cs="Times New Roman"/>
                <w:b w:val="0"/>
                <w:bCs w:val="0"/>
                <w:i w:val="0"/>
                <w:iCs w:val="0"/>
                <w:sz w:val="17"/>
                <w:szCs w:val="18"/>
              </w:rPr>
              <w:t>319</w:t>
            </w:r>
          </w:p>
        </w:tc>
        <w:tc>
          <w:tcPr>
            <w:tcW w:w="2338" w:type="dxa"/>
            <w:tcBorders/>
            <w:tcMar>
              <w:top w:w="20" w:type="dxa"/>
              <w:left w:w="80" w:type="dxa"/>
              <w:bottom w:w="20" w:type="dxa"/>
              <w:right w:w="80" w:type="dxa"/>
            </w:tcMar>
            <w:vAlign w:val="center"/>
          </w:tcPr>
          <w:p w14:paraId="262A3D18">
            <w:pPr>
              <w:spacing w:before="0" w:after="0" w:line="240" w:lineRule="auto"/>
              <w:jc w:val="left"/>
            </w:pPr>
            <w:r>
              <w:rPr>
                <w:rFonts w:ascii="Arial" w:hAnsi="Arial" w:eastAsia="Arial" w:cs="Times New Roman"/>
                <w:b w:val="0"/>
                <w:bCs w:val="0"/>
                <w:i w:val="0"/>
                <w:iCs w:val="0"/>
                <w:sz w:val="17"/>
                <w:szCs w:val="18"/>
              </w:rPr>
              <w:t>1.83 (1.60–2.09)</w:t>
            </w:r>
          </w:p>
        </w:tc>
      </w:tr>
      <w:tr w14:paraId="58DD71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4400" w:type="dxa"/>
            <w:tcBorders/>
            <w:tcMar>
              <w:top w:w="20" w:type="dxa"/>
              <w:left w:w="80" w:type="dxa"/>
              <w:bottom w:w="20" w:type="dxa"/>
              <w:right w:w="80" w:type="dxa"/>
            </w:tcMar>
            <w:vAlign w:val="center"/>
          </w:tcPr>
          <w:p w14:paraId="4F672A19">
            <w:pPr>
              <w:spacing w:before="0" w:after="0" w:line="240" w:lineRule="auto"/>
              <w:jc w:val="left"/>
            </w:pPr>
            <w:r>
              <w:rPr>
                <w:rFonts w:ascii="Arial" w:hAnsi="Arial" w:eastAsia="Arial" w:cs="Times New Roman"/>
                <w:b w:val="0"/>
                <w:bCs w:val="0"/>
                <w:i w:val="0"/>
                <w:iCs w:val="0"/>
                <w:sz w:val="17"/>
                <w:szCs w:val="18"/>
              </w:rPr>
              <w:t>Ultrasound-side abstinence only</w:t>
            </w:r>
          </w:p>
        </w:tc>
        <w:tc>
          <w:tcPr>
            <w:tcW w:w="1400" w:type="dxa"/>
            <w:tcBorders/>
            <w:tcMar>
              <w:top w:w="20" w:type="dxa"/>
              <w:left w:w="80" w:type="dxa"/>
              <w:bottom w:w="20" w:type="dxa"/>
              <w:right w:w="80" w:type="dxa"/>
            </w:tcMar>
            <w:vAlign w:val="center"/>
          </w:tcPr>
          <w:p w14:paraId="35D67558">
            <w:pPr>
              <w:spacing w:before="0" w:after="0" w:line="240" w:lineRule="auto"/>
              <w:jc w:val="left"/>
            </w:pPr>
            <w:r>
              <w:rPr>
                <w:rFonts w:ascii="Arial" w:hAnsi="Arial" w:eastAsia="Arial" w:cs="Times New Roman"/>
                <w:b w:val="0"/>
                <w:bCs w:val="0"/>
                <w:i w:val="0"/>
                <w:iCs w:val="0"/>
                <w:sz w:val="17"/>
                <w:szCs w:val="18"/>
              </w:rPr>
              <w:t>1,482</w:t>
            </w:r>
          </w:p>
        </w:tc>
        <w:tc>
          <w:tcPr>
            <w:tcW w:w="1500" w:type="dxa"/>
            <w:tcBorders/>
            <w:tcMar>
              <w:top w:w="20" w:type="dxa"/>
              <w:left w:w="80" w:type="dxa"/>
              <w:bottom w:w="20" w:type="dxa"/>
              <w:right w:w="80" w:type="dxa"/>
            </w:tcMar>
            <w:vAlign w:val="center"/>
          </w:tcPr>
          <w:p w14:paraId="2FD8BC5E">
            <w:pPr>
              <w:spacing w:before="0" w:after="0" w:line="240" w:lineRule="auto"/>
              <w:jc w:val="left"/>
            </w:pPr>
            <w:r>
              <w:rPr>
                <w:rFonts w:ascii="Arial" w:hAnsi="Arial" w:eastAsia="Arial" w:cs="Times New Roman"/>
                <w:b w:val="0"/>
                <w:bCs w:val="0"/>
                <w:i w:val="0"/>
                <w:iCs w:val="0"/>
                <w:sz w:val="17"/>
                <w:szCs w:val="18"/>
              </w:rPr>
              <w:t>319</w:t>
            </w:r>
          </w:p>
        </w:tc>
        <w:tc>
          <w:tcPr>
            <w:tcW w:w="2338" w:type="dxa"/>
            <w:tcBorders/>
            <w:tcMar>
              <w:top w:w="20" w:type="dxa"/>
              <w:left w:w="80" w:type="dxa"/>
              <w:bottom w:w="20" w:type="dxa"/>
              <w:right w:w="80" w:type="dxa"/>
            </w:tcMar>
            <w:vAlign w:val="center"/>
          </w:tcPr>
          <w:p w14:paraId="23E1750E">
            <w:pPr>
              <w:spacing w:before="0" w:after="0" w:line="240" w:lineRule="auto"/>
              <w:jc w:val="left"/>
            </w:pPr>
            <w:r>
              <w:rPr>
                <w:rFonts w:ascii="Arial" w:hAnsi="Arial" w:eastAsia="Arial" w:cs="Times New Roman"/>
                <w:b w:val="0"/>
                <w:bCs w:val="0"/>
                <w:i w:val="0"/>
                <w:iCs w:val="0"/>
                <w:sz w:val="17"/>
                <w:szCs w:val="18"/>
              </w:rPr>
              <w:t>1.80 (1.58–2.07)</w:t>
            </w:r>
          </w:p>
        </w:tc>
      </w:tr>
      <w:tr w14:paraId="07E0021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4400" w:type="dxa"/>
            <w:tcBorders/>
            <w:tcMar>
              <w:top w:w="20" w:type="dxa"/>
              <w:left w:w="80" w:type="dxa"/>
              <w:bottom w:w="20" w:type="dxa"/>
              <w:right w:w="80" w:type="dxa"/>
            </w:tcMar>
            <w:vAlign w:val="center"/>
          </w:tcPr>
          <w:p w14:paraId="4739D77D">
            <w:pPr>
              <w:spacing w:before="0" w:after="0" w:line="240" w:lineRule="auto"/>
              <w:jc w:val="left"/>
            </w:pPr>
            <w:r>
              <w:rPr>
                <w:rFonts w:ascii="Arial" w:hAnsi="Arial" w:eastAsia="Arial" w:cs="Times New Roman"/>
                <w:b w:val="0"/>
                <w:bCs w:val="0"/>
                <w:i w:val="0"/>
                <w:iCs w:val="0"/>
                <w:sz w:val="17"/>
                <w:szCs w:val="18"/>
              </w:rPr>
              <w:t>Volume residualized for ultrasound-side abstinence, with semen-side abstinence adjusted</w:t>
            </w:r>
          </w:p>
        </w:tc>
        <w:tc>
          <w:tcPr>
            <w:tcW w:w="1400" w:type="dxa"/>
            <w:tcBorders/>
            <w:tcMar>
              <w:top w:w="20" w:type="dxa"/>
              <w:left w:w="80" w:type="dxa"/>
              <w:bottom w:w="20" w:type="dxa"/>
              <w:right w:w="80" w:type="dxa"/>
            </w:tcMar>
            <w:vAlign w:val="center"/>
          </w:tcPr>
          <w:p w14:paraId="12DFBFA3">
            <w:pPr>
              <w:spacing w:before="0" w:after="0" w:line="240" w:lineRule="auto"/>
              <w:jc w:val="left"/>
            </w:pPr>
            <w:r>
              <w:rPr>
                <w:rFonts w:ascii="Arial" w:hAnsi="Arial" w:eastAsia="Arial" w:cs="Times New Roman"/>
                <w:b w:val="0"/>
                <w:bCs w:val="0"/>
                <w:i w:val="0"/>
                <w:iCs w:val="0"/>
                <w:sz w:val="17"/>
                <w:szCs w:val="18"/>
              </w:rPr>
              <w:t>1,482</w:t>
            </w:r>
          </w:p>
        </w:tc>
        <w:tc>
          <w:tcPr>
            <w:tcW w:w="1500" w:type="dxa"/>
            <w:tcBorders/>
            <w:tcMar>
              <w:top w:w="20" w:type="dxa"/>
              <w:left w:w="80" w:type="dxa"/>
              <w:bottom w:w="20" w:type="dxa"/>
              <w:right w:w="80" w:type="dxa"/>
            </w:tcMar>
            <w:vAlign w:val="center"/>
          </w:tcPr>
          <w:p w14:paraId="1968833E">
            <w:pPr>
              <w:spacing w:before="0" w:after="0" w:line="240" w:lineRule="auto"/>
              <w:jc w:val="left"/>
            </w:pPr>
            <w:r>
              <w:rPr>
                <w:rFonts w:ascii="Arial" w:hAnsi="Arial" w:eastAsia="Arial" w:cs="Times New Roman"/>
                <w:b w:val="0"/>
                <w:bCs w:val="0"/>
                <w:i w:val="0"/>
                <w:iCs w:val="0"/>
                <w:sz w:val="17"/>
                <w:szCs w:val="18"/>
              </w:rPr>
              <w:t>319</w:t>
            </w:r>
          </w:p>
        </w:tc>
        <w:tc>
          <w:tcPr>
            <w:tcW w:w="2338" w:type="dxa"/>
            <w:tcBorders/>
            <w:tcMar>
              <w:top w:w="20" w:type="dxa"/>
              <w:left w:w="80" w:type="dxa"/>
              <w:bottom w:w="20" w:type="dxa"/>
              <w:right w:w="80" w:type="dxa"/>
            </w:tcMar>
            <w:vAlign w:val="center"/>
          </w:tcPr>
          <w:p w14:paraId="03DA9A4F">
            <w:pPr>
              <w:spacing w:before="0" w:after="0" w:line="240" w:lineRule="auto"/>
              <w:jc w:val="left"/>
            </w:pPr>
            <w:r>
              <w:rPr>
                <w:rFonts w:ascii="Arial" w:hAnsi="Arial" w:eastAsia="Arial" w:cs="Times New Roman"/>
                <w:b w:val="0"/>
                <w:bCs w:val="0"/>
                <w:i w:val="0"/>
                <w:iCs w:val="0"/>
                <w:sz w:val="17"/>
                <w:szCs w:val="18"/>
              </w:rPr>
              <w:t>1.82 (1.59–2.09)</w:t>
            </w:r>
          </w:p>
        </w:tc>
      </w:tr>
      <w:tr w14:paraId="2A57D46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4400" w:type="dxa"/>
            <w:tcBorders/>
            <w:tcMar>
              <w:top w:w="20" w:type="dxa"/>
              <w:left w:w="80" w:type="dxa"/>
              <w:bottom w:w="20" w:type="dxa"/>
              <w:right w:w="80" w:type="dxa"/>
            </w:tcMar>
            <w:vAlign w:val="center"/>
          </w:tcPr>
          <w:p w14:paraId="5CB09E52">
            <w:pPr>
              <w:spacing w:before="0" w:after="0" w:line="240" w:lineRule="auto"/>
              <w:jc w:val="left"/>
            </w:pPr>
            <w:r>
              <w:rPr>
                <w:rFonts w:ascii="Arial" w:hAnsi="Arial" w:eastAsia="Arial" w:cs="Times New Roman"/>
                <w:b w:val="0"/>
                <w:bCs w:val="0"/>
                <w:i w:val="0"/>
                <w:iCs w:val="0"/>
                <w:sz w:val="17"/>
                <w:szCs w:val="18"/>
              </w:rPr>
              <w:t>Semen-side abstinence 1–2 days</w:t>
            </w:r>
          </w:p>
        </w:tc>
        <w:tc>
          <w:tcPr>
            <w:tcW w:w="1400" w:type="dxa"/>
            <w:tcBorders/>
            <w:tcMar>
              <w:top w:w="20" w:type="dxa"/>
              <w:left w:w="80" w:type="dxa"/>
              <w:bottom w:w="20" w:type="dxa"/>
              <w:right w:w="80" w:type="dxa"/>
            </w:tcMar>
            <w:vAlign w:val="center"/>
          </w:tcPr>
          <w:p w14:paraId="3A3D969B">
            <w:pPr>
              <w:spacing w:before="0" w:after="0" w:line="240" w:lineRule="auto"/>
              <w:jc w:val="left"/>
            </w:pPr>
            <w:r>
              <w:rPr>
                <w:rFonts w:ascii="Arial" w:hAnsi="Arial" w:eastAsia="Arial" w:cs="Times New Roman"/>
                <w:b w:val="0"/>
                <w:bCs w:val="0"/>
                <w:i w:val="0"/>
                <w:iCs w:val="0"/>
                <w:sz w:val="17"/>
                <w:szCs w:val="18"/>
              </w:rPr>
              <w:t>198</w:t>
            </w:r>
          </w:p>
        </w:tc>
        <w:tc>
          <w:tcPr>
            <w:tcW w:w="1500" w:type="dxa"/>
            <w:tcBorders/>
            <w:tcMar>
              <w:top w:w="20" w:type="dxa"/>
              <w:left w:w="80" w:type="dxa"/>
              <w:bottom w:w="20" w:type="dxa"/>
              <w:right w:w="80" w:type="dxa"/>
            </w:tcMar>
            <w:vAlign w:val="center"/>
          </w:tcPr>
          <w:p w14:paraId="7ACC1515">
            <w:pPr>
              <w:spacing w:before="0" w:after="0" w:line="240" w:lineRule="auto"/>
              <w:jc w:val="left"/>
            </w:pPr>
            <w:r>
              <w:rPr>
                <w:rFonts w:ascii="Arial" w:hAnsi="Arial" w:eastAsia="Arial" w:cs="Times New Roman"/>
                <w:b w:val="0"/>
                <w:bCs w:val="0"/>
                <w:i w:val="0"/>
                <w:iCs w:val="0"/>
                <w:sz w:val="17"/>
                <w:szCs w:val="18"/>
              </w:rPr>
              <w:t>44</w:t>
            </w:r>
          </w:p>
        </w:tc>
        <w:tc>
          <w:tcPr>
            <w:tcW w:w="2338" w:type="dxa"/>
            <w:tcBorders/>
            <w:tcMar>
              <w:top w:w="20" w:type="dxa"/>
              <w:left w:w="80" w:type="dxa"/>
              <w:bottom w:w="20" w:type="dxa"/>
              <w:right w:w="80" w:type="dxa"/>
            </w:tcMar>
            <w:vAlign w:val="center"/>
          </w:tcPr>
          <w:p w14:paraId="1A723829">
            <w:pPr>
              <w:spacing w:before="0" w:after="0" w:line="240" w:lineRule="auto"/>
              <w:jc w:val="left"/>
            </w:pPr>
            <w:r>
              <w:rPr>
                <w:rFonts w:ascii="Arial" w:hAnsi="Arial" w:eastAsia="Arial" w:cs="Times New Roman"/>
                <w:b w:val="0"/>
                <w:bCs w:val="0"/>
                <w:i w:val="0"/>
                <w:iCs w:val="0"/>
                <w:sz w:val="17"/>
                <w:szCs w:val="18"/>
              </w:rPr>
              <w:t>1.59 (1.17–2.17)</w:t>
            </w:r>
          </w:p>
        </w:tc>
      </w:tr>
      <w:tr w14:paraId="42A9CA0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4400" w:type="dxa"/>
            <w:tcBorders/>
            <w:tcMar>
              <w:top w:w="20" w:type="dxa"/>
              <w:left w:w="80" w:type="dxa"/>
              <w:bottom w:w="20" w:type="dxa"/>
              <w:right w:w="80" w:type="dxa"/>
            </w:tcMar>
            <w:vAlign w:val="center"/>
          </w:tcPr>
          <w:p w14:paraId="692D633D">
            <w:pPr>
              <w:spacing w:before="0" w:after="0" w:line="240" w:lineRule="auto"/>
              <w:jc w:val="left"/>
            </w:pPr>
            <w:r>
              <w:rPr>
                <w:rFonts w:ascii="Arial" w:hAnsi="Arial" w:eastAsia="Arial" w:cs="Times New Roman"/>
                <w:b w:val="0"/>
                <w:bCs w:val="0"/>
                <w:i w:val="0"/>
                <w:iCs w:val="0"/>
                <w:sz w:val="17"/>
                <w:szCs w:val="18"/>
              </w:rPr>
              <w:t>Semen-side abstinence 3–4 days</w:t>
            </w:r>
          </w:p>
        </w:tc>
        <w:tc>
          <w:tcPr>
            <w:tcW w:w="1400" w:type="dxa"/>
            <w:tcBorders/>
            <w:tcMar>
              <w:top w:w="20" w:type="dxa"/>
              <w:left w:w="80" w:type="dxa"/>
              <w:bottom w:w="20" w:type="dxa"/>
              <w:right w:w="80" w:type="dxa"/>
            </w:tcMar>
            <w:vAlign w:val="center"/>
          </w:tcPr>
          <w:p w14:paraId="26F6BC7A">
            <w:pPr>
              <w:spacing w:before="0" w:after="0" w:line="240" w:lineRule="auto"/>
              <w:jc w:val="left"/>
            </w:pPr>
            <w:r>
              <w:rPr>
                <w:rFonts w:ascii="Arial" w:hAnsi="Arial" w:eastAsia="Arial" w:cs="Times New Roman"/>
                <w:b w:val="0"/>
                <w:bCs w:val="0"/>
                <w:i w:val="0"/>
                <w:iCs w:val="0"/>
                <w:sz w:val="17"/>
                <w:szCs w:val="18"/>
              </w:rPr>
              <w:t>876</w:t>
            </w:r>
          </w:p>
        </w:tc>
        <w:tc>
          <w:tcPr>
            <w:tcW w:w="1500" w:type="dxa"/>
            <w:tcBorders/>
            <w:tcMar>
              <w:top w:w="20" w:type="dxa"/>
              <w:left w:w="80" w:type="dxa"/>
              <w:bottom w:w="20" w:type="dxa"/>
              <w:right w:w="80" w:type="dxa"/>
            </w:tcMar>
            <w:vAlign w:val="center"/>
          </w:tcPr>
          <w:p w14:paraId="150DD9AC">
            <w:pPr>
              <w:spacing w:before="0" w:after="0" w:line="240" w:lineRule="auto"/>
              <w:jc w:val="left"/>
            </w:pPr>
            <w:r>
              <w:rPr>
                <w:rFonts w:ascii="Arial" w:hAnsi="Arial" w:eastAsia="Arial" w:cs="Times New Roman"/>
                <w:b w:val="0"/>
                <w:bCs w:val="0"/>
                <w:i w:val="0"/>
                <w:iCs w:val="0"/>
                <w:sz w:val="17"/>
                <w:szCs w:val="18"/>
              </w:rPr>
              <w:t>172</w:t>
            </w:r>
          </w:p>
        </w:tc>
        <w:tc>
          <w:tcPr>
            <w:tcW w:w="2338" w:type="dxa"/>
            <w:tcBorders/>
            <w:tcMar>
              <w:top w:w="20" w:type="dxa"/>
              <w:left w:w="80" w:type="dxa"/>
              <w:bottom w:w="20" w:type="dxa"/>
              <w:right w:w="80" w:type="dxa"/>
            </w:tcMar>
            <w:vAlign w:val="center"/>
          </w:tcPr>
          <w:p w14:paraId="785A1627">
            <w:pPr>
              <w:spacing w:before="0" w:after="0" w:line="240" w:lineRule="auto"/>
              <w:jc w:val="left"/>
            </w:pPr>
            <w:r>
              <w:rPr>
                <w:rFonts w:ascii="Arial" w:hAnsi="Arial" w:eastAsia="Arial" w:cs="Times New Roman"/>
                <w:b w:val="0"/>
                <w:bCs w:val="0"/>
                <w:i w:val="0"/>
                <w:iCs w:val="0"/>
                <w:sz w:val="17"/>
                <w:szCs w:val="18"/>
              </w:rPr>
              <w:t>2.03 (1.68–2.46)</w:t>
            </w:r>
          </w:p>
        </w:tc>
      </w:tr>
      <w:tr w14:paraId="2FD419D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4400" w:type="dxa"/>
            <w:tcBorders>
              <w:bottom w:val="single" w:sz="8" w:color="000000"/>
            </w:tcBorders>
            <w:tcMar>
              <w:top w:w="20" w:type="dxa"/>
              <w:left w:w="80" w:type="dxa"/>
              <w:bottom w:w="20" w:type="dxa"/>
              <w:right w:w="80" w:type="dxa"/>
            </w:tcMar>
            <w:vAlign w:val="center"/>
          </w:tcPr>
          <w:p w14:paraId="36B217BF">
            <w:pPr>
              <w:spacing w:before="0" w:after="0" w:line="240" w:lineRule="auto"/>
              <w:jc w:val="left"/>
            </w:pPr>
            <w:r>
              <w:rPr>
                <w:rFonts w:ascii="Arial" w:hAnsi="Arial" w:eastAsia="Arial" w:cs="Times New Roman"/>
                <w:b w:val="0"/>
                <w:bCs w:val="0"/>
                <w:i w:val="0"/>
                <w:iCs w:val="0"/>
                <w:sz w:val="17"/>
                <w:szCs w:val="18"/>
              </w:rPr>
              <w:t>Semen-side abstinence ≥ 5 days</w:t>
            </w:r>
          </w:p>
        </w:tc>
        <w:tc>
          <w:tcPr>
            <w:tcW w:w="1400" w:type="dxa"/>
            <w:tcBorders>
              <w:bottom w:val="single" w:sz="8" w:color="000000"/>
            </w:tcBorders>
            <w:tcMar>
              <w:top w:w="20" w:type="dxa"/>
              <w:left w:w="80" w:type="dxa"/>
              <w:bottom w:w="20" w:type="dxa"/>
              <w:right w:w="80" w:type="dxa"/>
            </w:tcMar>
            <w:vAlign w:val="center"/>
          </w:tcPr>
          <w:p w14:paraId="38C144B2">
            <w:pPr>
              <w:spacing w:before="0" w:after="0" w:line="240" w:lineRule="auto"/>
              <w:jc w:val="left"/>
            </w:pPr>
            <w:r>
              <w:rPr>
                <w:rFonts w:ascii="Arial" w:hAnsi="Arial" w:eastAsia="Arial" w:cs="Times New Roman"/>
                <w:b w:val="0"/>
                <w:bCs w:val="0"/>
                <w:i w:val="0"/>
                <w:iCs w:val="0"/>
                <w:sz w:val="17"/>
                <w:szCs w:val="18"/>
              </w:rPr>
              <w:t>408</w:t>
            </w:r>
          </w:p>
        </w:tc>
        <w:tc>
          <w:tcPr>
            <w:tcW w:w="1500" w:type="dxa"/>
            <w:tcBorders>
              <w:bottom w:val="single" w:sz="8" w:color="000000"/>
            </w:tcBorders>
            <w:tcMar>
              <w:top w:w="20" w:type="dxa"/>
              <w:left w:w="80" w:type="dxa"/>
              <w:bottom w:w="20" w:type="dxa"/>
              <w:right w:w="80" w:type="dxa"/>
            </w:tcMar>
            <w:vAlign w:val="center"/>
          </w:tcPr>
          <w:p w14:paraId="69F5528B">
            <w:pPr>
              <w:spacing w:before="0" w:after="0" w:line="240" w:lineRule="auto"/>
              <w:jc w:val="left"/>
            </w:pPr>
            <w:r>
              <w:rPr>
                <w:rFonts w:ascii="Arial" w:hAnsi="Arial" w:eastAsia="Arial" w:cs="Times New Roman"/>
                <w:b w:val="0"/>
                <w:bCs w:val="0"/>
                <w:i w:val="0"/>
                <w:iCs w:val="0"/>
                <w:sz w:val="17"/>
                <w:szCs w:val="18"/>
              </w:rPr>
              <w:t>103</w:t>
            </w:r>
          </w:p>
        </w:tc>
        <w:tc>
          <w:tcPr>
            <w:tcW w:w="2338" w:type="dxa"/>
            <w:tcBorders>
              <w:bottom w:val="single" w:sz="8" w:color="000000"/>
            </w:tcBorders>
            <w:tcMar>
              <w:top w:w="20" w:type="dxa"/>
              <w:left w:w="80" w:type="dxa"/>
              <w:bottom w:w="20" w:type="dxa"/>
              <w:right w:w="80" w:type="dxa"/>
            </w:tcMar>
            <w:vAlign w:val="center"/>
          </w:tcPr>
          <w:p w14:paraId="660284CA">
            <w:pPr>
              <w:spacing w:before="0" w:after="0" w:line="240" w:lineRule="auto"/>
              <w:jc w:val="left"/>
            </w:pPr>
            <w:r>
              <w:rPr>
                <w:rFonts w:ascii="Arial" w:hAnsi="Arial" w:eastAsia="Arial" w:cs="Times New Roman"/>
                <w:b w:val="0"/>
                <w:bCs w:val="0"/>
                <w:i w:val="0"/>
                <w:iCs w:val="0"/>
                <w:sz w:val="17"/>
                <w:szCs w:val="18"/>
              </w:rPr>
              <w:t>1.66 (1.28–2.13)</w:t>
            </w:r>
          </w:p>
        </w:tc>
      </w:tr>
    </w:tbl>
    <w:p w14:paraId="1C9EB1C8">
      <w:pPr>
        <w:keepNext w:val="0"/>
        <w:spacing w:before="0" w:after="40" w:line="220" w:lineRule="auto"/>
        <w:jc w:val="left"/>
      </w:pPr>
      <w:r>
        <w:rPr>
          <w:rFonts w:ascii="Times New Roman" w:hAnsi="Times New Roman" w:eastAsia="Times New Roman" w:cs="Times New Roman"/>
          <w:b w:val="0"/>
          <w:bCs w:val="0"/>
          <w:i w:val="0"/>
          <w:iCs w:val="0"/>
          <w:sz w:val="17"/>
          <w:szCs w:val="17"/>
        </w:rPr>
        <w:t>All rows use the final common cohort or a nested abstinence stratum and model DFI ≥ 30%. Estimates are adjusted for age and varicocele plus the abstinence terms stated in each row. The exposure is bilateral total seminal-vesicle volume per 1 SD (2.73 mL); residualised volume was re-standardised after removal of its spline association with ultrasound-side abstinence.</w:t>
      </w:r>
    </w:p>
    <w:p w14:paraId="32836482">
      <w:pPr>
        <w:keepNext w:val="0"/>
        <w:spacing w:before="0" w:after="40" w:line="220" w:lineRule="auto"/>
        <w:jc w:val="left"/>
      </w:pPr>
      <w:r>
        <w:rPr>
          <w:rFonts w:ascii="Times New Roman" w:hAnsi="Times New Roman" w:eastAsia="Times New Roman" w:cs="Times New Roman"/>
          <w:b w:val="0"/>
          <w:bCs w:val="0"/>
          <w:i w:val="0"/>
          <w:iCs w:val="0"/>
          <w:sz w:val="17"/>
          <w:szCs w:val="17"/>
        </w:rPr>
        <w:t>The estimates were directionally consistent. Differences among abstinence strata were not used to claim effect modification.</w:t>
      </w:r>
    </w:p>
    <w:p w14:paraId="5E3EFBFF">
      <w:pPr>
        <w:keepNext w:val="0"/>
        <w:spacing w:before="0" w:after="40" w:line="220" w:lineRule="auto"/>
        <w:jc w:val="left"/>
      </w:pPr>
      <w:r>
        <w:rPr>
          <w:rFonts w:ascii="Times New Roman" w:hAnsi="Times New Roman" w:eastAsia="Times New Roman" w:cs="Times New Roman"/>
          <w:b w:val="0"/>
          <w:bCs w:val="0"/>
          <w:i w:val="0"/>
          <w:iCs w:val="0"/>
          <w:sz w:val="17"/>
          <w:szCs w:val="17"/>
        </w:rPr>
        <w:t>CI, confidence interval; DFI, sperm DNA fragmentation index; OR, odds ratio; SD, standard deviation.</w:t>
      </w:r>
    </w:p>
    <w:p w14:paraId="107E501B">
      <w:r>
        <w:br w:type="page"/>
      </w:r>
    </w:p>
    <w:p w14:paraId="5CFEAD78">
      <w:pPr>
        <w:keepNext/>
        <w:spacing w:before="0" w:after="100" w:line="240" w:lineRule="auto"/>
        <w:jc w:val="left"/>
      </w:pPr>
      <w:r>
        <w:rPr>
          <w:rFonts w:ascii="Times New Roman" w:hAnsi="Times New Roman" w:eastAsia="Times New Roman" w:cs="Times New Roman"/>
          <w:b/>
          <w:bCs/>
          <w:i w:val="0"/>
          <w:iCs w:val="0"/>
          <w:sz w:val="22"/>
          <w:szCs w:val="22"/>
        </w:rPr>
        <w:t>Supplementary Table S6. Ultrasound-side abstinence and seminal-vesicle measurements</w:t>
      </w:r>
    </w:p>
    <w:p w14:paraId="06784E35">
      <w:pPr>
        <w:keepNext/>
        <w:spacing w:before="140" w:after="60" w:line="240" w:lineRule="auto"/>
        <w:jc w:val="left"/>
      </w:pPr>
      <w:r>
        <w:rPr>
          <w:rFonts w:ascii="Times New Roman" w:hAnsi="Times New Roman" w:eastAsia="Times New Roman" w:cs="Times New Roman"/>
          <w:b/>
          <w:bCs/>
          <w:i w:val="0"/>
          <w:iCs w:val="0"/>
          <w:sz w:val="18"/>
          <w:szCs w:val="18"/>
        </w:rPr>
        <w:t>(A) Categorical ultrasound-side abstinence</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600"/>
        <w:gridCol w:w="1200"/>
        <w:gridCol w:w="2800"/>
        <w:gridCol w:w="3038"/>
      </w:tblGrid>
      <w:tr w14:paraId="1E1F81D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600" w:type="dxa"/>
            <w:tcBorders>
              <w:top w:val="single" w:sz="8" w:color="000000"/>
              <w:bottom w:val="single" w:sz="8" w:color="000000"/>
            </w:tcBorders>
            <w:tcMar>
              <w:top w:w="20" w:type="dxa"/>
              <w:left w:w="80" w:type="dxa"/>
              <w:bottom w:w="20" w:type="dxa"/>
              <w:right w:w="80" w:type="dxa"/>
            </w:tcMar>
            <w:vAlign w:val="center"/>
          </w:tcPr>
          <w:p w14:paraId="3F55D567">
            <w:pPr>
              <w:spacing w:before="0" w:after="0" w:line="240" w:lineRule="auto"/>
              <w:jc w:val="left"/>
            </w:pPr>
            <w:r>
              <w:rPr>
                <w:rFonts w:ascii="Arial" w:hAnsi="Arial" w:eastAsia="Arial" w:cs="Times New Roman"/>
                <w:b/>
                <w:bCs/>
                <w:i w:val="0"/>
                <w:iCs w:val="0"/>
                <w:sz w:val="17"/>
                <w:szCs w:val="18"/>
              </w:rPr>
              <w:t>Ultrasound-side abstinence</w:t>
            </w:r>
          </w:p>
        </w:tc>
        <w:tc>
          <w:tcPr>
            <w:tcW w:w="1200" w:type="dxa"/>
            <w:tcBorders>
              <w:top w:val="single" w:sz="8" w:color="000000"/>
              <w:bottom w:val="single" w:sz="8" w:color="000000"/>
            </w:tcBorders>
            <w:tcMar>
              <w:top w:w="20" w:type="dxa"/>
              <w:left w:w="80" w:type="dxa"/>
              <w:bottom w:w="20" w:type="dxa"/>
              <w:right w:w="80" w:type="dxa"/>
            </w:tcMar>
            <w:vAlign w:val="center"/>
          </w:tcPr>
          <w:p w14:paraId="1A13FEB4">
            <w:pPr>
              <w:spacing w:before="0" w:after="0" w:line="240" w:lineRule="auto"/>
              <w:jc w:val="left"/>
            </w:pPr>
            <w:r>
              <w:rPr>
                <w:rFonts w:ascii="Arial" w:hAnsi="Arial" w:eastAsia="Arial" w:cs="Times New Roman"/>
                <w:b/>
                <w:bCs/>
                <w:i w:val="0"/>
                <w:iCs w:val="0"/>
                <w:sz w:val="17"/>
                <w:szCs w:val="18"/>
              </w:rPr>
              <w:t>n</w:t>
            </w:r>
          </w:p>
        </w:tc>
        <w:tc>
          <w:tcPr>
            <w:tcW w:w="2800" w:type="dxa"/>
            <w:tcBorders>
              <w:top w:val="single" w:sz="8" w:color="000000"/>
              <w:bottom w:val="single" w:sz="8" w:color="000000"/>
            </w:tcBorders>
            <w:tcMar>
              <w:top w:w="20" w:type="dxa"/>
              <w:left w:w="80" w:type="dxa"/>
              <w:bottom w:w="20" w:type="dxa"/>
              <w:right w:w="80" w:type="dxa"/>
            </w:tcMar>
            <w:vAlign w:val="center"/>
          </w:tcPr>
          <w:p w14:paraId="1ABE4515">
            <w:pPr>
              <w:spacing w:before="0" w:after="0" w:line="240" w:lineRule="auto"/>
              <w:jc w:val="left"/>
            </w:pPr>
            <w:r>
              <w:rPr>
                <w:rFonts w:ascii="Arial" w:hAnsi="Arial" w:eastAsia="Arial" w:cs="Times New Roman"/>
                <w:b/>
                <w:bCs/>
                <w:i w:val="0"/>
                <w:iCs w:val="0"/>
                <w:sz w:val="17"/>
                <w:szCs w:val="18"/>
              </w:rPr>
              <w:t>Raw median (IQR)</w:t>
            </w:r>
          </w:p>
        </w:tc>
        <w:tc>
          <w:tcPr>
            <w:tcW w:w="3038" w:type="dxa"/>
            <w:tcBorders>
              <w:top w:val="single" w:sz="8" w:color="000000"/>
              <w:bottom w:val="single" w:sz="8" w:color="000000"/>
            </w:tcBorders>
            <w:tcMar>
              <w:top w:w="20" w:type="dxa"/>
              <w:left w:w="80" w:type="dxa"/>
              <w:bottom w:w="20" w:type="dxa"/>
              <w:right w:w="80" w:type="dxa"/>
            </w:tcMar>
            <w:vAlign w:val="center"/>
          </w:tcPr>
          <w:p w14:paraId="5A5393BE">
            <w:pPr>
              <w:spacing w:before="0" w:after="0" w:line="240" w:lineRule="auto"/>
              <w:jc w:val="left"/>
            </w:pPr>
            <w:r>
              <w:rPr>
                <w:rFonts w:ascii="Arial" w:hAnsi="Arial" w:eastAsia="Arial" w:cs="Times New Roman"/>
                <w:b/>
                <w:bCs/>
                <w:i w:val="0"/>
                <w:iCs w:val="0"/>
                <w:sz w:val="17"/>
                <w:szCs w:val="18"/>
              </w:rPr>
              <w:t>Adjusted ratio (95% CI)</w:t>
            </w:r>
            <w:r>
              <w:rPr>
                <w:rFonts w:ascii="Arial" w:hAnsi="Arial" w:eastAsia="Arial" w:cs="Times New Roman"/>
                <w:b/>
                <w:bCs/>
                <w:i w:val="0"/>
                <w:iCs w:val="0"/>
                <w:sz w:val="17"/>
                <w:szCs w:val="18"/>
                <w:vertAlign w:val="superscript"/>
              </w:rPr>
              <w:t>a</w:t>
            </w:r>
          </w:p>
        </w:tc>
      </w:tr>
      <w:tr w14:paraId="538E881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9638" w:type="dxa"/>
            <w:gridSpan w:val="4"/>
            <w:tcBorders/>
            <w:tcMar>
              <w:top w:w="20" w:type="dxa"/>
              <w:left w:w="80" w:type="dxa"/>
              <w:bottom w:w="20" w:type="dxa"/>
              <w:right w:w="80" w:type="dxa"/>
            </w:tcMar>
            <w:vAlign w:val="center"/>
          </w:tcPr>
          <w:p w14:paraId="7B03E2B2">
            <w:pPr>
              <w:spacing w:before="0" w:after="0" w:line="240" w:lineRule="auto"/>
              <w:jc w:val="left"/>
            </w:pPr>
            <w:r>
              <w:rPr>
                <w:rFonts w:ascii="Arial" w:hAnsi="Arial" w:eastAsia="Arial" w:cs="Times New Roman"/>
                <w:b/>
                <w:bCs/>
                <w:i w:val="0"/>
                <w:iCs w:val="0"/>
                <w:sz w:val="17"/>
                <w:szCs w:val="18"/>
              </w:rPr>
              <w:t>Bilateral total volume (mL)</w:t>
            </w:r>
          </w:p>
        </w:tc>
      </w:tr>
      <w:tr w14:paraId="5E37336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388E6950">
            <w:pPr>
              <w:spacing w:before="0" w:after="0" w:line="240" w:lineRule="auto"/>
              <w:ind w:left="170"/>
              <w:jc w:val="left"/>
            </w:pPr>
            <w:r>
              <w:rPr>
                <w:rFonts w:ascii="Arial" w:hAnsi="Arial" w:eastAsia="Arial" w:cs="Times New Roman"/>
                <w:b w:val="0"/>
                <w:bCs w:val="0"/>
                <w:i w:val="0"/>
                <w:iCs w:val="0"/>
                <w:sz w:val="17"/>
                <w:szCs w:val="18"/>
              </w:rPr>
              <w:t>0–2 days</w:t>
            </w:r>
          </w:p>
        </w:tc>
        <w:tc>
          <w:tcPr>
            <w:tcW w:w="1200" w:type="dxa"/>
            <w:tcBorders/>
            <w:tcMar>
              <w:top w:w="20" w:type="dxa"/>
              <w:left w:w="80" w:type="dxa"/>
              <w:bottom w:w="20" w:type="dxa"/>
              <w:right w:w="80" w:type="dxa"/>
            </w:tcMar>
            <w:vAlign w:val="center"/>
          </w:tcPr>
          <w:p w14:paraId="2948D977">
            <w:pPr>
              <w:spacing w:before="0" w:after="0" w:line="240" w:lineRule="auto"/>
              <w:jc w:val="left"/>
            </w:pPr>
            <w:r>
              <w:rPr>
                <w:rFonts w:ascii="Arial" w:hAnsi="Arial" w:eastAsia="Arial" w:cs="Times New Roman"/>
                <w:b w:val="0"/>
                <w:bCs w:val="0"/>
                <w:i w:val="0"/>
                <w:iCs w:val="0"/>
                <w:sz w:val="17"/>
                <w:szCs w:val="18"/>
              </w:rPr>
              <w:t>391</w:t>
            </w:r>
          </w:p>
        </w:tc>
        <w:tc>
          <w:tcPr>
            <w:tcW w:w="2800" w:type="dxa"/>
            <w:tcBorders/>
            <w:tcMar>
              <w:top w:w="20" w:type="dxa"/>
              <w:left w:w="80" w:type="dxa"/>
              <w:bottom w:w="20" w:type="dxa"/>
              <w:right w:w="80" w:type="dxa"/>
            </w:tcMar>
            <w:vAlign w:val="center"/>
          </w:tcPr>
          <w:p w14:paraId="07102448">
            <w:pPr>
              <w:spacing w:before="0" w:after="0" w:line="240" w:lineRule="auto"/>
              <w:jc w:val="left"/>
            </w:pPr>
            <w:r>
              <w:rPr>
                <w:rFonts w:ascii="Arial" w:hAnsi="Arial" w:eastAsia="Arial" w:cs="Times New Roman"/>
                <w:b w:val="0"/>
                <w:bCs w:val="0"/>
                <w:i w:val="0"/>
                <w:iCs w:val="0"/>
                <w:sz w:val="17"/>
                <w:szCs w:val="18"/>
              </w:rPr>
              <w:t>3.78 (2.91–4.85)</w:t>
            </w:r>
          </w:p>
        </w:tc>
        <w:tc>
          <w:tcPr>
            <w:tcW w:w="3038" w:type="dxa"/>
            <w:tcBorders/>
            <w:tcMar>
              <w:top w:w="20" w:type="dxa"/>
              <w:left w:w="80" w:type="dxa"/>
              <w:bottom w:w="20" w:type="dxa"/>
              <w:right w:w="80" w:type="dxa"/>
            </w:tcMar>
            <w:vAlign w:val="center"/>
          </w:tcPr>
          <w:p w14:paraId="374E96E8">
            <w:pPr>
              <w:spacing w:before="0" w:after="0" w:line="240" w:lineRule="auto"/>
              <w:jc w:val="left"/>
            </w:pPr>
            <w:r>
              <w:rPr>
                <w:rFonts w:ascii="Arial" w:hAnsi="Arial" w:eastAsia="Arial" w:cs="Times New Roman"/>
                <w:b w:val="0"/>
                <w:bCs w:val="0"/>
                <w:i w:val="0"/>
                <w:iCs w:val="0"/>
                <w:sz w:val="17"/>
                <w:szCs w:val="18"/>
              </w:rPr>
              <w:t>1.020 (0.958–1.086)</w:t>
            </w:r>
          </w:p>
        </w:tc>
      </w:tr>
      <w:tr w14:paraId="7D36216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51BA3B50">
            <w:pPr>
              <w:spacing w:before="0" w:after="0" w:line="240" w:lineRule="auto"/>
              <w:ind w:left="170"/>
              <w:jc w:val="left"/>
            </w:pPr>
            <w:r>
              <w:rPr>
                <w:rFonts w:ascii="Arial" w:hAnsi="Arial" w:eastAsia="Arial" w:cs="Times New Roman"/>
                <w:b w:val="0"/>
                <w:bCs w:val="0"/>
                <w:i w:val="0"/>
                <w:iCs w:val="0"/>
                <w:sz w:val="17"/>
                <w:szCs w:val="18"/>
              </w:rPr>
              <w:t>3–4 days</w:t>
            </w:r>
          </w:p>
        </w:tc>
        <w:tc>
          <w:tcPr>
            <w:tcW w:w="1200" w:type="dxa"/>
            <w:tcBorders/>
            <w:tcMar>
              <w:top w:w="20" w:type="dxa"/>
              <w:left w:w="80" w:type="dxa"/>
              <w:bottom w:w="20" w:type="dxa"/>
              <w:right w:w="80" w:type="dxa"/>
            </w:tcMar>
            <w:vAlign w:val="center"/>
          </w:tcPr>
          <w:p w14:paraId="15DE27AD">
            <w:pPr>
              <w:spacing w:before="0" w:after="0" w:line="240" w:lineRule="auto"/>
              <w:jc w:val="left"/>
            </w:pPr>
            <w:r>
              <w:rPr>
                <w:rFonts w:ascii="Arial" w:hAnsi="Arial" w:eastAsia="Arial" w:cs="Times New Roman"/>
                <w:b w:val="0"/>
                <w:bCs w:val="0"/>
                <w:i w:val="0"/>
                <w:iCs w:val="0"/>
                <w:sz w:val="17"/>
                <w:szCs w:val="18"/>
              </w:rPr>
              <w:t>685</w:t>
            </w:r>
          </w:p>
        </w:tc>
        <w:tc>
          <w:tcPr>
            <w:tcW w:w="2800" w:type="dxa"/>
            <w:tcBorders/>
            <w:tcMar>
              <w:top w:w="20" w:type="dxa"/>
              <w:left w:w="80" w:type="dxa"/>
              <w:bottom w:w="20" w:type="dxa"/>
              <w:right w:w="80" w:type="dxa"/>
            </w:tcMar>
            <w:vAlign w:val="center"/>
          </w:tcPr>
          <w:p w14:paraId="42F49D18">
            <w:pPr>
              <w:spacing w:before="0" w:after="0" w:line="240" w:lineRule="auto"/>
              <w:jc w:val="left"/>
            </w:pPr>
            <w:r>
              <w:rPr>
                <w:rFonts w:ascii="Arial" w:hAnsi="Arial" w:eastAsia="Arial" w:cs="Times New Roman"/>
                <w:b w:val="0"/>
                <w:bCs w:val="0"/>
                <w:i w:val="0"/>
                <w:iCs w:val="0"/>
                <w:sz w:val="17"/>
                <w:szCs w:val="18"/>
              </w:rPr>
              <w:t>3.78 (2.80–5.06)</w:t>
            </w:r>
          </w:p>
        </w:tc>
        <w:tc>
          <w:tcPr>
            <w:tcW w:w="3038" w:type="dxa"/>
            <w:tcBorders/>
            <w:tcMar>
              <w:top w:w="20" w:type="dxa"/>
              <w:left w:w="80" w:type="dxa"/>
              <w:bottom w:w="20" w:type="dxa"/>
              <w:right w:w="80" w:type="dxa"/>
            </w:tcMar>
            <w:vAlign w:val="center"/>
          </w:tcPr>
          <w:p w14:paraId="25D81069">
            <w:pPr>
              <w:spacing w:before="0" w:after="0" w:line="240" w:lineRule="auto"/>
              <w:jc w:val="left"/>
            </w:pPr>
            <w:r>
              <w:rPr>
                <w:rFonts w:ascii="Arial" w:hAnsi="Arial" w:eastAsia="Arial" w:cs="Times New Roman"/>
                <w:b w:val="0"/>
                <w:bCs w:val="0"/>
                <w:i w:val="0"/>
                <w:iCs w:val="0"/>
                <w:sz w:val="17"/>
                <w:szCs w:val="18"/>
              </w:rPr>
              <w:t>1.000 (reference)</w:t>
            </w:r>
          </w:p>
        </w:tc>
      </w:tr>
      <w:tr w14:paraId="1C37167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7F105E41">
            <w:pPr>
              <w:spacing w:before="0" w:after="0" w:line="240" w:lineRule="auto"/>
              <w:ind w:left="170"/>
              <w:jc w:val="left"/>
            </w:pPr>
            <w:r>
              <w:rPr>
                <w:rFonts w:ascii="Arial" w:hAnsi="Arial" w:eastAsia="Arial" w:cs="Times New Roman"/>
                <w:b w:val="0"/>
                <w:bCs w:val="0"/>
                <w:i w:val="0"/>
                <w:iCs w:val="0"/>
                <w:sz w:val="17"/>
                <w:szCs w:val="18"/>
              </w:rPr>
              <w:t>5–7 days</w:t>
            </w:r>
          </w:p>
        </w:tc>
        <w:tc>
          <w:tcPr>
            <w:tcW w:w="1200" w:type="dxa"/>
            <w:tcBorders/>
            <w:tcMar>
              <w:top w:w="20" w:type="dxa"/>
              <w:left w:w="80" w:type="dxa"/>
              <w:bottom w:w="20" w:type="dxa"/>
              <w:right w:w="80" w:type="dxa"/>
            </w:tcMar>
            <w:vAlign w:val="center"/>
          </w:tcPr>
          <w:p w14:paraId="2289EB6B">
            <w:pPr>
              <w:spacing w:before="0" w:after="0" w:line="240" w:lineRule="auto"/>
              <w:jc w:val="left"/>
            </w:pPr>
            <w:r>
              <w:rPr>
                <w:rFonts w:ascii="Arial" w:hAnsi="Arial" w:eastAsia="Arial" w:cs="Times New Roman"/>
                <w:b w:val="0"/>
                <w:bCs w:val="0"/>
                <w:i w:val="0"/>
                <w:iCs w:val="0"/>
                <w:sz w:val="17"/>
                <w:szCs w:val="18"/>
              </w:rPr>
              <w:t>357</w:t>
            </w:r>
          </w:p>
        </w:tc>
        <w:tc>
          <w:tcPr>
            <w:tcW w:w="2800" w:type="dxa"/>
            <w:tcBorders/>
            <w:tcMar>
              <w:top w:w="20" w:type="dxa"/>
              <w:left w:w="80" w:type="dxa"/>
              <w:bottom w:w="20" w:type="dxa"/>
              <w:right w:w="80" w:type="dxa"/>
            </w:tcMar>
            <w:vAlign w:val="center"/>
          </w:tcPr>
          <w:p w14:paraId="622150B0">
            <w:pPr>
              <w:spacing w:before="0" w:after="0" w:line="240" w:lineRule="auto"/>
              <w:jc w:val="left"/>
            </w:pPr>
            <w:r>
              <w:rPr>
                <w:rFonts w:ascii="Arial" w:hAnsi="Arial" w:eastAsia="Arial" w:cs="Times New Roman"/>
                <w:b w:val="0"/>
                <w:bCs w:val="0"/>
                <w:i w:val="0"/>
                <w:iCs w:val="0"/>
                <w:sz w:val="17"/>
                <w:szCs w:val="18"/>
              </w:rPr>
              <w:t>3.80 (2.85–5.10)</w:t>
            </w:r>
          </w:p>
        </w:tc>
        <w:tc>
          <w:tcPr>
            <w:tcW w:w="3038" w:type="dxa"/>
            <w:tcBorders/>
            <w:tcMar>
              <w:top w:w="20" w:type="dxa"/>
              <w:left w:w="80" w:type="dxa"/>
              <w:bottom w:w="20" w:type="dxa"/>
              <w:right w:w="80" w:type="dxa"/>
            </w:tcMar>
            <w:vAlign w:val="center"/>
          </w:tcPr>
          <w:p w14:paraId="335647B5">
            <w:pPr>
              <w:spacing w:before="0" w:after="0" w:line="240" w:lineRule="auto"/>
              <w:jc w:val="left"/>
            </w:pPr>
            <w:r>
              <w:rPr>
                <w:rFonts w:ascii="Arial" w:hAnsi="Arial" w:eastAsia="Arial" w:cs="Times New Roman"/>
                <w:b w:val="0"/>
                <w:bCs w:val="0"/>
                <w:i w:val="0"/>
                <w:iCs w:val="0"/>
                <w:sz w:val="17"/>
                <w:szCs w:val="18"/>
              </w:rPr>
              <w:t>1.020 (0.945–1.100)</w:t>
            </w:r>
          </w:p>
        </w:tc>
      </w:tr>
      <w:tr w14:paraId="0FB8EB8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2C0C5AC8">
            <w:pPr>
              <w:spacing w:before="0" w:after="0" w:line="240" w:lineRule="auto"/>
              <w:ind w:left="170"/>
              <w:jc w:val="left"/>
            </w:pPr>
            <w:r>
              <w:rPr>
                <w:rFonts w:ascii="Arial" w:hAnsi="Arial" w:eastAsia="Arial" w:cs="Times New Roman"/>
                <w:b w:val="0"/>
                <w:bCs w:val="0"/>
                <w:i w:val="0"/>
                <w:iCs w:val="0"/>
                <w:sz w:val="17"/>
                <w:szCs w:val="18"/>
              </w:rPr>
              <w:t>&gt; 7 days</w:t>
            </w:r>
          </w:p>
        </w:tc>
        <w:tc>
          <w:tcPr>
            <w:tcW w:w="1200" w:type="dxa"/>
            <w:tcBorders/>
            <w:tcMar>
              <w:top w:w="20" w:type="dxa"/>
              <w:left w:w="80" w:type="dxa"/>
              <w:bottom w:w="20" w:type="dxa"/>
              <w:right w:w="80" w:type="dxa"/>
            </w:tcMar>
            <w:vAlign w:val="center"/>
          </w:tcPr>
          <w:p w14:paraId="31039C8A">
            <w:pPr>
              <w:spacing w:before="0" w:after="0" w:line="240" w:lineRule="auto"/>
              <w:jc w:val="left"/>
            </w:pPr>
            <w:r>
              <w:rPr>
                <w:rFonts w:ascii="Arial" w:hAnsi="Arial" w:eastAsia="Arial" w:cs="Times New Roman"/>
                <w:b w:val="0"/>
                <w:bCs w:val="0"/>
                <w:i w:val="0"/>
                <w:iCs w:val="0"/>
                <w:sz w:val="17"/>
                <w:szCs w:val="18"/>
              </w:rPr>
              <w:t>49</w:t>
            </w:r>
          </w:p>
        </w:tc>
        <w:tc>
          <w:tcPr>
            <w:tcW w:w="2800" w:type="dxa"/>
            <w:tcBorders/>
            <w:tcMar>
              <w:top w:w="20" w:type="dxa"/>
              <w:left w:w="80" w:type="dxa"/>
              <w:bottom w:w="20" w:type="dxa"/>
              <w:right w:w="80" w:type="dxa"/>
            </w:tcMar>
            <w:vAlign w:val="center"/>
          </w:tcPr>
          <w:p w14:paraId="443EB0E8">
            <w:pPr>
              <w:spacing w:before="0" w:after="0" w:line="240" w:lineRule="auto"/>
              <w:jc w:val="left"/>
            </w:pPr>
            <w:r>
              <w:rPr>
                <w:rFonts w:ascii="Arial" w:hAnsi="Arial" w:eastAsia="Arial" w:cs="Times New Roman"/>
                <w:b w:val="0"/>
                <w:bCs w:val="0"/>
                <w:i w:val="0"/>
                <w:iCs w:val="0"/>
                <w:sz w:val="17"/>
                <w:szCs w:val="18"/>
              </w:rPr>
              <w:t>4.80 (4.00–5.96)</w:t>
            </w:r>
          </w:p>
        </w:tc>
        <w:tc>
          <w:tcPr>
            <w:tcW w:w="3038" w:type="dxa"/>
            <w:tcBorders/>
            <w:tcMar>
              <w:top w:w="20" w:type="dxa"/>
              <w:left w:w="80" w:type="dxa"/>
              <w:bottom w:w="20" w:type="dxa"/>
              <w:right w:w="80" w:type="dxa"/>
            </w:tcMar>
            <w:vAlign w:val="center"/>
          </w:tcPr>
          <w:p w14:paraId="3F5392D0">
            <w:pPr>
              <w:spacing w:before="0" w:after="0" w:line="240" w:lineRule="auto"/>
              <w:jc w:val="left"/>
            </w:pPr>
            <w:r>
              <w:rPr>
                <w:rFonts w:ascii="Arial" w:hAnsi="Arial" w:eastAsia="Arial" w:cs="Times New Roman"/>
                <w:b w:val="0"/>
                <w:bCs w:val="0"/>
                <w:i w:val="0"/>
                <w:iCs w:val="0"/>
                <w:sz w:val="17"/>
                <w:szCs w:val="18"/>
              </w:rPr>
              <w:t>1.422 (1.203–1.681)</w:t>
            </w:r>
          </w:p>
        </w:tc>
      </w:tr>
      <w:tr w14:paraId="1C9022D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9638" w:type="dxa"/>
            <w:gridSpan w:val="4"/>
            <w:tcBorders/>
            <w:tcMar>
              <w:top w:w="20" w:type="dxa"/>
              <w:left w:w="80" w:type="dxa"/>
              <w:bottom w:w="20" w:type="dxa"/>
              <w:right w:w="80" w:type="dxa"/>
            </w:tcMar>
            <w:vAlign w:val="center"/>
          </w:tcPr>
          <w:p w14:paraId="0D4576EA">
            <w:pPr>
              <w:spacing w:before="0" w:after="0" w:line="240" w:lineRule="auto"/>
              <w:jc w:val="left"/>
            </w:pPr>
            <w:r>
              <w:rPr>
                <w:rFonts w:ascii="Arial" w:hAnsi="Arial" w:eastAsia="Arial" w:cs="Times New Roman"/>
                <w:b/>
                <w:bCs/>
                <w:i w:val="0"/>
                <w:iCs w:val="0"/>
                <w:sz w:val="17"/>
                <w:szCs w:val="18"/>
              </w:rPr>
              <w:t>Largest-side volume (mL)</w:t>
            </w:r>
          </w:p>
        </w:tc>
      </w:tr>
      <w:tr w14:paraId="4DB483D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177CE7B8">
            <w:pPr>
              <w:spacing w:before="0" w:after="0" w:line="240" w:lineRule="auto"/>
              <w:ind w:left="170"/>
              <w:jc w:val="left"/>
            </w:pPr>
            <w:r>
              <w:rPr>
                <w:rFonts w:ascii="Arial" w:hAnsi="Arial" w:eastAsia="Arial" w:cs="Times New Roman"/>
                <w:b w:val="0"/>
                <w:bCs w:val="0"/>
                <w:i w:val="0"/>
                <w:iCs w:val="0"/>
                <w:sz w:val="17"/>
                <w:szCs w:val="18"/>
              </w:rPr>
              <w:t>0–2 days</w:t>
            </w:r>
          </w:p>
        </w:tc>
        <w:tc>
          <w:tcPr>
            <w:tcW w:w="1200" w:type="dxa"/>
            <w:tcBorders/>
            <w:tcMar>
              <w:top w:w="20" w:type="dxa"/>
              <w:left w:w="80" w:type="dxa"/>
              <w:bottom w:w="20" w:type="dxa"/>
              <w:right w:w="80" w:type="dxa"/>
            </w:tcMar>
            <w:vAlign w:val="center"/>
          </w:tcPr>
          <w:p w14:paraId="2447CFC3">
            <w:pPr>
              <w:spacing w:before="0" w:after="0" w:line="240" w:lineRule="auto"/>
              <w:jc w:val="left"/>
            </w:pPr>
            <w:r>
              <w:rPr>
                <w:rFonts w:ascii="Arial" w:hAnsi="Arial" w:eastAsia="Arial" w:cs="Times New Roman"/>
                <w:b w:val="0"/>
                <w:bCs w:val="0"/>
                <w:i w:val="0"/>
                <w:iCs w:val="0"/>
                <w:sz w:val="17"/>
                <w:szCs w:val="18"/>
              </w:rPr>
              <w:t>391</w:t>
            </w:r>
          </w:p>
        </w:tc>
        <w:tc>
          <w:tcPr>
            <w:tcW w:w="2800" w:type="dxa"/>
            <w:tcBorders/>
            <w:tcMar>
              <w:top w:w="20" w:type="dxa"/>
              <w:left w:w="80" w:type="dxa"/>
              <w:bottom w:w="20" w:type="dxa"/>
              <w:right w:w="80" w:type="dxa"/>
            </w:tcMar>
            <w:vAlign w:val="center"/>
          </w:tcPr>
          <w:p w14:paraId="5E86434D">
            <w:pPr>
              <w:spacing w:before="0" w:after="0" w:line="240" w:lineRule="auto"/>
              <w:jc w:val="left"/>
            </w:pPr>
            <w:r>
              <w:rPr>
                <w:rFonts w:ascii="Arial" w:hAnsi="Arial" w:eastAsia="Arial" w:cs="Times New Roman"/>
                <w:b w:val="0"/>
                <w:bCs w:val="0"/>
                <w:i w:val="0"/>
                <w:iCs w:val="0"/>
                <w:sz w:val="17"/>
                <w:szCs w:val="18"/>
              </w:rPr>
              <w:t>2.14 (1.61–2.70)</w:t>
            </w:r>
          </w:p>
        </w:tc>
        <w:tc>
          <w:tcPr>
            <w:tcW w:w="3038" w:type="dxa"/>
            <w:tcBorders/>
            <w:tcMar>
              <w:top w:w="20" w:type="dxa"/>
              <w:left w:w="80" w:type="dxa"/>
              <w:bottom w:w="20" w:type="dxa"/>
              <w:right w:w="80" w:type="dxa"/>
            </w:tcMar>
            <w:vAlign w:val="center"/>
          </w:tcPr>
          <w:p w14:paraId="19616A3F">
            <w:pPr>
              <w:spacing w:before="0" w:after="0" w:line="240" w:lineRule="auto"/>
              <w:jc w:val="left"/>
            </w:pPr>
            <w:r>
              <w:rPr>
                <w:rFonts w:ascii="Arial" w:hAnsi="Arial" w:eastAsia="Arial" w:cs="Times New Roman"/>
                <w:b w:val="0"/>
                <w:bCs w:val="0"/>
                <w:i w:val="0"/>
                <w:iCs w:val="0"/>
                <w:sz w:val="17"/>
                <w:szCs w:val="18"/>
              </w:rPr>
              <w:t>1.012 (0.950–1.079)</w:t>
            </w:r>
          </w:p>
        </w:tc>
      </w:tr>
      <w:tr w14:paraId="393E21B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2B5B6B20">
            <w:pPr>
              <w:spacing w:before="0" w:after="0" w:line="240" w:lineRule="auto"/>
              <w:ind w:left="170"/>
              <w:jc w:val="left"/>
            </w:pPr>
            <w:r>
              <w:rPr>
                <w:rFonts w:ascii="Arial" w:hAnsi="Arial" w:eastAsia="Arial" w:cs="Times New Roman"/>
                <w:b w:val="0"/>
                <w:bCs w:val="0"/>
                <w:i w:val="0"/>
                <w:iCs w:val="0"/>
                <w:sz w:val="17"/>
                <w:szCs w:val="18"/>
              </w:rPr>
              <w:t>3–4 days</w:t>
            </w:r>
          </w:p>
        </w:tc>
        <w:tc>
          <w:tcPr>
            <w:tcW w:w="1200" w:type="dxa"/>
            <w:tcBorders/>
            <w:tcMar>
              <w:top w:w="20" w:type="dxa"/>
              <w:left w:w="80" w:type="dxa"/>
              <w:bottom w:w="20" w:type="dxa"/>
              <w:right w:w="80" w:type="dxa"/>
            </w:tcMar>
            <w:vAlign w:val="center"/>
          </w:tcPr>
          <w:p w14:paraId="175C3797">
            <w:pPr>
              <w:spacing w:before="0" w:after="0" w:line="240" w:lineRule="auto"/>
              <w:jc w:val="left"/>
            </w:pPr>
            <w:r>
              <w:rPr>
                <w:rFonts w:ascii="Arial" w:hAnsi="Arial" w:eastAsia="Arial" w:cs="Times New Roman"/>
                <w:b w:val="0"/>
                <w:bCs w:val="0"/>
                <w:i w:val="0"/>
                <w:iCs w:val="0"/>
                <w:sz w:val="17"/>
                <w:szCs w:val="18"/>
              </w:rPr>
              <w:t>685</w:t>
            </w:r>
          </w:p>
        </w:tc>
        <w:tc>
          <w:tcPr>
            <w:tcW w:w="2800" w:type="dxa"/>
            <w:tcBorders/>
            <w:tcMar>
              <w:top w:w="20" w:type="dxa"/>
              <w:left w:w="80" w:type="dxa"/>
              <w:bottom w:w="20" w:type="dxa"/>
              <w:right w:w="80" w:type="dxa"/>
            </w:tcMar>
            <w:vAlign w:val="center"/>
          </w:tcPr>
          <w:p w14:paraId="4ED3D377">
            <w:pPr>
              <w:spacing w:before="0" w:after="0" w:line="240" w:lineRule="auto"/>
              <w:jc w:val="left"/>
            </w:pPr>
            <w:r>
              <w:rPr>
                <w:rFonts w:ascii="Arial" w:hAnsi="Arial" w:eastAsia="Arial" w:cs="Times New Roman"/>
                <w:b w:val="0"/>
                <w:bCs w:val="0"/>
                <w:i w:val="0"/>
                <w:iCs w:val="0"/>
                <w:sz w:val="17"/>
                <w:szCs w:val="18"/>
              </w:rPr>
              <w:t>2.08 (1.56–2.85)</w:t>
            </w:r>
          </w:p>
        </w:tc>
        <w:tc>
          <w:tcPr>
            <w:tcW w:w="3038" w:type="dxa"/>
            <w:tcBorders/>
            <w:tcMar>
              <w:top w:w="20" w:type="dxa"/>
              <w:left w:w="80" w:type="dxa"/>
              <w:bottom w:w="20" w:type="dxa"/>
              <w:right w:w="80" w:type="dxa"/>
            </w:tcMar>
            <w:vAlign w:val="center"/>
          </w:tcPr>
          <w:p w14:paraId="5657885B">
            <w:pPr>
              <w:spacing w:before="0" w:after="0" w:line="240" w:lineRule="auto"/>
              <w:jc w:val="left"/>
            </w:pPr>
            <w:r>
              <w:rPr>
                <w:rFonts w:ascii="Arial" w:hAnsi="Arial" w:eastAsia="Arial" w:cs="Times New Roman"/>
                <w:b w:val="0"/>
                <w:bCs w:val="0"/>
                <w:i w:val="0"/>
                <w:iCs w:val="0"/>
                <w:sz w:val="17"/>
                <w:szCs w:val="18"/>
              </w:rPr>
              <w:t>1.000 (reference)</w:t>
            </w:r>
          </w:p>
        </w:tc>
      </w:tr>
      <w:tr w14:paraId="59C004E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2600" w:type="dxa"/>
            <w:tcBorders/>
            <w:tcMar>
              <w:top w:w="20" w:type="dxa"/>
              <w:left w:w="80" w:type="dxa"/>
              <w:bottom w:w="20" w:type="dxa"/>
              <w:right w:w="80" w:type="dxa"/>
            </w:tcMar>
            <w:vAlign w:val="center"/>
          </w:tcPr>
          <w:p w14:paraId="3002C4C6">
            <w:pPr>
              <w:spacing w:before="0" w:after="0" w:line="240" w:lineRule="auto"/>
              <w:ind w:left="170"/>
              <w:jc w:val="left"/>
            </w:pPr>
            <w:r>
              <w:rPr>
                <w:rFonts w:ascii="Arial" w:hAnsi="Arial" w:eastAsia="Arial" w:cs="Times New Roman"/>
                <w:b w:val="0"/>
                <w:bCs w:val="0"/>
                <w:i w:val="0"/>
                <w:iCs w:val="0"/>
                <w:sz w:val="17"/>
                <w:szCs w:val="18"/>
              </w:rPr>
              <w:t>5–7 days</w:t>
            </w:r>
          </w:p>
        </w:tc>
        <w:tc>
          <w:tcPr>
            <w:tcW w:w="1200" w:type="dxa"/>
            <w:tcBorders/>
            <w:tcMar>
              <w:top w:w="20" w:type="dxa"/>
              <w:left w:w="80" w:type="dxa"/>
              <w:bottom w:w="20" w:type="dxa"/>
              <w:right w:w="80" w:type="dxa"/>
            </w:tcMar>
            <w:vAlign w:val="center"/>
          </w:tcPr>
          <w:p w14:paraId="21CDF125">
            <w:pPr>
              <w:spacing w:before="0" w:after="0" w:line="240" w:lineRule="auto"/>
              <w:jc w:val="left"/>
            </w:pPr>
            <w:r>
              <w:rPr>
                <w:rFonts w:ascii="Arial" w:hAnsi="Arial" w:eastAsia="Arial" w:cs="Times New Roman"/>
                <w:b w:val="0"/>
                <w:bCs w:val="0"/>
                <w:i w:val="0"/>
                <w:iCs w:val="0"/>
                <w:sz w:val="17"/>
                <w:szCs w:val="18"/>
              </w:rPr>
              <w:t>357</w:t>
            </w:r>
          </w:p>
        </w:tc>
        <w:tc>
          <w:tcPr>
            <w:tcW w:w="2800" w:type="dxa"/>
            <w:tcBorders/>
            <w:tcMar>
              <w:top w:w="20" w:type="dxa"/>
              <w:left w:w="80" w:type="dxa"/>
              <w:bottom w:w="20" w:type="dxa"/>
              <w:right w:w="80" w:type="dxa"/>
            </w:tcMar>
            <w:vAlign w:val="center"/>
          </w:tcPr>
          <w:p w14:paraId="1DF4DD49">
            <w:pPr>
              <w:spacing w:before="0" w:after="0" w:line="240" w:lineRule="auto"/>
              <w:jc w:val="left"/>
            </w:pPr>
            <w:r>
              <w:rPr>
                <w:rFonts w:ascii="Arial" w:hAnsi="Arial" w:eastAsia="Arial" w:cs="Times New Roman"/>
                <w:b w:val="0"/>
                <w:bCs w:val="0"/>
                <w:i w:val="0"/>
                <w:iCs w:val="0"/>
                <w:sz w:val="17"/>
                <w:szCs w:val="18"/>
              </w:rPr>
              <w:t>2.08 (1.61–2.85)</w:t>
            </w:r>
          </w:p>
        </w:tc>
        <w:tc>
          <w:tcPr>
            <w:tcW w:w="3038" w:type="dxa"/>
            <w:tcBorders/>
            <w:tcMar>
              <w:top w:w="20" w:type="dxa"/>
              <w:left w:w="80" w:type="dxa"/>
              <w:bottom w:w="20" w:type="dxa"/>
              <w:right w:w="80" w:type="dxa"/>
            </w:tcMar>
            <w:vAlign w:val="center"/>
          </w:tcPr>
          <w:p w14:paraId="703BFE7E">
            <w:pPr>
              <w:spacing w:before="0" w:after="0" w:line="240" w:lineRule="auto"/>
              <w:jc w:val="left"/>
            </w:pPr>
            <w:r>
              <w:rPr>
                <w:rFonts w:ascii="Arial" w:hAnsi="Arial" w:eastAsia="Arial" w:cs="Times New Roman"/>
                <w:b w:val="0"/>
                <w:bCs w:val="0"/>
                <w:i w:val="0"/>
                <w:iCs w:val="0"/>
                <w:sz w:val="17"/>
                <w:szCs w:val="18"/>
              </w:rPr>
              <w:t>1.014 (0.940–1.094)</w:t>
            </w:r>
          </w:p>
        </w:tc>
      </w:tr>
      <w:tr w14:paraId="1BEA7A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1770E91F">
            <w:pPr>
              <w:spacing w:before="0" w:after="0" w:line="240" w:lineRule="auto"/>
              <w:ind w:left="170"/>
              <w:jc w:val="left"/>
            </w:pPr>
            <w:r>
              <w:rPr>
                <w:rFonts w:ascii="Arial" w:hAnsi="Arial" w:eastAsia="Arial" w:cs="Times New Roman"/>
                <w:b w:val="0"/>
                <w:bCs w:val="0"/>
                <w:i w:val="0"/>
                <w:iCs w:val="0"/>
                <w:sz w:val="17"/>
                <w:szCs w:val="18"/>
              </w:rPr>
              <w:t>&gt; 7 days</w:t>
            </w:r>
          </w:p>
        </w:tc>
        <w:tc>
          <w:tcPr>
            <w:tcW w:w="1200" w:type="dxa"/>
            <w:tcBorders/>
            <w:tcMar>
              <w:top w:w="20" w:type="dxa"/>
              <w:left w:w="80" w:type="dxa"/>
              <w:bottom w:w="20" w:type="dxa"/>
              <w:right w:w="80" w:type="dxa"/>
            </w:tcMar>
            <w:vAlign w:val="center"/>
          </w:tcPr>
          <w:p w14:paraId="32AB1DE9">
            <w:pPr>
              <w:spacing w:before="0" w:after="0" w:line="240" w:lineRule="auto"/>
              <w:jc w:val="left"/>
            </w:pPr>
            <w:r>
              <w:rPr>
                <w:rFonts w:ascii="Arial" w:hAnsi="Arial" w:eastAsia="Arial" w:cs="Times New Roman"/>
                <w:b w:val="0"/>
                <w:bCs w:val="0"/>
                <w:i w:val="0"/>
                <w:iCs w:val="0"/>
                <w:sz w:val="17"/>
                <w:szCs w:val="18"/>
              </w:rPr>
              <w:t>49</w:t>
            </w:r>
          </w:p>
        </w:tc>
        <w:tc>
          <w:tcPr>
            <w:tcW w:w="2800" w:type="dxa"/>
            <w:tcBorders/>
            <w:tcMar>
              <w:top w:w="20" w:type="dxa"/>
              <w:left w:w="80" w:type="dxa"/>
              <w:bottom w:w="20" w:type="dxa"/>
              <w:right w:w="80" w:type="dxa"/>
            </w:tcMar>
            <w:vAlign w:val="center"/>
          </w:tcPr>
          <w:p w14:paraId="51772D22">
            <w:pPr>
              <w:spacing w:before="0" w:after="0" w:line="240" w:lineRule="auto"/>
              <w:jc w:val="left"/>
            </w:pPr>
            <w:r>
              <w:rPr>
                <w:rFonts w:ascii="Arial" w:hAnsi="Arial" w:eastAsia="Arial" w:cs="Times New Roman"/>
                <w:b w:val="0"/>
                <w:bCs w:val="0"/>
                <w:i w:val="0"/>
                <w:iCs w:val="0"/>
                <w:sz w:val="17"/>
                <w:szCs w:val="18"/>
              </w:rPr>
              <w:t>2.77 (2.27–3.34)</w:t>
            </w:r>
          </w:p>
        </w:tc>
        <w:tc>
          <w:tcPr>
            <w:tcW w:w="3038" w:type="dxa"/>
            <w:tcBorders/>
            <w:tcMar>
              <w:top w:w="20" w:type="dxa"/>
              <w:left w:w="80" w:type="dxa"/>
              <w:bottom w:w="20" w:type="dxa"/>
              <w:right w:w="80" w:type="dxa"/>
            </w:tcMar>
            <w:vAlign w:val="center"/>
          </w:tcPr>
          <w:p w14:paraId="4033D123">
            <w:pPr>
              <w:spacing w:before="0" w:after="0" w:line="240" w:lineRule="auto"/>
              <w:jc w:val="left"/>
            </w:pPr>
            <w:r>
              <w:rPr>
                <w:rFonts w:ascii="Arial" w:hAnsi="Arial" w:eastAsia="Arial" w:cs="Times New Roman"/>
                <w:b w:val="0"/>
                <w:bCs w:val="0"/>
                <w:i w:val="0"/>
                <w:iCs w:val="0"/>
                <w:sz w:val="17"/>
                <w:szCs w:val="18"/>
              </w:rPr>
              <w:t>1.409 (1.193–1.665)</w:t>
            </w:r>
          </w:p>
        </w:tc>
      </w:tr>
      <w:tr w14:paraId="2C3B487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9638" w:type="dxa"/>
            <w:gridSpan w:val="4"/>
            <w:tcBorders/>
            <w:tcMar>
              <w:top w:w="20" w:type="dxa"/>
              <w:left w:w="80" w:type="dxa"/>
              <w:bottom w:w="20" w:type="dxa"/>
              <w:right w:w="80" w:type="dxa"/>
            </w:tcMar>
            <w:vAlign w:val="center"/>
          </w:tcPr>
          <w:p w14:paraId="4F7AC15A">
            <w:pPr>
              <w:spacing w:before="0" w:after="0" w:line="240" w:lineRule="auto"/>
              <w:jc w:val="left"/>
            </w:pPr>
            <w:r>
              <w:rPr>
                <w:rFonts w:ascii="Arial" w:hAnsi="Arial" w:eastAsia="Arial" w:cs="Times New Roman"/>
                <w:b/>
                <w:bCs/>
                <w:i w:val="0"/>
                <w:iCs w:val="0"/>
                <w:sz w:val="17"/>
                <w:szCs w:val="18"/>
              </w:rPr>
              <w:t>Largest anteroposterior diameter (cm)</w:t>
            </w:r>
          </w:p>
        </w:tc>
      </w:tr>
      <w:tr w14:paraId="2F1A9B2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704DC62E">
            <w:pPr>
              <w:spacing w:before="0" w:after="0" w:line="240" w:lineRule="auto"/>
              <w:ind w:left="170"/>
              <w:jc w:val="left"/>
            </w:pPr>
            <w:r>
              <w:rPr>
                <w:rFonts w:ascii="Arial" w:hAnsi="Arial" w:eastAsia="Arial" w:cs="Times New Roman"/>
                <w:b w:val="0"/>
                <w:bCs w:val="0"/>
                <w:i w:val="0"/>
                <w:iCs w:val="0"/>
                <w:sz w:val="17"/>
                <w:szCs w:val="18"/>
              </w:rPr>
              <w:t>0–2 days</w:t>
            </w:r>
          </w:p>
        </w:tc>
        <w:tc>
          <w:tcPr>
            <w:tcW w:w="1200" w:type="dxa"/>
            <w:tcBorders/>
            <w:tcMar>
              <w:top w:w="20" w:type="dxa"/>
              <w:left w:w="80" w:type="dxa"/>
              <w:bottom w:w="20" w:type="dxa"/>
              <w:right w:w="80" w:type="dxa"/>
            </w:tcMar>
            <w:vAlign w:val="center"/>
          </w:tcPr>
          <w:p w14:paraId="19DE2D79">
            <w:pPr>
              <w:spacing w:before="0" w:after="0" w:line="240" w:lineRule="auto"/>
              <w:jc w:val="left"/>
            </w:pPr>
            <w:r>
              <w:rPr>
                <w:rFonts w:ascii="Arial" w:hAnsi="Arial" w:eastAsia="Arial" w:cs="Times New Roman"/>
                <w:b w:val="0"/>
                <w:bCs w:val="0"/>
                <w:i w:val="0"/>
                <w:iCs w:val="0"/>
                <w:sz w:val="17"/>
                <w:szCs w:val="18"/>
              </w:rPr>
              <w:t>391</w:t>
            </w:r>
          </w:p>
        </w:tc>
        <w:tc>
          <w:tcPr>
            <w:tcW w:w="2800" w:type="dxa"/>
            <w:tcBorders/>
            <w:tcMar>
              <w:top w:w="20" w:type="dxa"/>
              <w:left w:w="80" w:type="dxa"/>
              <w:bottom w:w="20" w:type="dxa"/>
              <w:right w:w="80" w:type="dxa"/>
            </w:tcMar>
            <w:vAlign w:val="center"/>
          </w:tcPr>
          <w:p w14:paraId="160FE598">
            <w:pPr>
              <w:spacing w:before="0" w:after="0" w:line="240" w:lineRule="auto"/>
              <w:jc w:val="left"/>
            </w:pPr>
            <w:r>
              <w:rPr>
                <w:rFonts w:ascii="Arial" w:hAnsi="Arial" w:eastAsia="Arial" w:cs="Times New Roman"/>
                <w:b w:val="0"/>
                <w:bCs w:val="0"/>
                <w:i w:val="0"/>
                <w:iCs w:val="0"/>
                <w:sz w:val="17"/>
                <w:szCs w:val="18"/>
              </w:rPr>
              <w:t>1.10 (0.90–1.20)</w:t>
            </w:r>
          </w:p>
        </w:tc>
        <w:tc>
          <w:tcPr>
            <w:tcW w:w="3038" w:type="dxa"/>
            <w:tcBorders/>
            <w:tcMar>
              <w:top w:w="20" w:type="dxa"/>
              <w:left w:w="80" w:type="dxa"/>
              <w:bottom w:w="20" w:type="dxa"/>
              <w:right w:w="80" w:type="dxa"/>
            </w:tcMar>
            <w:vAlign w:val="center"/>
          </w:tcPr>
          <w:p w14:paraId="6FA53AE2">
            <w:pPr>
              <w:spacing w:before="0" w:after="0" w:line="240" w:lineRule="auto"/>
              <w:jc w:val="left"/>
            </w:pPr>
            <w:r>
              <w:rPr>
                <w:rFonts w:ascii="Arial" w:hAnsi="Arial" w:eastAsia="Arial" w:cs="Times New Roman"/>
                <w:b w:val="0"/>
                <w:bCs w:val="0"/>
                <w:i w:val="0"/>
                <w:iCs w:val="0"/>
                <w:sz w:val="17"/>
                <w:szCs w:val="18"/>
              </w:rPr>
              <w:t>1.006 (0.978–1.035)</w:t>
            </w:r>
          </w:p>
        </w:tc>
      </w:tr>
      <w:tr w14:paraId="0EA21D1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2833C11F">
            <w:pPr>
              <w:spacing w:before="0" w:after="0" w:line="240" w:lineRule="auto"/>
              <w:ind w:left="170"/>
              <w:jc w:val="left"/>
            </w:pPr>
            <w:r>
              <w:rPr>
                <w:rFonts w:ascii="Arial" w:hAnsi="Arial" w:eastAsia="Arial" w:cs="Times New Roman"/>
                <w:b w:val="0"/>
                <w:bCs w:val="0"/>
                <w:i w:val="0"/>
                <w:iCs w:val="0"/>
                <w:sz w:val="17"/>
                <w:szCs w:val="18"/>
              </w:rPr>
              <w:t>3–4 days</w:t>
            </w:r>
          </w:p>
        </w:tc>
        <w:tc>
          <w:tcPr>
            <w:tcW w:w="1200" w:type="dxa"/>
            <w:tcBorders/>
            <w:tcMar>
              <w:top w:w="20" w:type="dxa"/>
              <w:left w:w="80" w:type="dxa"/>
              <w:bottom w:w="20" w:type="dxa"/>
              <w:right w:w="80" w:type="dxa"/>
            </w:tcMar>
            <w:vAlign w:val="center"/>
          </w:tcPr>
          <w:p w14:paraId="6A09B47C">
            <w:pPr>
              <w:spacing w:before="0" w:after="0" w:line="240" w:lineRule="auto"/>
              <w:jc w:val="left"/>
            </w:pPr>
            <w:r>
              <w:rPr>
                <w:rFonts w:ascii="Arial" w:hAnsi="Arial" w:eastAsia="Arial" w:cs="Times New Roman"/>
                <w:b w:val="0"/>
                <w:bCs w:val="0"/>
                <w:i w:val="0"/>
                <w:iCs w:val="0"/>
                <w:sz w:val="17"/>
                <w:szCs w:val="18"/>
              </w:rPr>
              <w:t>685</w:t>
            </w:r>
          </w:p>
        </w:tc>
        <w:tc>
          <w:tcPr>
            <w:tcW w:w="2800" w:type="dxa"/>
            <w:tcBorders/>
            <w:tcMar>
              <w:top w:w="20" w:type="dxa"/>
              <w:left w:w="80" w:type="dxa"/>
              <w:bottom w:w="20" w:type="dxa"/>
              <w:right w:w="80" w:type="dxa"/>
            </w:tcMar>
            <w:vAlign w:val="center"/>
          </w:tcPr>
          <w:p w14:paraId="43370CF4">
            <w:pPr>
              <w:spacing w:before="0" w:after="0" w:line="240" w:lineRule="auto"/>
              <w:jc w:val="left"/>
            </w:pPr>
            <w:r>
              <w:rPr>
                <w:rFonts w:ascii="Arial" w:hAnsi="Arial" w:eastAsia="Arial" w:cs="Times New Roman"/>
                <w:b w:val="0"/>
                <w:bCs w:val="0"/>
                <w:i w:val="0"/>
                <w:iCs w:val="0"/>
                <w:sz w:val="17"/>
                <w:szCs w:val="18"/>
              </w:rPr>
              <w:t>1.10 (0.90–1.20)</w:t>
            </w:r>
          </w:p>
        </w:tc>
        <w:tc>
          <w:tcPr>
            <w:tcW w:w="3038" w:type="dxa"/>
            <w:tcBorders/>
            <w:tcMar>
              <w:top w:w="20" w:type="dxa"/>
              <w:left w:w="80" w:type="dxa"/>
              <w:bottom w:w="20" w:type="dxa"/>
              <w:right w:w="80" w:type="dxa"/>
            </w:tcMar>
            <w:vAlign w:val="center"/>
          </w:tcPr>
          <w:p w14:paraId="35B6B9BE">
            <w:pPr>
              <w:spacing w:before="0" w:after="0" w:line="240" w:lineRule="auto"/>
              <w:jc w:val="left"/>
            </w:pPr>
            <w:r>
              <w:rPr>
                <w:rFonts w:ascii="Arial" w:hAnsi="Arial" w:eastAsia="Arial" w:cs="Times New Roman"/>
                <w:b w:val="0"/>
                <w:bCs w:val="0"/>
                <w:i w:val="0"/>
                <w:iCs w:val="0"/>
                <w:sz w:val="17"/>
                <w:szCs w:val="18"/>
              </w:rPr>
              <w:t>1.000 (reference)</w:t>
            </w:r>
          </w:p>
        </w:tc>
      </w:tr>
      <w:tr w14:paraId="09C0D74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5F45D804">
            <w:pPr>
              <w:spacing w:before="0" w:after="0" w:line="240" w:lineRule="auto"/>
              <w:ind w:left="170"/>
              <w:jc w:val="left"/>
            </w:pPr>
            <w:r>
              <w:rPr>
                <w:rFonts w:ascii="Arial" w:hAnsi="Arial" w:eastAsia="Arial" w:cs="Times New Roman"/>
                <w:b w:val="0"/>
                <w:bCs w:val="0"/>
                <w:i w:val="0"/>
                <w:iCs w:val="0"/>
                <w:sz w:val="17"/>
                <w:szCs w:val="18"/>
              </w:rPr>
              <w:t>5–7 days</w:t>
            </w:r>
          </w:p>
        </w:tc>
        <w:tc>
          <w:tcPr>
            <w:tcW w:w="1200" w:type="dxa"/>
            <w:tcBorders/>
            <w:tcMar>
              <w:top w:w="20" w:type="dxa"/>
              <w:left w:w="80" w:type="dxa"/>
              <w:bottom w:w="20" w:type="dxa"/>
              <w:right w:w="80" w:type="dxa"/>
            </w:tcMar>
            <w:vAlign w:val="center"/>
          </w:tcPr>
          <w:p w14:paraId="3BE60075">
            <w:pPr>
              <w:spacing w:before="0" w:after="0" w:line="240" w:lineRule="auto"/>
              <w:jc w:val="left"/>
            </w:pPr>
            <w:r>
              <w:rPr>
                <w:rFonts w:ascii="Arial" w:hAnsi="Arial" w:eastAsia="Arial" w:cs="Times New Roman"/>
                <w:b w:val="0"/>
                <w:bCs w:val="0"/>
                <w:i w:val="0"/>
                <w:iCs w:val="0"/>
                <w:sz w:val="17"/>
                <w:szCs w:val="18"/>
              </w:rPr>
              <w:t>357</w:t>
            </w:r>
          </w:p>
        </w:tc>
        <w:tc>
          <w:tcPr>
            <w:tcW w:w="2800" w:type="dxa"/>
            <w:tcBorders/>
            <w:tcMar>
              <w:top w:w="20" w:type="dxa"/>
              <w:left w:w="80" w:type="dxa"/>
              <w:bottom w:w="20" w:type="dxa"/>
              <w:right w:w="80" w:type="dxa"/>
            </w:tcMar>
            <w:vAlign w:val="center"/>
          </w:tcPr>
          <w:p w14:paraId="3A99F90A">
            <w:pPr>
              <w:spacing w:before="0" w:after="0" w:line="240" w:lineRule="auto"/>
              <w:jc w:val="left"/>
            </w:pPr>
            <w:r>
              <w:rPr>
                <w:rFonts w:ascii="Arial" w:hAnsi="Arial" w:eastAsia="Arial" w:cs="Times New Roman"/>
                <w:b w:val="0"/>
                <w:bCs w:val="0"/>
                <w:i w:val="0"/>
                <w:iCs w:val="0"/>
                <w:sz w:val="17"/>
                <w:szCs w:val="18"/>
              </w:rPr>
              <w:t>1.10 (1.00–1.20)</w:t>
            </w:r>
          </w:p>
        </w:tc>
        <w:tc>
          <w:tcPr>
            <w:tcW w:w="3038" w:type="dxa"/>
            <w:tcBorders/>
            <w:tcMar>
              <w:top w:w="20" w:type="dxa"/>
              <w:left w:w="80" w:type="dxa"/>
              <w:bottom w:w="20" w:type="dxa"/>
              <w:right w:w="80" w:type="dxa"/>
            </w:tcMar>
            <w:vAlign w:val="center"/>
          </w:tcPr>
          <w:p w14:paraId="24B14EE4">
            <w:pPr>
              <w:spacing w:before="0" w:after="0" w:line="240" w:lineRule="auto"/>
              <w:jc w:val="left"/>
            </w:pPr>
            <w:r>
              <w:rPr>
                <w:rFonts w:ascii="Arial" w:hAnsi="Arial" w:eastAsia="Arial" w:cs="Times New Roman"/>
                <w:b w:val="0"/>
                <w:bCs w:val="0"/>
                <w:i w:val="0"/>
                <w:iCs w:val="0"/>
                <w:sz w:val="17"/>
                <w:szCs w:val="18"/>
              </w:rPr>
              <w:t>1.008 (0.975–1.042)</w:t>
            </w:r>
          </w:p>
        </w:tc>
      </w:tr>
      <w:tr w14:paraId="632BEFB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bottom w:val="single" w:sz="8" w:color="000000"/>
            </w:tcBorders>
            <w:tcMar>
              <w:top w:w="20" w:type="dxa"/>
              <w:left w:w="80" w:type="dxa"/>
              <w:bottom w:w="20" w:type="dxa"/>
              <w:right w:w="80" w:type="dxa"/>
            </w:tcMar>
            <w:vAlign w:val="center"/>
          </w:tcPr>
          <w:p w14:paraId="56D8CAD1">
            <w:pPr>
              <w:spacing w:before="0" w:after="0" w:line="240" w:lineRule="auto"/>
              <w:ind w:left="170"/>
              <w:jc w:val="left"/>
            </w:pPr>
            <w:r>
              <w:rPr>
                <w:rFonts w:ascii="Arial" w:hAnsi="Arial" w:eastAsia="Arial" w:cs="Times New Roman"/>
                <w:b w:val="0"/>
                <w:bCs w:val="0"/>
                <w:i w:val="0"/>
                <w:iCs w:val="0"/>
                <w:sz w:val="17"/>
                <w:szCs w:val="18"/>
              </w:rPr>
              <w:t>&gt; 7 days</w:t>
            </w:r>
          </w:p>
        </w:tc>
        <w:tc>
          <w:tcPr>
            <w:tcW w:w="1200" w:type="dxa"/>
            <w:tcBorders>
              <w:bottom w:val="single" w:sz="8" w:color="000000"/>
            </w:tcBorders>
            <w:tcMar>
              <w:top w:w="20" w:type="dxa"/>
              <w:left w:w="80" w:type="dxa"/>
              <w:bottom w:w="20" w:type="dxa"/>
              <w:right w:w="80" w:type="dxa"/>
            </w:tcMar>
            <w:vAlign w:val="center"/>
          </w:tcPr>
          <w:p w14:paraId="39962B2C">
            <w:pPr>
              <w:spacing w:before="0" w:after="0" w:line="240" w:lineRule="auto"/>
              <w:jc w:val="left"/>
            </w:pPr>
            <w:r>
              <w:rPr>
                <w:rFonts w:ascii="Arial" w:hAnsi="Arial" w:eastAsia="Arial" w:cs="Times New Roman"/>
                <w:b w:val="0"/>
                <w:bCs w:val="0"/>
                <w:i w:val="0"/>
                <w:iCs w:val="0"/>
                <w:sz w:val="17"/>
                <w:szCs w:val="18"/>
              </w:rPr>
              <w:t>49</w:t>
            </w:r>
          </w:p>
        </w:tc>
        <w:tc>
          <w:tcPr>
            <w:tcW w:w="2800" w:type="dxa"/>
            <w:tcBorders>
              <w:bottom w:val="single" w:sz="8" w:color="000000"/>
            </w:tcBorders>
            <w:tcMar>
              <w:top w:w="20" w:type="dxa"/>
              <w:left w:w="80" w:type="dxa"/>
              <w:bottom w:w="20" w:type="dxa"/>
              <w:right w:w="80" w:type="dxa"/>
            </w:tcMar>
            <w:vAlign w:val="center"/>
          </w:tcPr>
          <w:p w14:paraId="3A34834C">
            <w:pPr>
              <w:spacing w:before="0" w:after="0" w:line="240" w:lineRule="auto"/>
              <w:jc w:val="left"/>
            </w:pPr>
            <w:r>
              <w:rPr>
                <w:rFonts w:ascii="Arial" w:hAnsi="Arial" w:eastAsia="Arial" w:cs="Times New Roman"/>
                <w:b w:val="0"/>
                <w:bCs w:val="0"/>
                <w:i w:val="0"/>
                <w:iCs w:val="0"/>
                <w:sz w:val="17"/>
                <w:szCs w:val="18"/>
              </w:rPr>
              <w:t>1.20 (1.10–1.30)</w:t>
            </w:r>
          </w:p>
        </w:tc>
        <w:tc>
          <w:tcPr>
            <w:tcW w:w="3038" w:type="dxa"/>
            <w:tcBorders>
              <w:bottom w:val="single" w:sz="8" w:color="000000"/>
            </w:tcBorders>
            <w:tcMar>
              <w:top w:w="20" w:type="dxa"/>
              <w:left w:w="80" w:type="dxa"/>
              <w:bottom w:w="20" w:type="dxa"/>
              <w:right w:w="80" w:type="dxa"/>
            </w:tcMar>
            <w:vAlign w:val="center"/>
          </w:tcPr>
          <w:p w14:paraId="7E949F3A">
            <w:pPr>
              <w:spacing w:before="0" w:after="0" w:line="240" w:lineRule="auto"/>
              <w:jc w:val="left"/>
            </w:pPr>
            <w:r>
              <w:rPr>
                <w:rFonts w:ascii="Arial" w:hAnsi="Arial" w:eastAsia="Arial" w:cs="Times New Roman"/>
                <w:b w:val="0"/>
                <w:bCs w:val="0"/>
                <w:i w:val="0"/>
                <w:iCs w:val="0"/>
                <w:sz w:val="17"/>
                <w:szCs w:val="18"/>
              </w:rPr>
              <w:t>1.165 (1.081–1.254)</w:t>
            </w:r>
          </w:p>
        </w:tc>
      </w:tr>
    </w:tbl>
    <w:p w14:paraId="319BAAE8">
      <w:pPr>
        <w:keepNext/>
        <w:spacing w:before="140" w:after="60" w:line="240" w:lineRule="auto"/>
        <w:jc w:val="left"/>
      </w:pPr>
      <w:r>
        <w:rPr>
          <w:rFonts w:ascii="Times New Roman" w:hAnsi="Times New Roman" w:eastAsia="Times New Roman" w:cs="Times New Roman"/>
          <w:b/>
          <w:bCs/>
          <w:i w:val="0"/>
          <w:iCs w:val="0"/>
          <w:sz w:val="18"/>
          <w:szCs w:val="18"/>
        </w:rPr>
        <w:t>(B) Range-restriction sensitivity</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900"/>
        <w:gridCol w:w="2400"/>
        <w:gridCol w:w="900"/>
        <w:gridCol w:w="1800"/>
        <w:gridCol w:w="1638"/>
      </w:tblGrid>
      <w:tr w14:paraId="6CA9A02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900" w:type="dxa"/>
            <w:tcBorders>
              <w:top w:val="single" w:sz="8" w:color="000000"/>
              <w:bottom w:val="single" w:sz="8" w:color="000000"/>
            </w:tcBorders>
            <w:tcMar>
              <w:top w:w="20" w:type="dxa"/>
              <w:left w:w="80" w:type="dxa"/>
              <w:bottom w:w="20" w:type="dxa"/>
              <w:right w:w="80" w:type="dxa"/>
            </w:tcMar>
            <w:vAlign w:val="center"/>
          </w:tcPr>
          <w:p w14:paraId="535105FE">
            <w:pPr>
              <w:spacing w:before="0" w:after="0" w:line="240" w:lineRule="auto"/>
              <w:jc w:val="left"/>
            </w:pPr>
            <w:r>
              <w:rPr>
                <w:rFonts w:ascii="Arial" w:hAnsi="Arial" w:eastAsia="Arial" w:cs="Times New Roman"/>
                <w:b/>
                <w:bCs/>
                <w:i w:val="0"/>
                <w:iCs w:val="0"/>
                <w:sz w:val="17"/>
                <w:szCs w:val="18"/>
              </w:rPr>
              <w:t>Analysis</w:t>
            </w:r>
          </w:p>
        </w:tc>
        <w:tc>
          <w:tcPr>
            <w:tcW w:w="2400" w:type="dxa"/>
            <w:tcBorders>
              <w:top w:val="single" w:sz="8" w:color="000000"/>
              <w:bottom w:val="single" w:sz="8" w:color="000000"/>
            </w:tcBorders>
            <w:tcMar>
              <w:top w:w="20" w:type="dxa"/>
              <w:left w:w="80" w:type="dxa"/>
              <w:bottom w:w="20" w:type="dxa"/>
              <w:right w:w="80" w:type="dxa"/>
            </w:tcMar>
            <w:vAlign w:val="center"/>
          </w:tcPr>
          <w:p w14:paraId="777E7DA8">
            <w:pPr>
              <w:spacing w:before="0" w:after="0" w:line="240" w:lineRule="auto"/>
              <w:jc w:val="left"/>
            </w:pPr>
            <w:r>
              <w:rPr>
                <w:rFonts w:ascii="Arial" w:hAnsi="Arial" w:eastAsia="Arial" w:cs="Times New Roman"/>
                <w:b/>
                <w:bCs/>
                <w:i w:val="0"/>
                <w:iCs w:val="0"/>
                <w:sz w:val="17"/>
                <w:szCs w:val="18"/>
              </w:rPr>
              <w:t>Measurement</w:t>
            </w:r>
          </w:p>
        </w:tc>
        <w:tc>
          <w:tcPr>
            <w:tcW w:w="900" w:type="dxa"/>
            <w:tcBorders>
              <w:top w:val="single" w:sz="8" w:color="000000"/>
              <w:bottom w:val="single" w:sz="8" w:color="000000"/>
            </w:tcBorders>
            <w:tcMar>
              <w:top w:w="20" w:type="dxa"/>
              <w:left w:w="80" w:type="dxa"/>
              <w:bottom w:w="20" w:type="dxa"/>
              <w:right w:w="80" w:type="dxa"/>
            </w:tcMar>
            <w:vAlign w:val="center"/>
          </w:tcPr>
          <w:p w14:paraId="634989FE">
            <w:pPr>
              <w:spacing w:before="0" w:after="0" w:line="240" w:lineRule="auto"/>
              <w:jc w:val="left"/>
            </w:pPr>
            <w:r>
              <w:rPr>
                <w:rFonts w:ascii="Arial" w:hAnsi="Arial" w:eastAsia="Arial" w:cs="Times New Roman"/>
                <w:b/>
                <w:bCs/>
                <w:i w:val="0"/>
                <w:iCs w:val="0"/>
                <w:sz w:val="17"/>
                <w:szCs w:val="18"/>
              </w:rPr>
              <w:t>n</w:t>
            </w:r>
          </w:p>
        </w:tc>
        <w:tc>
          <w:tcPr>
            <w:tcW w:w="1800" w:type="dxa"/>
            <w:tcBorders>
              <w:top w:val="single" w:sz="8" w:color="000000"/>
              <w:bottom w:val="single" w:sz="8" w:color="000000"/>
            </w:tcBorders>
            <w:tcMar>
              <w:top w:w="20" w:type="dxa"/>
              <w:left w:w="80" w:type="dxa"/>
              <w:bottom w:w="20" w:type="dxa"/>
              <w:right w:w="80" w:type="dxa"/>
            </w:tcMar>
            <w:vAlign w:val="center"/>
          </w:tcPr>
          <w:p w14:paraId="21917E1A">
            <w:pPr>
              <w:spacing w:before="0" w:after="0" w:line="240" w:lineRule="auto"/>
              <w:jc w:val="left"/>
            </w:pPr>
            <w:r>
              <w:rPr>
                <w:rFonts w:ascii="Arial" w:hAnsi="Arial" w:eastAsia="Arial" w:cs="Times New Roman"/>
                <w:b/>
                <w:bCs/>
                <w:i w:val="0"/>
                <w:iCs w:val="0"/>
                <w:sz w:val="17"/>
                <w:szCs w:val="18"/>
              </w:rPr>
              <w:t>Ratio (95% CI)</w:t>
            </w:r>
          </w:p>
        </w:tc>
        <w:tc>
          <w:tcPr>
            <w:tcW w:w="1638" w:type="dxa"/>
            <w:tcBorders>
              <w:top w:val="single" w:sz="8" w:color="000000"/>
              <w:bottom w:val="single" w:sz="8" w:color="000000"/>
            </w:tcBorders>
            <w:tcMar>
              <w:top w:w="20" w:type="dxa"/>
              <w:left w:w="80" w:type="dxa"/>
              <w:bottom w:w="20" w:type="dxa"/>
              <w:right w:w="80" w:type="dxa"/>
            </w:tcMar>
            <w:vAlign w:val="center"/>
          </w:tcPr>
          <w:p w14:paraId="621EDABF">
            <w:pPr>
              <w:spacing w:before="0" w:after="0" w:line="240" w:lineRule="auto"/>
              <w:jc w:val="left"/>
            </w:pPr>
            <w:r>
              <w:rPr>
                <w:rFonts w:ascii="Arial" w:hAnsi="Arial" w:eastAsia="Arial" w:cs="Times New Roman"/>
                <w:b/>
                <w:bCs/>
                <w:i/>
                <w:iCs/>
                <w:sz w:val="17"/>
                <w:szCs w:val="18"/>
              </w:rPr>
              <w:t>P</w:t>
            </w:r>
          </w:p>
        </w:tc>
      </w:tr>
      <w:tr w14:paraId="6848DE2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900" w:type="dxa"/>
            <w:tcBorders/>
            <w:tcMar>
              <w:top w:w="20" w:type="dxa"/>
              <w:left w:w="80" w:type="dxa"/>
              <w:bottom w:w="20" w:type="dxa"/>
              <w:right w:w="80" w:type="dxa"/>
            </w:tcMar>
            <w:vAlign w:val="center"/>
          </w:tcPr>
          <w:p w14:paraId="4E29AD98">
            <w:pPr>
              <w:spacing w:before="0" w:after="0" w:line="240" w:lineRule="auto"/>
              <w:jc w:val="left"/>
            </w:pPr>
            <w:r>
              <w:rPr>
                <w:rFonts w:ascii="Arial" w:hAnsi="Arial" w:eastAsia="Arial" w:cs="Times New Roman"/>
                <w:b w:val="0"/>
                <w:bCs w:val="0"/>
                <w:i w:val="0"/>
                <w:iCs w:val="0"/>
                <w:sz w:val="17"/>
                <w:szCs w:val="18"/>
              </w:rPr>
              <w:t>Ultrasound-side abstinence 0–7 days, per day</w:t>
            </w:r>
          </w:p>
        </w:tc>
        <w:tc>
          <w:tcPr>
            <w:tcW w:w="2400" w:type="dxa"/>
            <w:tcBorders/>
            <w:tcMar>
              <w:top w:w="20" w:type="dxa"/>
              <w:left w:w="80" w:type="dxa"/>
              <w:bottom w:w="20" w:type="dxa"/>
              <w:right w:w="80" w:type="dxa"/>
            </w:tcMar>
            <w:vAlign w:val="center"/>
          </w:tcPr>
          <w:p w14:paraId="0F8DF563">
            <w:pPr>
              <w:spacing w:before="0" w:after="0" w:line="240" w:lineRule="auto"/>
              <w:jc w:val="left"/>
            </w:pPr>
            <w:r>
              <w:rPr>
                <w:rFonts w:ascii="Arial" w:hAnsi="Arial" w:eastAsia="Arial" w:cs="Times New Roman"/>
                <w:b w:val="0"/>
                <w:bCs w:val="0"/>
                <w:i w:val="0"/>
                <w:iCs w:val="0"/>
                <w:sz w:val="17"/>
                <w:szCs w:val="18"/>
              </w:rPr>
              <w:t>Bilateral total volume</w:t>
            </w:r>
          </w:p>
        </w:tc>
        <w:tc>
          <w:tcPr>
            <w:tcW w:w="900" w:type="dxa"/>
            <w:tcBorders/>
            <w:tcMar>
              <w:top w:w="20" w:type="dxa"/>
              <w:left w:w="80" w:type="dxa"/>
              <w:bottom w:w="20" w:type="dxa"/>
              <w:right w:w="80" w:type="dxa"/>
            </w:tcMar>
            <w:vAlign w:val="center"/>
          </w:tcPr>
          <w:p w14:paraId="5CCAF9C2">
            <w:pPr>
              <w:spacing w:before="0" w:after="0" w:line="240" w:lineRule="auto"/>
              <w:jc w:val="left"/>
            </w:pPr>
            <w:r>
              <w:rPr>
                <w:rFonts w:ascii="Arial" w:hAnsi="Arial" w:eastAsia="Arial" w:cs="Times New Roman"/>
                <w:b w:val="0"/>
                <w:bCs w:val="0"/>
                <w:i w:val="0"/>
                <w:iCs w:val="0"/>
                <w:sz w:val="17"/>
                <w:szCs w:val="18"/>
              </w:rPr>
              <w:t>1,433</w:t>
            </w:r>
          </w:p>
        </w:tc>
        <w:tc>
          <w:tcPr>
            <w:tcW w:w="1800" w:type="dxa"/>
            <w:tcBorders/>
            <w:tcMar>
              <w:top w:w="20" w:type="dxa"/>
              <w:left w:w="80" w:type="dxa"/>
              <w:bottom w:w="20" w:type="dxa"/>
              <w:right w:w="80" w:type="dxa"/>
            </w:tcMar>
            <w:vAlign w:val="center"/>
          </w:tcPr>
          <w:p w14:paraId="35476269">
            <w:pPr>
              <w:spacing w:before="0" w:after="0" w:line="240" w:lineRule="auto"/>
              <w:jc w:val="left"/>
            </w:pPr>
            <w:r>
              <w:rPr>
                <w:rFonts w:ascii="Arial" w:hAnsi="Arial" w:eastAsia="Arial" w:cs="Times New Roman"/>
                <w:b w:val="0"/>
                <w:bCs w:val="0"/>
                <w:i w:val="0"/>
                <w:iCs w:val="0"/>
                <w:sz w:val="17"/>
                <w:szCs w:val="18"/>
              </w:rPr>
              <w:t>1.001 (0.983–1.020)</w:t>
            </w:r>
          </w:p>
        </w:tc>
        <w:tc>
          <w:tcPr>
            <w:tcW w:w="1638" w:type="dxa"/>
            <w:tcBorders/>
            <w:tcMar>
              <w:top w:w="20" w:type="dxa"/>
              <w:left w:w="80" w:type="dxa"/>
              <w:bottom w:w="20" w:type="dxa"/>
              <w:right w:w="80" w:type="dxa"/>
            </w:tcMar>
            <w:vAlign w:val="center"/>
          </w:tcPr>
          <w:p w14:paraId="589F4DAE">
            <w:pPr>
              <w:spacing w:before="0" w:after="0" w:line="240" w:lineRule="auto"/>
              <w:jc w:val="left"/>
            </w:pPr>
            <w:r>
              <w:rPr>
                <w:rFonts w:ascii="Arial" w:hAnsi="Arial" w:eastAsia="Arial" w:cs="Times New Roman"/>
                <w:b w:val="0"/>
                <w:bCs w:val="0"/>
                <w:i w:val="0"/>
                <w:iCs w:val="0"/>
                <w:sz w:val="17"/>
                <w:szCs w:val="18"/>
              </w:rPr>
              <w:t>0.918</w:t>
            </w:r>
          </w:p>
        </w:tc>
      </w:tr>
      <w:tr w14:paraId="3597C3B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900" w:type="dxa"/>
            <w:tcBorders/>
            <w:tcMar>
              <w:top w:w="20" w:type="dxa"/>
              <w:left w:w="80" w:type="dxa"/>
              <w:bottom w:w="20" w:type="dxa"/>
              <w:right w:w="80" w:type="dxa"/>
            </w:tcMar>
            <w:vAlign w:val="center"/>
          </w:tcPr>
          <w:p w14:paraId="1968B8F7">
            <w:pPr>
              <w:spacing w:before="0" w:after="0" w:line="240" w:lineRule="auto"/>
              <w:jc w:val="left"/>
            </w:pPr>
            <w:r>
              <w:rPr>
                <w:rFonts w:ascii="Arial" w:hAnsi="Arial" w:eastAsia="Arial" w:cs="Times New Roman"/>
                <w:b w:val="0"/>
                <w:bCs w:val="0"/>
                <w:i w:val="0"/>
                <w:iCs w:val="0"/>
                <w:sz w:val="17"/>
                <w:szCs w:val="18"/>
              </w:rPr>
              <w:t>Both abstinence intervals 2–7 days, per day</w:t>
            </w:r>
          </w:p>
        </w:tc>
        <w:tc>
          <w:tcPr>
            <w:tcW w:w="2400" w:type="dxa"/>
            <w:tcBorders/>
            <w:tcMar>
              <w:top w:w="20" w:type="dxa"/>
              <w:left w:w="80" w:type="dxa"/>
              <w:bottom w:w="20" w:type="dxa"/>
              <w:right w:w="80" w:type="dxa"/>
            </w:tcMar>
            <w:vAlign w:val="center"/>
          </w:tcPr>
          <w:p w14:paraId="661661E0">
            <w:pPr>
              <w:spacing w:before="0" w:after="0" w:line="240" w:lineRule="auto"/>
              <w:jc w:val="left"/>
            </w:pPr>
            <w:r>
              <w:rPr>
                <w:rFonts w:ascii="Arial" w:hAnsi="Arial" w:eastAsia="Arial" w:cs="Times New Roman"/>
                <w:b w:val="0"/>
                <w:bCs w:val="0"/>
                <w:i w:val="0"/>
                <w:iCs w:val="0"/>
                <w:sz w:val="17"/>
                <w:szCs w:val="18"/>
              </w:rPr>
              <w:t>Bilateral total volume</w:t>
            </w:r>
          </w:p>
        </w:tc>
        <w:tc>
          <w:tcPr>
            <w:tcW w:w="900" w:type="dxa"/>
            <w:tcBorders/>
            <w:tcMar>
              <w:top w:w="20" w:type="dxa"/>
              <w:left w:w="80" w:type="dxa"/>
              <w:bottom w:w="20" w:type="dxa"/>
              <w:right w:w="80" w:type="dxa"/>
            </w:tcMar>
            <w:vAlign w:val="center"/>
          </w:tcPr>
          <w:p w14:paraId="060BBAF1">
            <w:pPr>
              <w:spacing w:before="0" w:after="0" w:line="240" w:lineRule="auto"/>
              <w:jc w:val="left"/>
            </w:pPr>
            <w:r>
              <w:rPr>
                <w:rFonts w:ascii="Arial" w:hAnsi="Arial" w:eastAsia="Arial" w:cs="Times New Roman"/>
                <w:b w:val="0"/>
                <w:bCs w:val="0"/>
                <w:i w:val="0"/>
                <w:iCs w:val="0"/>
                <w:sz w:val="17"/>
                <w:szCs w:val="18"/>
              </w:rPr>
              <w:t>1,266</w:t>
            </w:r>
          </w:p>
        </w:tc>
        <w:tc>
          <w:tcPr>
            <w:tcW w:w="1800" w:type="dxa"/>
            <w:tcBorders/>
            <w:tcMar>
              <w:top w:w="20" w:type="dxa"/>
              <w:left w:w="80" w:type="dxa"/>
              <w:bottom w:w="20" w:type="dxa"/>
              <w:right w:w="80" w:type="dxa"/>
            </w:tcMar>
            <w:vAlign w:val="center"/>
          </w:tcPr>
          <w:p w14:paraId="2A9EF03F">
            <w:pPr>
              <w:spacing w:before="0" w:after="0" w:line="240" w:lineRule="auto"/>
              <w:jc w:val="left"/>
            </w:pPr>
            <w:r>
              <w:rPr>
                <w:rFonts w:ascii="Arial" w:hAnsi="Arial" w:eastAsia="Arial" w:cs="Times New Roman"/>
                <w:b w:val="0"/>
                <w:bCs w:val="0"/>
                <w:i w:val="0"/>
                <w:iCs w:val="0"/>
                <w:sz w:val="17"/>
                <w:szCs w:val="18"/>
              </w:rPr>
              <w:t>1.007 (0.981–1.033)</w:t>
            </w:r>
          </w:p>
        </w:tc>
        <w:tc>
          <w:tcPr>
            <w:tcW w:w="1638" w:type="dxa"/>
            <w:tcBorders/>
            <w:tcMar>
              <w:top w:w="20" w:type="dxa"/>
              <w:left w:w="80" w:type="dxa"/>
              <w:bottom w:w="20" w:type="dxa"/>
              <w:right w:w="80" w:type="dxa"/>
            </w:tcMar>
            <w:vAlign w:val="center"/>
          </w:tcPr>
          <w:p w14:paraId="5CC23B07">
            <w:pPr>
              <w:spacing w:before="0" w:after="0" w:line="240" w:lineRule="auto"/>
              <w:jc w:val="left"/>
            </w:pPr>
            <w:r>
              <w:rPr>
                <w:rFonts w:ascii="Arial" w:hAnsi="Arial" w:eastAsia="Arial" w:cs="Times New Roman"/>
                <w:b w:val="0"/>
                <w:bCs w:val="0"/>
                <w:i w:val="0"/>
                <w:iCs w:val="0"/>
                <w:sz w:val="17"/>
                <w:szCs w:val="18"/>
              </w:rPr>
              <w:t>0.619</w:t>
            </w:r>
          </w:p>
        </w:tc>
      </w:tr>
      <w:tr w14:paraId="2ABCE0E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900" w:type="dxa"/>
            <w:tcBorders/>
            <w:tcMar>
              <w:top w:w="20" w:type="dxa"/>
              <w:left w:w="80" w:type="dxa"/>
              <w:bottom w:w="20" w:type="dxa"/>
              <w:right w:w="80" w:type="dxa"/>
            </w:tcMar>
            <w:vAlign w:val="center"/>
          </w:tcPr>
          <w:p w14:paraId="61BE1025">
            <w:pPr>
              <w:spacing w:before="0" w:after="0" w:line="240" w:lineRule="auto"/>
              <w:jc w:val="left"/>
            </w:pPr>
            <w:r>
              <w:rPr>
                <w:rFonts w:ascii="Arial" w:hAnsi="Arial" w:eastAsia="Arial" w:cs="Times New Roman"/>
                <w:b w:val="0"/>
                <w:bCs w:val="0"/>
                <w:i w:val="0"/>
                <w:iCs w:val="0"/>
                <w:sz w:val="17"/>
                <w:szCs w:val="18"/>
              </w:rPr>
              <w:t>Ultrasound-side abstinence 0–7 days, per day</w:t>
            </w:r>
          </w:p>
        </w:tc>
        <w:tc>
          <w:tcPr>
            <w:tcW w:w="2400" w:type="dxa"/>
            <w:tcBorders/>
            <w:tcMar>
              <w:top w:w="20" w:type="dxa"/>
              <w:left w:w="80" w:type="dxa"/>
              <w:bottom w:w="20" w:type="dxa"/>
              <w:right w:w="80" w:type="dxa"/>
            </w:tcMar>
            <w:vAlign w:val="center"/>
          </w:tcPr>
          <w:p w14:paraId="32AF8B30">
            <w:pPr>
              <w:spacing w:before="0" w:after="0" w:line="240" w:lineRule="auto"/>
              <w:jc w:val="left"/>
            </w:pPr>
            <w:r>
              <w:rPr>
                <w:rFonts w:ascii="Arial" w:hAnsi="Arial" w:eastAsia="Arial" w:cs="Times New Roman"/>
                <w:b w:val="0"/>
                <w:bCs w:val="0"/>
                <w:i w:val="0"/>
                <w:iCs w:val="0"/>
                <w:sz w:val="17"/>
                <w:szCs w:val="18"/>
              </w:rPr>
              <w:t>Largest-side volume</w:t>
            </w:r>
          </w:p>
        </w:tc>
        <w:tc>
          <w:tcPr>
            <w:tcW w:w="900" w:type="dxa"/>
            <w:tcBorders/>
            <w:tcMar>
              <w:top w:w="20" w:type="dxa"/>
              <w:left w:w="80" w:type="dxa"/>
              <w:bottom w:w="20" w:type="dxa"/>
              <w:right w:w="80" w:type="dxa"/>
            </w:tcMar>
            <w:vAlign w:val="center"/>
          </w:tcPr>
          <w:p w14:paraId="69DC8B82">
            <w:pPr>
              <w:spacing w:before="0" w:after="0" w:line="240" w:lineRule="auto"/>
              <w:jc w:val="left"/>
            </w:pPr>
            <w:r>
              <w:rPr>
                <w:rFonts w:ascii="Arial" w:hAnsi="Arial" w:eastAsia="Arial" w:cs="Times New Roman"/>
                <w:b w:val="0"/>
                <w:bCs w:val="0"/>
                <w:i w:val="0"/>
                <w:iCs w:val="0"/>
                <w:sz w:val="17"/>
                <w:szCs w:val="18"/>
              </w:rPr>
              <w:t>1,433</w:t>
            </w:r>
          </w:p>
        </w:tc>
        <w:tc>
          <w:tcPr>
            <w:tcW w:w="1800" w:type="dxa"/>
            <w:tcBorders/>
            <w:tcMar>
              <w:top w:w="20" w:type="dxa"/>
              <w:left w:w="80" w:type="dxa"/>
              <w:bottom w:w="20" w:type="dxa"/>
              <w:right w:w="80" w:type="dxa"/>
            </w:tcMar>
            <w:vAlign w:val="center"/>
          </w:tcPr>
          <w:p w14:paraId="2B776742">
            <w:pPr>
              <w:spacing w:before="0" w:after="0" w:line="240" w:lineRule="auto"/>
              <w:jc w:val="left"/>
            </w:pPr>
            <w:r>
              <w:rPr>
                <w:rFonts w:ascii="Arial" w:hAnsi="Arial" w:eastAsia="Arial" w:cs="Times New Roman"/>
                <w:b w:val="0"/>
                <w:bCs w:val="0"/>
                <w:i w:val="0"/>
                <w:iCs w:val="0"/>
                <w:sz w:val="17"/>
                <w:szCs w:val="18"/>
              </w:rPr>
              <w:t>1.001 (0.983–1.020)</w:t>
            </w:r>
          </w:p>
        </w:tc>
        <w:tc>
          <w:tcPr>
            <w:tcW w:w="1638" w:type="dxa"/>
            <w:tcBorders/>
            <w:tcMar>
              <w:top w:w="20" w:type="dxa"/>
              <w:left w:w="80" w:type="dxa"/>
              <w:bottom w:w="20" w:type="dxa"/>
              <w:right w:w="80" w:type="dxa"/>
            </w:tcMar>
            <w:vAlign w:val="center"/>
          </w:tcPr>
          <w:p w14:paraId="52CE3BEA">
            <w:pPr>
              <w:spacing w:before="0" w:after="0" w:line="240" w:lineRule="auto"/>
              <w:jc w:val="left"/>
            </w:pPr>
            <w:r>
              <w:rPr>
                <w:rFonts w:ascii="Arial" w:hAnsi="Arial" w:eastAsia="Arial" w:cs="Times New Roman"/>
                <w:b w:val="0"/>
                <w:bCs w:val="0"/>
                <w:i w:val="0"/>
                <w:iCs w:val="0"/>
                <w:sz w:val="17"/>
                <w:szCs w:val="18"/>
              </w:rPr>
              <w:t>0.886</w:t>
            </w:r>
          </w:p>
        </w:tc>
      </w:tr>
      <w:tr w14:paraId="2A06B0A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900" w:type="dxa"/>
            <w:tcBorders/>
            <w:tcMar>
              <w:top w:w="20" w:type="dxa"/>
              <w:left w:w="80" w:type="dxa"/>
              <w:bottom w:w="20" w:type="dxa"/>
              <w:right w:w="80" w:type="dxa"/>
            </w:tcMar>
            <w:vAlign w:val="center"/>
          </w:tcPr>
          <w:p w14:paraId="1CFDC3BB">
            <w:pPr>
              <w:spacing w:before="0" w:after="0" w:line="240" w:lineRule="auto"/>
              <w:jc w:val="left"/>
            </w:pPr>
            <w:r>
              <w:rPr>
                <w:rFonts w:ascii="Arial" w:hAnsi="Arial" w:eastAsia="Arial" w:cs="Times New Roman"/>
                <w:b w:val="0"/>
                <w:bCs w:val="0"/>
                <w:i w:val="0"/>
                <w:iCs w:val="0"/>
                <w:sz w:val="17"/>
                <w:szCs w:val="18"/>
              </w:rPr>
              <w:t>Both abstinence intervals 2–7 days, per day</w:t>
            </w:r>
          </w:p>
        </w:tc>
        <w:tc>
          <w:tcPr>
            <w:tcW w:w="2400" w:type="dxa"/>
            <w:tcBorders/>
            <w:tcMar>
              <w:top w:w="20" w:type="dxa"/>
              <w:left w:w="80" w:type="dxa"/>
              <w:bottom w:w="20" w:type="dxa"/>
              <w:right w:w="80" w:type="dxa"/>
            </w:tcMar>
            <w:vAlign w:val="center"/>
          </w:tcPr>
          <w:p w14:paraId="4A101187">
            <w:pPr>
              <w:spacing w:before="0" w:after="0" w:line="240" w:lineRule="auto"/>
              <w:jc w:val="left"/>
            </w:pPr>
            <w:r>
              <w:rPr>
                <w:rFonts w:ascii="Arial" w:hAnsi="Arial" w:eastAsia="Arial" w:cs="Times New Roman"/>
                <w:b w:val="0"/>
                <w:bCs w:val="0"/>
                <w:i w:val="0"/>
                <w:iCs w:val="0"/>
                <w:sz w:val="17"/>
                <w:szCs w:val="18"/>
              </w:rPr>
              <w:t>Largest-side volume</w:t>
            </w:r>
          </w:p>
        </w:tc>
        <w:tc>
          <w:tcPr>
            <w:tcW w:w="900" w:type="dxa"/>
            <w:tcBorders/>
            <w:tcMar>
              <w:top w:w="20" w:type="dxa"/>
              <w:left w:w="80" w:type="dxa"/>
              <w:bottom w:w="20" w:type="dxa"/>
              <w:right w:w="80" w:type="dxa"/>
            </w:tcMar>
            <w:vAlign w:val="center"/>
          </w:tcPr>
          <w:p w14:paraId="4FE6B468">
            <w:pPr>
              <w:spacing w:before="0" w:after="0" w:line="240" w:lineRule="auto"/>
              <w:jc w:val="left"/>
            </w:pPr>
            <w:r>
              <w:rPr>
                <w:rFonts w:ascii="Arial" w:hAnsi="Arial" w:eastAsia="Arial" w:cs="Times New Roman"/>
                <w:b w:val="0"/>
                <w:bCs w:val="0"/>
                <w:i w:val="0"/>
                <w:iCs w:val="0"/>
                <w:sz w:val="17"/>
                <w:szCs w:val="18"/>
              </w:rPr>
              <w:t>1,266</w:t>
            </w:r>
          </w:p>
        </w:tc>
        <w:tc>
          <w:tcPr>
            <w:tcW w:w="1800" w:type="dxa"/>
            <w:tcBorders/>
            <w:tcMar>
              <w:top w:w="20" w:type="dxa"/>
              <w:left w:w="80" w:type="dxa"/>
              <w:bottom w:w="20" w:type="dxa"/>
              <w:right w:w="80" w:type="dxa"/>
            </w:tcMar>
            <w:vAlign w:val="center"/>
          </w:tcPr>
          <w:p w14:paraId="57F1EB15">
            <w:pPr>
              <w:spacing w:before="0" w:after="0" w:line="240" w:lineRule="auto"/>
              <w:jc w:val="left"/>
            </w:pPr>
            <w:r>
              <w:rPr>
                <w:rFonts w:ascii="Arial" w:hAnsi="Arial" w:eastAsia="Arial" w:cs="Times New Roman"/>
                <w:b w:val="0"/>
                <w:bCs w:val="0"/>
                <w:i w:val="0"/>
                <w:iCs w:val="0"/>
                <w:sz w:val="17"/>
                <w:szCs w:val="18"/>
              </w:rPr>
              <w:t>1.006 (0.980–1.032)</w:t>
            </w:r>
          </w:p>
        </w:tc>
        <w:tc>
          <w:tcPr>
            <w:tcW w:w="1638" w:type="dxa"/>
            <w:tcBorders/>
            <w:tcMar>
              <w:top w:w="20" w:type="dxa"/>
              <w:left w:w="80" w:type="dxa"/>
              <w:bottom w:w="20" w:type="dxa"/>
              <w:right w:w="80" w:type="dxa"/>
            </w:tcMar>
            <w:vAlign w:val="center"/>
          </w:tcPr>
          <w:p w14:paraId="4F9EAECA">
            <w:pPr>
              <w:spacing w:before="0" w:after="0" w:line="240" w:lineRule="auto"/>
              <w:jc w:val="left"/>
            </w:pPr>
            <w:r>
              <w:rPr>
                <w:rFonts w:ascii="Arial" w:hAnsi="Arial" w:eastAsia="Arial" w:cs="Times New Roman"/>
                <w:b w:val="0"/>
                <w:bCs w:val="0"/>
                <w:i w:val="0"/>
                <w:iCs w:val="0"/>
                <w:sz w:val="17"/>
                <w:szCs w:val="18"/>
              </w:rPr>
              <w:t>0.658</w:t>
            </w:r>
          </w:p>
        </w:tc>
      </w:tr>
      <w:tr w14:paraId="7FFCE57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900" w:type="dxa"/>
            <w:tcBorders/>
            <w:tcMar>
              <w:top w:w="20" w:type="dxa"/>
              <w:left w:w="80" w:type="dxa"/>
              <w:bottom w:w="20" w:type="dxa"/>
              <w:right w:w="80" w:type="dxa"/>
            </w:tcMar>
            <w:vAlign w:val="center"/>
          </w:tcPr>
          <w:p w14:paraId="004540AB">
            <w:pPr>
              <w:spacing w:before="0" w:after="0" w:line="240" w:lineRule="auto"/>
              <w:jc w:val="left"/>
            </w:pPr>
            <w:r>
              <w:rPr>
                <w:rFonts w:ascii="Arial" w:hAnsi="Arial" w:eastAsia="Arial" w:cs="Times New Roman"/>
                <w:b w:val="0"/>
                <w:bCs w:val="0"/>
                <w:i w:val="0"/>
                <w:iCs w:val="0"/>
                <w:sz w:val="17"/>
                <w:szCs w:val="18"/>
              </w:rPr>
              <w:t>Ultrasound-side abstinence 0–7 days, per day</w:t>
            </w:r>
          </w:p>
        </w:tc>
        <w:tc>
          <w:tcPr>
            <w:tcW w:w="2400" w:type="dxa"/>
            <w:tcBorders/>
            <w:tcMar>
              <w:top w:w="20" w:type="dxa"/>
              <w:left w:w="80" w:type="dxa"/>
              <w:bottom w:w="20" w:type="dxa"/>
              <w:right w:w="80" w:type="dxa"/>
            </w:tcMar>
            <w:vAlign w:val="center"/>
          </w:tcPr>
          <w:p w14:paraId="46E46D93">
            <w:pPr>
              <w:spacing w:before="0" w:after="0" w:line="240" w:lineRule="auto"/>
              <w:jc w:val="left"/>
            </w:pPr>
            <w:r>
              <w:rPr>
                <w:rFonts w:ascii="Arial" w:hAnsi="Arial" w:eastAsia="Arial" w:cs="Times New Roman"/>
                <w:b w:val="0"/>
                <w:bCs w:val="0"/>
                <w:i w:val="0"/>
                <w:iCs w:val="0"/>
                <w:sz w:val="17"/>
                <w:szCs w:val="18"/>
              </w:rPr>
              <w:t>Largest anteroposterior diameter</w:t>
            </w:r>
          </w:p>
        </w:tc>
        <w:tc>
          <w:tcPr>
            <w:tcW w:w="900" w:type="dxa"/>
            <w:tcBorders/>
            <w:tcMar>
              <w:top w:w="20" w:type="dxa"/>
              <w:left w:w="80" w:type="dxa"/>
              <w:bottom w:w="20" w:type="dxa"/>
              <w:right w:w="80" w:type="dxa"/>
            </w:tcMar>
            <w:vAlign w:val="center"/>
          </w:tcPr>
          <w:p w14:paraId="6A17CEF8">
            <w:pPr>
              <w:spacing w:before="0" w:after="0" w:line="240" w:lineRule="auto"/>
              <w:jc w:val="left"/>
            </w:pPr>
            <w:r>
              <w:rPr>
                <w:rFonts w:ascii="Arial" w:hAnsi="Arial" w:eastAsia="Arial" w:cs="Times New Roman"/>
                <w:b w:val="0"/>
                <w:bCs w:val="0"/>
                <w:i w:val="0"/>
                <w:iCs w:val="0"/>
                <w:sz w:val="17"/>
                <w:szCs w:val="18"/>
              </w:rPr>
              <w:t>1,433</w:t>
            </w:r>
          </w:p>
        </w:tc>
        <w:tc>
          <w:tcPr>
            <w:tcW w:w="1800" w:type="dxa"/>
            <w:tcBorders/>
            <w:tcMar>
              <w:top w:w="20" w:type="dxa"/>
              <w:left w:w="80" w:type="dxa"/>
              <w:bottom w:w="20" w:type="dxa"/>
              <w:right w:w="80" w:type="dxa"/>
            </w:tcMar>
            <w:vAlign w:val="center"/>
          </w:tcPr>
          <w:p w14:paraId="03B484EC">
            <w:pPr>
              <w:spacing w:before="0" w:after="0" w:line="240" w:lineRule="auto"/>
              <w:jc w:val="left"/>
            </w:pPr>
            <w:r>
              <w:rPr>
                <w:rFonts w:ascii="Arial" w:hAnsi="Arial" w:eastAsia="Arial" w:cs="Times New Roman"/>
                <w:b w:val="0"/>
                <w:bCs w:val="0"/>
                <w:i w:val="0"/>
                <w:iCs w:val="0"/>
                <w:sz w:val="17"/>
                <w:szCs w:val="18"/>
              </w:rPr>
              <w:t>1.001 (0.993–1.009)</w:t>
            </w:r>
          </w:p>
        </w:tc>
        <w:tc>
          <w:tcPr>
            <w:tcW w:w="1638" w:type="dxa"/>
            <w:tcBorders/>
            <w:tcMar>
              <w:top w:w="20" w:type="dxa"/>
              <w:left w:w="80" w:type="dxa"/>
              <w:bottom w:w="20" w:type="dxa"/>
              <w:right w:w="80" w:type="dxa"/>
            </w:tcMar>
            <w:vAlign w:val="center"/>
          </w:tcPr>
          <w:p w14:paraId="2601491B">
            <w:pPr>
              <w:spacing w:before="0" w:after="0" w:line="240" w:lineRule="auto"/>
              <w:jc w:val="left"/>
            </w:pPr>
            <w:r>
              <w:rPr>
                <w:rFonts w:ascii="Arial" w:hAnsi="Arial" w:eastAsia="Arial" w:cs="Times New Roman"/>
                <w:b w:val="0"/>
                <w:bCs w:val="0"/>
                <w:i w:val="0"/>
                <w:iCs w:val="0"/>
                <w:sz w:val="17"/>
                <w:szCs w:val="18"/>
              </w:rPr>
              <w:t>0.857</w:t>
            </w:r>
          </w:p>
        </w:tc>
      </w:tr>
      <w:tr w14:paraId="3A7A09B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900" w:type="dxa"/>
            <w:tcBorders>
              <w:bottom w:val="single" w:sz="8" w:color="000000"/>
            </w:tcBorders>
            <w:tcMar>
              <w:top w:w="20" w:type="dxa"/>
              <w:left w:w="80" w:type="dxa"/>
              <w:bottom w:w="20" w:type="dxa"/>
              <w:right w:w="80" w:type="dxa"/>
            </w:tcMar>
            <w:vAlign w:val="center"/>
          </w:tcPr>
          <w:p w14:paraId="4BB34AB4">
            <w:pPr>
              <w:spacing w:before="0" w:after="0" w:line="240" w:lineRule="auto"/>
              <w:jc w:val="left"/>
            </w:pPr>
            <w:r>
              <w:rPr>
                <w:rFonts w:ascii="Arial" w:hAnsi="Arial" w:eastAsia="Arial" w:cs="Times New Roman"/>
                <w:b w:val="0"/>
                <w:bCs w:val="0"/>
                <w:i w:val="0"/>
                <w:iCs w:val="0"/>
                <w:sz w:val="17"/>
                <w:szCs w:val="18"/>
              </w:rPr>
              <w:t>Both abstinence intervals 2–7 days, per day</w:t>
            </w:r>
          </w:p>
        </w:tc>
        <w:tc>
          <w:tcPr>
            <w:tcW w:w="2400" w:type="dxa"/>
            <w:tcBorders>
              <w:bottom w:val="single" w:sz="8" w:color="000000"/>
            </w:tcBorders>
            <w:tcMar>
              <w:top w:w="20" w:type="dxa"/>
              <w:left w:w="80" w:type="dxa"/>
              <w:bottom w:w="20" w:type="dxa"/>
              <w:right w:w="80" w:type="dxa"/>
            </w:tcMar>
            <w:vAlign w:val="center"/>
          </w:tcPr>
          <w:p w14:paraId="2B1CF84A">
            <w:pPr>
              <w:spacing w:before="0" w:after="0" w:line="240" w:lineRule="auto"/>
              <w:jc w:val="left"/>
            </w:pPr>
            <w:r>
              <w:rPr>
                <w:rFonts w:ascii="Arial" w:hAnsi="Arial" w:eastAsia="Arial" w:cs="Times New Roman"/>
                <w:b w:val="0"/>
                <w:bCs w:val="0"/>
                <w:i w:val="0"/>
                <w:iCs w:val="0"/>
                <w:sz w:val="17"/>
                <w:szCs w:val="18"/>
              </w:rPr>
              <w:t>Largest anteroposterior diameter</w:t>
            </w:r>
          </w:p>
        </w:tc>
        <w:tc>
          <w:tcPr>
            <w:tcW w:w="900" w:type="dxa"/>
            <w:tcBorders>
              <w:bottom w:val="single" w:sz="8" w:color="000000"/>
            </w:tcBorders>
            <w:tcMar>
              <w:top w:w="20" w:type="dxa"/>
              <w:left w:w="80" w:type="dxa"/>
              <w:bottom w:w="20" w:type="dxa"/>
              <w:right w:w="80" w:type="dxa"/>
            </w:tcMar>
            <w:vAlign w:val="center"/>
          </w:tcPr>
          <w:p w14:paraId="2CA9F097">
            <w:pPr>
              <w:spacing w:before="0" w:after="0" w:line="240" w:lineRule="auto"/>
              <w:jc w:val="left"/>
            </w:pPr>
            <w:r>
              <w:rPr>
                <w:rFonts w:ascii="Arial" w:hAnsi="Arial" w:eastAsia="Arial" w:cs="Times New Roman"/>
                <w:b w:val="0"/>
                <w:bCs w:val="0"/>
                <w:i w:val="0"/>
                <w:iCs w:val="0"/>
                <w:sz w:val="17"/>
                <w:szCs w:val="18"/>
              </w:rPr>
              <w:t>1,266</w:t>
            </w:r>
          </w:p>
        </w:tc>
        <w:tc>
          <w:tcPr>
            <w:tcW w:w="1800" w:type="dxa"/>
            <w:tcBorders>
              <w:bottom w:val="single" w:sz="8" w:color="000000"/>
            </w:tcBorders>
            <w:tcMar>
              <w:top w:w="20" w:type="dxa"/>
              <w:left w:w="80" w:type="dxa"/>
              <w:bottom w:w="20" w:type="dxa"/>
              <w:right w:w="80" w:type="dxa"/>
            </w:tcMar>
            <w:vAlign w:val="center"/>
          </w:tcPr>
          <w:p w14:paraId="0CCCE1ED">
            <w:pPr>
              <w:spacing w:before="0" w:after="0" w:line="240" w:lineRule="auto"/>
              <w:jc w:val="left"/>
            </w:pPr>
            <w:r>
              <w:rPr>
                <w:rFonts w:ascii="Arial" w:hAnsi="Arial" w:eastAsia="Arial" w:cs="Times New Roman"/>
                <w:b w:val="0"/>
                <w:bCs w:val="0"/>
                <w:i w:val="0"/>
                <w:iCs w:val="0"/>
                <w:sz w:val="17"/>
                <w:szCs w:val="18"/>
              </w:rPr>
              <w:t>1.002 (0.990–1.013)</w:t>
            </w:r>
          </w:p>
        </w:tc>
        <w:tc>
          <w:tcPr>
            <w:tcW w:w="1638" w:type="dxa"/>
            <w:tcBorders>
              <w:bottom w:val="single" w:sz="8" w:color="000000"/>
            </w:tcBorders>
            <w:tcMar>
              <w:top w:w="20" w:type="dxa"/>
              <w:left w:w="80" w:type="dxa"/>
              <w:bottom w:w="20" w:type="dxa"/>
              <w:right w:w="80" w:type="dxa"/>
            </w:tcMar>
            <w:vAlign w:val="center"/>
          </w:tcPr>
          <w:p w14:paraId="197F27B9">
            <w:pPr>
              <w:spacing w:before="0" w:after="0" w:line="240" w:lineRule="auto"/>
              <w:jc w:val="left"/>
            </w:pPr>
            <w:r>
              <w:rPr>
                <w:rFonts w:ascii="Arial" w:hAnsi="Arial" w:eastAsia="Arial" w:cs="Times New Roman"/>
                <w:b w:val="0"/>
                <w:bCs w:val="0"/>
                <w:i w:val="0"/>
                <w:iCs w:val="0"/>
                <w:sz w:val="17"/>
                <w:szCs w:val="18"/>
              </w:rPr>
              <w:t>0.778</w:t>
            </w:r>
          </w:p>
        </w:tc>
      </w:tr>
    </w:tbl>
    <w:p w14:paraId="079E2A83">
      <w:pPr>
        <w:keepNext/>
        <w:spacing w:before="140" w:after="60" w:line="240" w:lineRule="auto"/>
        <w:jc w:val="left"/>
      </w:pPr>
      <w:r>
        <w:rPr>
          <w:rFonts w:ascii="Times New Roman" w:hAnsi="Times New Roman" w:eastAsia="Times New Roman" w:cs="Times New Roman"/>
          <w:b/>
          <w:bCs/>
          <w:i w:val="0"/>
          <w:iCs w:val="0"/>
          <w:sz w:val="18"/>
          <w:szCs w:val="18"/>
        </w:rPr>
        <w:t>(C) Primary associations across strata of ultrasound-side abstinence</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600"/>
        <w:gridCol w:w="1200"/>
        <w:gridCol w:w="5838"/>
      </w:tblGrid>
      <w:tr w14:paraId="6383887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600" w:type="dxa"/>
            <w:tcBorders>
              <w:top w:val="single" w:sz="8" w:color="000000"/>
              <w:bottom w:val="single" w:sz="8" w:color="000000"/>
            </w:tcBorders>
            <w:tcMar>
              <w:top w:w="20" w:type="dxa"/>
              <w:left w:w="80" w:type="dxa"/>
              <w:bottom w:w="20" w:type="dxa"/>
              <w:right w:w="80" w:type="dxa"/>
            </w:tcMar>
            <w:vAlign w:val="center"/>
          </w:tcPr>
          <w:p w14:paraId="7E9DD031">
            <w:pPr>
              <w:spacing w:before="0" w:after="0" w:line="240" w:lineRule="auto"/>
              <w:jc w:val="left"/>
            </w:pPr>
            <w:r>
              <w:rPr>
                <w:rFonts w:ascii="Arial" w:hAnsi="Arial" w:eastAsia="Arial" w:cs="Times New Roman"/>
                <w:b/>
                <w:bCs/>
                <w:i w:val="0"/>
                <w:iCs w:val="0"/>
                <w:sz w:val="17"/>
                <w:szCs w:val="18"/>
              </w:rPr>
              <w:t>Ultrasound-side abstinence</w:t>
            </w:r>
          </w:p>
        </w:tc>
        <w:tc>
          <w:tcPr>
            <w:tcW w:w="1200" w:type="dxa"/>
            <w:tcBorders>
              <w:top w:val="single" w:sz="8" w:color="000000"/>
              <w:bottom w:val="single" w:sz="8" w:color="000000"/>
            </w:tcBorders>
            <w:tcMar>
              <w:top w:w="20" w:type="dxa"/>
              <w:left w:w="80" w:type="dxa"/>
              <w:bottom w:w="20" w:type="dxa"/>
              <w:right w:w="80" w:type="dxa"/>
            </w:tcMar>
            <w:vAlign w:val="center"/>
          </w:tcPr>
          <w:p w14:paraId="0AF2AE69">
            <w:pPr>
              <w:spacing w:before="0" w:after="0" w:line="240" w:lineRule="auto"/>
              <w:jc w:val="left"/>
            </w:pPr>
            <w:r>
              <w:rPr>
                <w:rFonts w:ascii="Arial" w:hAnsi="Arial" w:eastAsia="Arial" w:cs="Times New Roman"/>
                <w:b/>
                <w:bCs/>
                <w:i w:val="0"/>
                <w:iCs w:val="0"/>
                <w:sz w:val="17"/>
                <w:szCs w:val="18"/>
              </w:rPr>
              <w:t>n</w:t>
            </w:r>
          </w:p>
        </w:tc>
        <w:tc>
          <w:tcPr>
            <w:tcW w:w="5838" w:type="dxa"/>
            <w:tcBorders>
              <w:top w:val="single" w:sz="8" w:color="000000"/>
              <w:bottom w:val="single" w:sz="8" w:color="000000"/>
            </w:tcBorders>
            <w:tcMar>
              <w:top w:w="20" w:type="dxa"/>
              <w:left w:w="80" w:type="dxa"/>
              <w:bottom w:w="20" w:type="dxa"/>
              <w:right w:w="80" w:type="dxa"/>
            </w:tcMar>
            <w:vAlign w:val="center"/>
          </w:tcPr>
          <w:p w14:paraId="3884E208">
            <w:pPr>
              <w:spacing w:before="0" w:after="0" w:line="240" w:lineRule="auto"/>
              <w:jc w:val="left"/>
            </w:pPr>
            <w:r>
              <w:rPr>
                <w:rFonts w:ascii="Arial" w:hAnsi="Arial" w:eastAsia="Arial" w:cs="Times New Roman"/>
                <w:b/>
                <w:bCs/>
                <w:i w:val="0"/>
                <w:iCs w:val="0"/>
                <w:sz w:val="17"/>
                <w:szCs w:val="18"/>
              </w:rPr>
              <w:t>Adjusted % difference per 1 SD (95% CI)</w:t>
            </w:r>
          </w:p>
        </w:tc>
      </w:tr>
      <w:tr w14:paraId="4345589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9638" w:type="dxa"/>
            <w:gridSpan w:val="3"/>
            <w:tcBorders/>
            <w:tcMar>
              <w:top w:w="20" w:type="dxa"/>
              <w:left w:w="80" w:type="dxa"/>
              <w:bottom w:w="20" w:type="dxa"/>
              <w:right w:w="80" w:type="dxa"/>
            </w:tcMar>
            <w:vAlign w:val="center"/>
          </w:tcPr>
          <w:p w14:paraId="28E13D64">
            <w:pPr>
              <w:spacing w:before="0" w:after="0" w:line="240" w:lineRule="auto"/>
              <w:jc w:val="left"/>
            </w:pPr>
            <w:r>
              <w:rPr>
                <w:rFonts w:ascii="Arial" w:hAnsi="Arial" w:eastAsia="Arial" w:cs="Times New Roman"/>
                <w:b/>
                <w:bCs/>
                <w:i w:val="0"/>
                <w:iCs w:val="0"/>
                <w:sz w:val="17"/>
                <w:szCs w:val="18"/>
              </w:rPr>
              <w:t xml:space="preserve">Continuous DFI (interaction </w:t>
            </w:r>
            <w:r>
              <w:rPr>
                <w:rFonts w:ascii="Arial" w:hAnsi="Arial" w:eastAsia="Arial" w:cs="Times New Roman"/>
                <w:b/>
                <w:bCs/>
                <w:i/>
                <w:iCs/>
                <w:sz w:val="17"/>
                <w:szCs w:val="18"/>
              </w:rPr>
              <w:t>P</w:t>
            </w:r>
            <w:r>
              <w:rPr>
                <w:rFonts w:ascii="Arial" w:hAnsi="Arial" w:eastAsia="Arial" w:cs="Times New Roman"/>
                <w:b/>
                <w:bCs/>
                <w:i w:val="0"/>
                <w:iCs w:val="0"/>
                <w:sz w:val="17"/>
                <w:szCs w:val="18"/>
              </w:rPr>
              <w:t xml:space="preserve"> = 0.327)</w:t>
            </w:r>
          </w:p>
        </w:tc>
      </w:tr>
      <w:tr w14:paraId="3DB977D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40E8AA39">
            <w:pPr>
              <w:spacing w:before="0" w:after="0" w:line="240" w:lineRule="auto"/>
              <w:ind w:left="170"/>
              <w:jc w:val="left"/>
            </w:pPr>
            <w:r>
              <w:rPr>
                <w:rFonts w:ascii="Arial" w:hAnsi="Arial" w:eastAsia="Arial" w:cs="Times New Roman"/>
                <w:b w:val="0"/>
                <w:bCs w:val="0"/>
                <w:i w:val="0"/>
                <w:iCs w:val="0"/>
                <w:sz w:val="17"/>
                <w:szCs w:val="18"/>
              </w:rPr>
              <w:t>0–2 days</w:t>
            </w:r>
          </w:p>
        </w:tc>
        <w:tc>
          <w:tcPr>
            <w:tcW w:w="1200" w:type="dxa"/>
            <w:tcBorders/>
            <w:tcMar>
              <w:top w:w="20" w:type="dxa"/>
              <w:left w:w="80" w:type="dxa"/>
              <w:bottom w:w="20" w:type="dxa"/>
              <w:right w:w="80" w:type="dxa"/>
            </w:tcMar>
            <w:vAlign w:val="center"/>
          </w:tcPr>
          <w:p w14:paraId="3276C1ED">
            <w:pPr>
              <w:spacing w:before="0" w:after="0" w:line="240" w:lineRule="auto"/>
              <w:jc w:val="left"/>
            </w:pPr>
            <w:r>
              <w:rPr>
                <w:rFonts w:ascii="Arial" w:hAnsi="Arial" w:eastAsia="Arial" w:cs="Times New Roman"/>
                <w:b w:val="0"/>
                <w:bCs w:val="0"/>
                <w:i w:val="0"/>
                <w:iCs w:val="0"/>
                <w:sz w:val="17"/>
                <w:szCs w:val="18"/>
              </w:rPr>
              <w:t>391</w:t>
            </w:r>
          </w:p>
        </w:tc>
        <w:tc>
          <w:tcPr>
            <w:tcW w:w="5838" w:type="dxa"/>
            <w:tcBorders/>
            <w:tcMar>
              <w:top w:w="20" w:type="dxa"/>
              <w:left w:w="80" w:type="dxa"/>
              <w:bottom w:w="20" w:type="dxa"/>
              <w:right w:w="80" w:type="dxa"/>
            </w:tcMar>
            <w:vAlign w:val="center"/>
          </w:tcPr>
          <w:p w14:paraId="36DD5F69">
            <w:pPr>
              <w:spacing w:before="0" w:after="0" w:line="240" w:lineRule="auto"/>
              <w:jc w:val="left"/>
            </w:pPr>
            <w:r>
              <w:rPr>
                <w:rFonts w:ascii="Arial" w:hAnsi="Arial" w:eastAsia="Arial" w:cs="Times New Roman"/>
                <w:b w:val="0"/>
                <w:bCs w:val="0"/>
                <w:i w:val="0"/>
                <w:iCs w:val="0"/>
                <w:sz w:val="17"/>
                <w:szCs w:val="18"/>
              </w:rPr>
              <w:t>+12.6 (+6.0 to +19.7)</w:t>
            </w:r>
          </w:p>
        </w:tc>
      </w:tr>
      <w:tr w14:paraId="2F737EC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3AA41430">
            <w:pPr>
              <w:spacing w:before="0" w:after="0" w:line="240" w:lineRule="auto"/>
              <w:ind w:left="170"/>
              <w:jc w:val="left"/>
            </w:pPr>
            <w:r>
              <w:rPr>
                <w:rFonts w:ascii="Arial" w:hAnsi="Arial" w:eastAsia="Arial" w:cs="Times New Roman"/>
                <w:b w:val="0"/>
                <w:bCs w:val="0"/>
                <w:i w:val="0"/>
                <w:iCs w:val="0"/>
                <w:sz w:val="17"/>
                <w:szCs w:val="18"/>
              </w:rPr>
              <w:t>3–4 days</w:t>
            </w:r>
          </w:p>
        </w:tc>
        <w:tc>
          <w:tcPr>
            <w:tcW w:w="1200" w:type="dxa"/>
            <w:tcBorders/>
            <w:tcMar>
              <w:top w:w="20" w:type="dxa"/>
              <w:left w:w="80" w:type="dxa"/>
              <w:bottom w:w="20" w:type="dxa"/>
              <w:right w:w="80" w:type="dxa"/>
            </w:tcMar>
            <w:vAlign w:val="center"/>
          </w:tcPr>
          <w:p w14:paraId="676B8EB4">
            <w:pPr>
              <w:spacing w:before="0" w:after="0" w:line="240" w:lineRule="auto"/>
              <w:jc w:val="left"/>
            </w:pPr>
            <w:r>
              <w:rPr>
                <w:rFonts w:ascii="Arial" w:hAnsi="Arial" w:eastAsia="Arial" w:cs="Times New Roman"/>
                <w:b w:val="0"/>
                <w:bCs w:val="0"/>
                <w:i w:val="0"/>
                <w:iCs w:val="0"/>
                <w:sz w:val="17"/>
                <w:szCs w:val="18"/>
              </w:rPr>
              <w:t>685</w:t>
            </w:r>
          </w:p>
        </w:tc>
        <w:tc>
          <w:tcPr>
            <w:tcW w:w="5838" w:type="dxa"/>
            <w:tcBorders/>
            <w:tcMar>
              <w:top w:w="20" w:type="dxa"/>
              <w:left w:w="80" w:type="dxa"/>
              <w:bottom w:w="20" w:type="dxa"/>
              <w:right w:w="80" w:type="dxa"/>
            </w:tcMar>
            <w:vAlign w:val="center"/>
          </w:tcPr>
          <w:p w14:paraId="72CADB06">
            <w:pPr>
              <w:spacing w:before="0" w:after="0" w:line="240" w:lineRule="auto"/>
              <w:jc w:val="left"/>
            </w:pPr>
            <w:r>
              <w:rPr>
                <w:rFonts w:ascii="Arial" w:hAnsi="Arial" w:eastAsia="Arial" w:cs="Times New Roman"/>
                <w:b w:val="0"/>
                <w:bCs w:val="0"/>
                <w:i w:val="0"/>
                <w:iCs w:val="0"/>
                <w:sz w:val="17"/>
                <w:szCs w:val="18"/>
              </w:rPr>
              <w:t>+19.8 (+14.4 to +25.4)</w:t>
            </w:r>
          </w:p>
        </w:tc>
      </w:tr>
      <w:tr w14:paraId="388D1FD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4AAEA230">
            <w:pPr>
              <w:spacing w:before="0" w:after="0" w:line="240" w:lineRule="auto"/>
              <w:ind w:left="170"/>
              <w:jc w:val="left"/>
            </w:pPr>
            <w:r>
              <w:rPr>
                <w:rFonts w:ascii="Arial" w:hAnsi="Arial" w:eastAsia="Arial" w:cs="Times New Roman"/>
                <w:b w:val="0"/>
                <w:bCs w:val="0"/>
                <w:i w:val="0"/>
                <w:iCs w:val="0"/>
                <w:sz w:val="17"/>
                <w:szCs w:val="18"/>
              </w:rPr>
              <w:t>5–7 days</w:t>
            </w:r>
          </w:p>
        </w:tc>
        <w:tc>
          <w:tcPr>
            <w:tcW w:w="1200" w:type="dxa"/>
            <w:tcBorders/>
            <w:tcMar>
              <w:top w:w="20" w:type="dxa"/>
              <w:left w:w="80" w:type="dxa"/>
              <w:bottom w:w="20" w:type="dxa"/>
              <w:right w:w="80" w:type="dxa"/>
            </w:tcMar>
            <w:vAlign w:val="center"/>
          </w:tcPr>
          <w:p w14:paraId="5BACC313">
            <w:pPr>
              <w:spacing w:before="0" w:after="0" w:line="240" w:lineRule="auto"/>
              <w:jc w:val="left"/>
            </w:pPr>
            <w:r>
              <w:rPr>
                <w:rFonts w:ascii="Arial" w:hAnsi="Arial" w:eastAsia="Arial" w:cs="Times New Roman"/>
                <w:b w:val="0"/>
                <w:bCs w:val="0"/>
                <w:i w:val="0"/>
                <w:iCs w:val="0"/>
                <w:sz w:val="17"/>
                <w:szCs w:val="18"/>
              </w:rPr>
              <w:t>357</w:t>
            </w:r>
          </w:p>
        </w:tc>
        <w:tc>
          <w:tcPr>
            <w:tcW w:w="5838" w:type="dxa"/>
            <w:tcBorders/>
            <w:tcMar>
              <w:top w:w="20" w:type="dxa"/>
              <w:left w:w="80" w:type="dxa"/>
              <w:bottom w:w="20" w:type="dxa"/>
              <w:right w:w="80" w:type="dxa"/>
            </w:tcMar>
            <w:vAlign w:val="center"/>
          </w:tcPr>
          <w:p w14:paraId="17314692">
            <w:pPr>
              <w:spacing w:before="0" w:after="0" w:line="240" w:lineRule="auto"/>
              <w:jc w:val="left"/>
            </w:pPr>
            <w:r>
              <w:rPr>
                <w:rFonts w:ascii="Arial" w:hAnsi="Arial" w:eastAsia="Arial" w:cs="Times New Roman"/>
                <w:b w:val="0"/>
                <w:bCs w:val="0"/>
                <w:i w:val="0"/>
                <w:iCs w:val="0"/>
                <w:sz w:val="17"/>
                <w:szCs w:val="18"/>
              </w:rPr>
              <w:t>+16.6 (+9.1 to +24.5)</w:t>
            </w:r>
          </w:p>
        </w:tc>
      </w:tr>
      <w:tr w14:paraId="3BC3E22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7DB15302">
            <w:pPr>
              <w:spacing w:before="0" w:after="0" w:line="240" w:lineRule="auto"/>
              <w:ind w:left="170"/>
              <w:jc w:val="left"/>
            </w:pPr>
            <w:r>
              <w:rPr>
                <w:rFonts w:ascii="Arial" w:hAnsi="Arial" w:eastAsia="Arial" w:cs="Times New Roman"/>
                <w:b w:val="0"/>
                <w:bCs w:val="0"/>
                <w:i w:val="0"/>
                <w:iCs w:val="0"/>
                <w:sz w:val="17"/>
                <w:szCs w:val="18"/>
              </w:rPr>
              <w:t>&gt; 7 days</w:t>
            </w:r>
          </w:p>
        </w:tc>
        <w:tc>
          <w:tcPr>
            <w:tcW w:w="1200" w:type="dxa"/>
            <w:tcBorders/>
            <w:tcMar>
              <w:top w:w="20" w:type="dxa"/>
              <w:left w:w="80" w:type="dxa"/>
              <w:bottom w:w="20" w:type="dxa"/>
              <w:right w:w="80" w:type="dxa"/>
            </w:tcMar>
            <w:vAlign w:val="center"/>
          </w:tcPr>
          <w:p w14:paraId="54213FBF">
            <w:pPr>
              <w:spacing w:before="0" w:after="0" w:line="240" w:lineRule="auto"/>
              <w:jc w:val="left"/>
            </w:pPr>
            <w:r>
              <w:rPr>
                <w:rFonts w:ascii="Arial" w:hAnsi="Arial" w:eastAsia="Arial" w:cs="Times New Roman"/>
                <w:b w:val="0"/>
                <w:bCs w:val="0"/>
                <w:i w:val="0"/>
                <w:iCs w:val="0"/>
                <w:sz w:val="17"/>
                <w:szCs w:val="18"/>
              </w:rPr>
              <w:t>49</w:t>
            </w:r>
          </w:p>
        </w:tc>
        <w:tc>
          <w:tcPr>
            <w:tcW w:w="5838" w:type="dxa"/>
            <w:tcBorders/>
            <w:tcMar>
              <w:top w:w="20" w:type="dxa"/>
              <w:left w:w="80" w:type="dxa"/>
              <w:bottom w:w="20" w:type="dxa"/>
              <w:right w:w="80" w:type="dxa"/>
            </w:tcMar>
            <w:vAlign w:val="center"/>
          </w:tcPr>
          <w:p w14:paraId="5D9D3AE0">
            <w:pPr>
              <w:spacing w:before="0" w:after="0" w:line="240" w:lineRule="auto"/>
              <w:jc w:val="left"/>
            </w:pPr>
            <w:r>
              <w:rPr>
                <w:rFonts w:ascii="Arial" w:hAnsi="Arial" w:eastAsia="Arial" w:cs="Times New Roman"/>
                <w:b w:val="0"/>
                <w:bCs w:val="0"/>
                <w:i w:val="0"/>
                <w:iCs w:val="0"/>
                <w:sz w:val="17"/>
                <w:szCs w:val="18"/>
              </w:rPr>
              <w:t>+9.6 (−1.3 to +21.7)</w:t>
            </w:r>
          </w:p>
        </w:tc>
      </w:tr>
      <w:tr w14:paraId="515CAAA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9638" w:type="dxa"/>
            <w:gridSpan w:val="3"/>
            <w:tcBorders/>
            <w:tcMar>
              <w:top w:w="20" w:type="dxa"/>
              <w:left w:w="80" w:type="dxa"/>
              <w:bottom w:w="20" w:type="dxa"/>
              <w:right w:w="80" w:type="dxa"/>
            </w:tcMar>
            <w:vAlign w:val="center"/>
          </w:tcPr>
          <w:p w14:paraId="6B1385E0">
            <w:pPr>
              <w:spacing w:before="0" w:after="0" w:line="240" w:lineRule="auto"/>
              <w:jc w:val="left"/>
            </w:pPr>
            <w:r>
              <w:rPr>
                <w:rFonts w:ascii="Arial" w:hAnsi="Arial" w:eastAsia="Arial" w:cs="Times New Roman"/>
                <w:b/>
                <w:bCs/>
                <w:i w:val="0"/>
                <w:iCs w:val="0"/>
                <w:sz w:val="17"/>
                <w:szCs w:val="18"/>
              </w:rPr>
              <w:t xml:space="preserve">Progressive motility (interaction </w:t>
            </w:r>
            <w:r>
              <w:rPr>
                <w:rFonts w:ascii="Arial" w:hAnsi="Arial" w:eastAsia="Arial" w:cs="Times New Roman"/>
                <w:b/>
                <w:bCs/>
                <w:i/>
                <w:iCs/>
                <w:sz w:val="17"/>
                <w:szCs w:val="18"/>
              </w:rPr>
              <w:t>P</w:t>
            </w:r>
            <w:r>
              <w:rPr>
                <w:rFonts w:ascii="Arial" w:hAnsi="Arial" w:eastAsia="Arial" w:cs="Times New Roman"/>
                <w:b/>
                <w:bCs/>
                <w:i w:val="0"/>
                <w:iCs w:val="0"/>
                <w:sz w:val="17"/>
                <w:szCs w:val="18"/>
              </w:rPr>
              <w:t xml:space="preserve"> = 0.196)</w:t>
            </w:r>
          </w:p>
        </w:tc>
      </w:tr>
      <w:tr w14:paraId="78F1A18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79C98EFC">
            <w:pPr>
              <w:spacing w:before="0" w:after="0" w:line="240" w:lineRule="auto"/>
              <w:ind w:left="170"/>
              <w:jc w:val="left"/>
            </w:pPr>
            <w:r>
              <w:rPr>
                <w:rFonts w:ascii="Arial" w:hAnsi="Arial" w:eastAsia="Arial" w:cs="Times New Roman"/>
                <w:b w:val="0"/>
                <w:bCs w:val="0"/>
                <w:i w:val="0"/>
                <w:iCs w:val="0"/>
                <w:sz w:val="17"/>
                <w:szCs w:val="18"/>
              </w:rPr>
              <w:t>0–2 days</w:t>
            </w:r>
          </w:p>
        </w:tc>
        <w:tc>
          <w:tcPr>
            <w:tcW w:w="1200" w:type="dxa"/>
            <w:tcBorders/>
            <w:tcMar>
              <w:top w:w="20" w:type="dxa"/>
              <w:left w:w="80" w:type="dxa"/>
              <w:bottom w:w="20" w:type="dxa"/>
              <w:right w:w="80" w:type="dxa"/>
            </w:tcMar>
            <w:vAlign w:val="center"/>
          </w:tcPr>
          <w:p w14:paraId="470E2A40">
            <w:pPr>
              <w:spacing w:before="0" w:after="0" w:line="240" w:lineRule="auto"/>
              <w:jc w:val="left"/>
            </w:pPr>
            <w:r>
              <w:rPr>
                <w:rFonts w:ascii="Arial" w:hAnsi="Arial" w:eastAsia="Arial" w:cs="Times New Roman"/>
                <w:b w:val="0"/>
                <w:bCs w:val="0"/>
                <w:i w:val="0"/>
                <w:iCs w:val="0"/>
                <w:sz w:val="17"/>
                <w:szCs w:val="18"/>
              </w:rPr>
              <w:t>389</w:t>
            </w:r>
          </w:p>
        </w:tc>
        <w:tc>
          <w:tcPr>
            <w:tcW w:w="5838" w:type="dxa"/>
            <w:tcBorders/>
            <w:tcMar>
              <w:top w:w="20" w:type="dxa"/>
              <w:left w:w="80" w:type="dxa"/>
              <w:bottom w:w="20" w:type="dxa"/>
              <w:right w:w="80" w:type="dxa"/>
            </w:tcMar>
            <w:vAlign w:val="center"/>
          </w:tcPr>
          <w:p w14:paraId="2B1A12FC">
            <w:pPr>
              <w:spacing w:before="0" w:after="0" w:line="240" w:lineRule="auto"/>
              <w:jc w:val="left"/>
            </w:pPr>
            <w:r>
              <w:rPr>
                <w:rFonts w:ascii="Arial" w:hAnsi="Arial" w:eastAsia="Arial" w:cs="Times New Roman"/>
                <w:b w:val="0"/>
                <w:bCs w:val="0"/>
                <w:i w:val="0"/>
                <w:iCs w:val="0"/>
                <w:sz w:val="17"/>
                <w:szCs w:val="18"/>
              </w:rPr>
              <w:t>−9.9 (−18.3 to −0.7)</w:t>
            </w:r>
          </w:p>
        </w:tc>
      </w:tr>
      <w:tr w14:paraId="4F9AECB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32F00354">
            <w:pPr>
              <w:spacing w:before="0" w:after="0" w:line="240" w:lineRule="auto"/>
              <w:ind w:left="170"/>
              <w:jc w:val="left"/>
            </w:pPr>
            <w:r>
              <w:rPr>
                <w:rFonts w:ascii="Arial" w:hAnsi="Arial" w:eastAsia="Arial" w:cs="Times New Roman"/>
                <w:b w:val="0"/>
                <w:bCs w:val="0"/>
                <w:i w:val="0"/>
                <w:iCs w:val="0"/>
                <w:sz w:val="17"/>
                <w:szCs w:val="18"/>
              </w:rPr>
              <w:t>3–4 days</w:t>
            </w:r>
          </w:p>
        </w:tc>
        <w:tc>
          <w:tcPr>
            <w:tcW w:w="1200" w:type="dxa"/>
            <w:tcBorders/>
            <w:tcMar>
              <w:top w:w="20" w:type="dxa"/>
              <w:left w:w="80" w:type="dxa"/>
              <w:bottom w:w="20" w:type="dxa"/>
              <w:right w:w="80" w:type="dxa"/>
            </w:tcMar>
            <w:vAlign w:val="center"/>
          </w:tcPr>
          <w:p w14:paraId="4B8696BE">
            <w:pPr>
              <w:spacing w:before="0" w:after="0" w:line="240" w:lineRule="auto"/>
              <w:jc w:val="left"/>
            </w:pPr>
            <w:r>
              <w:rPr>
                <w:rFonts w:ascii="Arial" w:hAnsi="Arial" w:eastAsia="Arial" w:cs="Times New Roman"/>
                <w:b w:val="0"/>
                <w:bCs w:val="0"/>
                <w:i w:val="0"/>
                <w:iCs w:val="0"/>
                <w:sz w:val="17"/>
                <w:szCs w:val="18"/>
              </w:rPr>
              <w:t>682</w:t>
            </w:r>
          </w:p>
        </w:tc>
        <w:tc>
          <w:tcPr>
            <w:tcW w:w="5838" w:type="dxa"/>
            <w:tcBorders/>
            <w:tcMar>
              <w:top w:w="20" w:type="dxa"/>
              <w:left w:w="80" w:type="dxa"/>
              <w:bottom w:w="20" w:type="dxa"/>
              <w:right w:w="80" w:type="dxa"/>
            </w:tcMar>
            <w:vAlign w:val="center"/>
          </w:tcPr>
          <w:p w14:paraId="2D80A8C2">
            <w:pPr>
              <w:spacing w:before="0" w:after="0" w:line="240" w:lineRule="auto"/>
              <w:jc w:val="left"/>
            </w:pPr>
            <w:r>
              <w:rPr>
                <w:rFonts w:ascii="Arial" w:hAnsi="Arial" w:eastAsia="Arial" w:cs="Times New Roman"/>
                <w:b w:val="0"/>
                <w:bCs w:val="0"/>
                <w:i w:val="0"/>
                <w:iCs w:val="0"/>
                <w:sz w:val="17"/>
                <w:szCs w:val="18"/>
              </w:rPr>
              <w:t>−16.9 (−22.8 to −10.5)</w:t>
            </w:r>
          </w:p>
        </w:tc>
      </w:tr>
      <w:tr w14:paraId="100C93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tcMar>
              <w:top w:w="20" w:type="dxa"/>
              <w:left w:w="80" w:type="dxa"/>
              <w:bottom w:w="20" w:type="dxa"/>
              <w:right w:w="80" w:type="dxa"/>
            </w:tcMar>
            <w:vAlign w:val="center"/>
          </w:tcPr>
          <w:p w14:paraId="20835626">
            <w:pPr>
              <w:spacing w:before="0" w:after="0" w:line="240" w:lineRule="auto"/>
              <w:ind w:left="170"/>
              <w:jc w:val="left"/>
            </w:pPr>
            <w:r>
              <w:rPr>
                <w:rFonts w:ascii="Arial" w:hAnsi="Arial" w:eastAsia="Arial" w:cs="Times New Roman"/>
                <w:b w:val="0"/>
                <w:bCs w:val="0"/>
                <w:i w:val="0"/>
                <w:iCs w:val="0"/>
                <w:sz w:val="17"/>
                <w:szCs w:val="18"/>
              </w:rPr>
              <w:t>5–7 days</w:t>
            </w:r>
          </w:p>
        </w:tc>
        <w:tc>
          <w:tcPr>
            <w:tcW w:w="1200" w:type="dxa"/>
            <w:tcBorders/>
            <w:tcMar>
              <w:top w:w="20" w:type="dxa"/>
              <w:left w:w="80" w:type="dxa"/>
              <w:bottom w:w="20" w:type="dxa"/>
              <w:right w:w="80" w:type="dxa"/>
            </w:tcMar>
            <w:vAlign w:val="center"/>
          </w:tcPr>
          <w:p w14:paraId="01235532">
            <w:pPr>
              <w:spacing w:before="0" w:after="0" w:line="240" w:lineRule="auto"/>
              <w:jc w:val="left"/>
            </w:pPr>
            <w:r>
              <w:rPr>
                <w:rFonts w:ascii="Arial" w:hAnsi="Arial" w:eastAsia="Arial" w:cs="Times New Roman"/>
                <w:b w:val="0"/>
                <w:bCs w:val="0"/>
                <w:i w:val="0"/>
                <w:iCs w:val="0"/>
                <w:sz w:val="17"/>
                <w:szCs w:val="18"/>
              </w:rPr>
              <w:t>355</w:t>
            </w:r>
          </w:p>
        </w:tc>
        <w:tc>
          <w:tcPr>
            <w:tcW w:w="5838" w:type="dxa"/>
            <w:tcBorders/>
            <w:tcMar>
              <w:top w:w="20" w:type="dxa"/>
              <w:left w:w="80" w:type="dxa"/>
              <w:bottom w:w="20" w:type="dxa"/>
              <w:right w:w="80" w:type="dxa"/>
            </w:tcMar>
            <w:vAlign w:val="center"/>
          </w:tcPr>
          <w:p w14:paraId="1C249B20">
            <w:pPr>
              <w:spacing w:before="0" w:after="0" w:line="240" w:lineRule="auto"/>
              <w:jc w:val="left"/>
            </w:pPr>
            <w:r>
              <w:rPr>
                <w:rFonts w:ascii="Arial" w:hAnsi="Arial" w:eastAsia="Arial" w:cs="Times New Roman"/>
                <w:b w:val="0"/>
                <w:bCs w:val="0"/>
                <w:i w:val="0"/>
                <w:iCs w:val="0"/>
                <w:sz w:val="17"/>
                <w:szCs w:val="18"/>
              </w:rPr>
              <w:t>−27.2 (−39.2 to −12.8)</w:t>
            </w:r>
          </w:p>
        </w:tc>
      </w:tr>
      <w:tr w14:paraId="1044104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600" w:type="dxa"/>
            <w:tcBorders>
              <w:bottom w:val="single" w:sz="8" w:color="000000"/>
            </w:tcBorders>
            <w:tcMar>
              <w:top w:w="20" w:type="dxa"/>
              <w:left w:w="80" w:type="dxa"/>
              <w:bottom w:w="20" w:type="dxa"/>
              <w:right w:w="80" w:type="dxa"/>
            </w:tcMar>
            <w:vAlign w:val="center"/>
          </w:tcPr>
          <w:p w14:paraId="2999065C">
            <w:pPr>
              <w:spacing w:before="0" w:after="0" w:line="240" w:lineRule="auto"/>
              <w:ind w:left="170"/>
              <w:jc w:val="left"/>
            </w:pPr>
            <w:r>
              <w:rPr>
                <w:rFonts w:ascii="Arial" w:hAnsi="Arial" w:eastAsia="Arial" w:cs="Times New Roman"/>
                <w:b w:val="0"/>
                <w:bCs w:val="0"/>
                <w:i w:val="0"/>
                <w:iCs w:val="0"/>
                <w:sz w:val="17"/>
                <w:szCs w:val="18"/>
              </w:rPr>
              <w:t>&gt; 7 days</w:t>
            </w:r>
          </w:p>
        </w:tc>
        <w:tc>
          <w:tcPr>
            <w:tcW w:w="1200" w:type="dxa"/>
            <w:tcBorders>
              <w:bottom w:val="single" w:sz="8" w:color="000000"/>
            </w:tcBorders>
            <w:tcMar>
              <w:top w:w="20" w:type="dxa"/>
              <w:left w:w="80" w:type="dxa"/>
              <w:bottom w:w="20" w:type="dxa"/>
              <w:right w:w="80" w:type="dxa"/>
            </w:tcMar>
            <w:vAlign w:val="center"/>
          </w:tcPr>
          <w:p w14:paraId="23520153">
            <w:pPr>
              <w:spacing w:before="0" w:after="0" w:line="240" w:lineRule="auto"/>
              <w:jc w:val="left"/>
            </w:pPr>
            <w:r>
              <w:rPr>
                <w:rFonts w:ascii="Arial" w:hAnsi="Arial" w:eastAsia="Arial" w:cs="Times New Roman"/>
                <w:b w:val="0"/>
                <w:bCs w:val="0"/>
                <w:i w:val="0"/>
                <w:iCs w:val="0"/>
                <w:sz w:val="17"/>
                <w:szCs w:val="18"/>
              </w:rPr>
              <w:t>49</w:t>
            </w:r>
          </w:p>
        </w:tc>
        <w:tc>
          <w:tcPr>
            <w:tcW w:w="5838" w:type="dxa"/>
            <w:tcBorders>
              <w:bottom w:val="single" w:sz="8" w:color="000000"/>
            </w:tcBorders>
            <w:tcMar>
              <w:top w:w="20" w:type="dxa"/>
              <w:left w:w="80" w:type="dxa"/>
              <w:bottom w:w="20" w:type="dxa"/>
              <w:right w:w="80" w:type="dxa"/>
            </w:tcMar>
            <w:vAlign w:val="center"/>
          </w:tcPr>
          <w:p w14:paraId="2BF21118">
            <w:pPr>
              <w:spacing w:before="0" w:after="0" w:line="240" w:lineRule="auto"/>
              <w:jc w:val="left"/>
            </w:pPr>
            <w:r>
              <w:rPr>
                <w:rFonts w:ascii="Arial" w:hAnsi="Arial" w:eastAsia="Arial" w:cs="Times New Roman"/>
                <w:b w:val="0"/>
                <w:bCs w:val="0"/>
                <w:i w:val="0"/>
                <w:iCs w:val="0"/>
                <w:sz w:val="17"/>
                <w:szCs w:val="18"/>
              </w:rPr>
              <w:t>−3.7 (−22.5 to +19.8)</w:t>
            </w:r>
          </w:p>
        </w:tc>
      </w:tr>
    </w:tbl>
    <w:p w14:paraId="4EA55DFA">
      <w:pPr>
        <w:keepNext/>
        <w:spacing w:before="140" w:after="60" w:line="240" w:lineRule="auto"/>
        <w:jc w:val="left"/>
      </w:pPr>
      <w:r>
        <w:rPr>
          <w:rFonts w:ascii="Times New Roman" w:hAnsi="Times New Roman" w:eastAsia="Times New Roman" w:cs="Times New Roman"/>
          <w:b/>
          <w:bCs/>
          <w:i w:val="0"/>
          <w:iCs w:val="0"/>
          <w:sz w:val="18"/>
          <w:szCs w:val="18"/>
        </w:rPr>
        <w:t>(D) Exceedance of internal distributional thresholds</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800"/>
        <w:gridCol w:w="3400"/>
        <w:gridCol w:w="3438"/>
      </w:tblGrid>
      <w:tr w14:paraId="37B4C1E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800" w:type="dxa"/>
            <w:tcBorders>
              <w:top w:val="single" w:sz="8" w:color="000000"/>
              <w:bottom w:val="single" w:sz="8" w:color="000000"/>
            </w:tcBorders>
            <w:tcMar>
              <w:top w:w="20" w:type="dxa"/>
              <w:left w:w="80" w:type="dxa"/>
              <w:bottom w:w="20" w:type="dxa"/>
              <w:right w:w="80" w:type="dxa"/>
            </w:tcMar>
            <w:vAlign w:val="center"/>
          </w:tcPr>
          <w:p w14:paraId="4B3F4BA7">
            <w:pPr>
              <w:spacing w:before="0" w:after="0" w:line="240" w:lineRule="auto"/>
              <w:jc w:val="left"/>
            </w:pPr>
            <w:r>
              <w:rPr>
                <w:rFonts w:ascii="Arial" w:hAnsi="Arial" w:eastAsia="Arial" w:cs="Times New Roman"/>
                <w:b/>
                <w:bCs/>
                <w:i w:val="0"/>
                <w:iCs w:val="0"/>
                <w:sz w:val="17"/>
                <w:szCs w:val="18"/>
              </w:rPr>
              <w:t>Ultrasound-side abstinence</w:t>
            </w:r>
          </w:p>
        </w:tc>
        <w:tc>
          <w:tcPr>
            <w:tcW w:w="3400" w:type="dxa"/>
            <w:tcBorders>
              <w:top w:val="single" w:sz="8" w:color="000000"/>
              <w:bottom w:val="single" w:sz="8" w:color="000000"/>
            </w:tcBorders>
            <w:tcMar>
              <w:top w:w="20" w:type="dxa"/>
              <w:left w:w="80" w:type="dxa"/>
              <w:bottom w:w="20" w:type="dxa"/>
              <w:right w:w="80" w:type="dxa"/>
            </w:tcMar>
            <w:vAlign w:val="center"/>
          </w:tcPr>
          <w:p w14:paraId="5ACF26A6">
            <w:pPr>
              <w:spacing w:before="0" w:after="0" w:line="240" w:lineRule="auto"/>
              <w:jc w:val="left"/>
            </w:pPr>
            <w:r>
              <w:rPr>
                <w:rFonts w:ascii="Arial" w:hAnsi="Arial" w:eastAsia="Arial" w:cs="Times New Roman"/>
                <w:b/>
                <w:bCs/>
                <w:i w:val="0"/>
                <w:iCs w:val="0"/>
                <w:sz w:val="17"/>
                <w:szCs w:val="18"/>
              </w:rPr>
              <w:t>Largest-side volume above the cohort 95th percentile (5.14 mL)</w:t>
            </w:r>
          </w:p>
        </w:tc>
        <w:tc>
          <w:tcPr>
            <w:tcW w:w="3438" w:type="dxa"/>
            <w:tcBorders>
              <w:top w:val="single" w:sz="8" w:color="000000"/>
              <w:bottom w:val="single" w:sz="8" w:color="000000"/>
            </w:tcBorders>
            <w:tcMar>
              <w:top w:w="20" w:type="dxa"/>
              <w:left w:w="80" w:type="dxa"/>
              <w:bottom w:w="20" w:type="dxa"/>
              <w:right w:w="80" w:type="dxa"/>
            </w:tcMar>
            <w:vAlign w:val="center"/>
          </w:tcPr>
          <w:p w14:paraId="67613C1B">
            <w:pPr>
              <w:spacing w:before="0" w:after="0" w:line="240" w:lineRule="auto"/>
              <w:jc w:val="left"/>
            </w:pPr>
            <w:r>
              <w:rPr>
                <w:rFonts w:ascii="Arial" w:hAnsi="Arial" w:eastAsia="Arial" w:cs="Times New Roman"/>
                <w:b/>
                <w:bCs/>
                <w:i w:val="0"/>
                <w:iCs w:val="0"/>
                <w:sz w:val="17"/>
                <w:szCs w:val="18"/>
              </w:rPr>
              <w:t>Largest anteroposterior diameter above the cohort 95th percentile (1.6 cm)</w:t>
            </w:r>
          </w:p>
        </w:tc>
      </w:tr>
      <w:tr w14:paraId="02B6517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1354D016">
            <w:pPr>
              <w:spacing w:before="0" w:after="0" w:line="240" w:lineRule="auto"/>
              <w:jc w:val="left"/>
            </w:pPr>
            <w:r>
              <w:rPr>
                <w:rFonts w:ascii="Arial" w:hAnsi="Arial" w:eastAsia="Arial" w:cs="Times New Roman"/>
                <w:b w:val="0"/>
                <w:bCs w:val="0"/>
                <w:i w:val="0"/>
                <w:iCs w:val="0"/>
                <w:sz w:val="17"/>
                <w:szCs w:val="18"/>
              </w:rPr>
              <w:t>0–2 days</w:t>
            </w:r>
          </w:p>
        </w:tc>
        <w:tc>
          <w:tcPr>
            <w:tcW w:w="3400" w:type="dxa"/>
            <w:tcBorders/>
            <w:tcMar>
              <w:top w:w="20" w:type="dxa"/>
              <w:left w:w="80" w:type="dxa"/>
              <w:bottom w:w="20" w:type="dxa"/>
              <w:right w:w="80" w:type="dxa"/>
            </w:tcMar>
            <w:vAlign w:val="center"/>
          </w:tcPr>
          <w:p w14:paraId="263CFB94">
            <w:pPr>
              <w:spacing w:before="0" w:after="0" w:line="240" w:lineRule="auto"/>
              <w:jc w:val="left"/>
            </w:pPr>
            <w:r>
              <w:rPr>
                <w:rFonts w:ascii="Arial" w:hAnsi="Arial" w:eastAsia="Arial" w:cs="Times New Roman"/>
                <w:b w:val="0"/>
                <w:bCs w:val="0"/>
                <w:i w:val="0"/>
                <w:iCs w:val="0"/>
                <w:sz w:val="17"/>
                <w:szCs w:val="18"/>
              </w:rPr>
              <w:t>23/391 (5.9)</w:t>
            </w:r>
          </w:p>
        </w:tc>
        <w:tc>
          <w:tcPr>
            <w:tcW w:w="3438" w:type="dxa"/>
            <w:tcBorders/>
            <w:tcMar>
              <w:top w:w="20" w:type="dxa"/>
              <w:left w:w="80" w:type="dxa"/>
              <w:bottom w:w="20" w:type="dxa"/>
              <w:right w:w="80" w:type="dxa"/>
            </w:tcMar>
            <w:vAlign w:val="center"/>
          </w:tcPr>
          <w:p w14:paraId="73F8A2EA">
            <w:pPr>
              <w:spacing w:before="0" w:after="0" w:line="240" w:lineRule="auto"/>
              <w:jc w:val="left"/>
            </w:pPr>
            <w:r>
              <w:rPr>
                <w:rFonts w:ascii="Arial" w:hAnsi="Arial" w:eastAsia="Arial" w:cs="Times New Roman"/>
                <w:b w:val="0"/>
                <w:bCs w:val="0"/>
                <w:i w:val="0"/>
                <w:iCs w:val="0"/>
                <w:sz w:val="17"/>
                <w:szCs w:val="18"/>
              </w:rPr>
              <w:t>20/391 (5.1)</w:t>
            </w:r>
          </w:p>
        </w:tc>
      </w:tr>
      <w:tr w14:paraId="3ECF993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752A6D01">
            <w:pPr>
              <w:spacing w:before="0" w:after="0" w:line="240" w:lineRule="auto"/>
              <w:jc w:val="left"/>
            </w:pPr>
            <w:r>
              <w:rPr>
                <w:rFonts w:ascii="Arial" w:hAnsi="Arial" w:eastAsia="Arial" w:cs="Times New Roman"/>
                <w:b w:val="0"/>
                <w:bCs w:val="0"/>
                <w:i w:val="0"/>
                <w:iCs w:val="0"/>
                <w:sz w:val="17"/>
                <w:szCs w:val="18"/>
              </w:rPr>
              <w:t>3–4 days</w:t>
            </w:r>
          </w:p>
        </w:tc>
        <w:tc>
          <w:tcPr>
            <w:tcW w:w="3400" w:type="dxa"/>
            <w:tcBorders/>
            <w:tcMar>
              <w:top w:w="20" w:type="dxa"/>
              <w:left w:w="80" w:type="dxa"/>
              <w:bottom w:w="20" w:type="dxa"/>
              <w:right w:w="80" w:type="dxa"/>
            </w:tcMar>
            <w:vAlign w:val="center"/>
          </w:tcPr>
          <w:p w14:paraId="0083DDD0">
            <w:pPr>
              <w:spacing w:before="0" w:after="0" w:line="240" w:lineRule="auto"/>
              <w:jc w:val="left"/>
            </w:pPr>
            <w:r>
              <w:rPr>
                <w:rFonts w:ascii="Arial" w:hAnsi="Arial" w:eastAsia="Arial" w:cs="Times New Roman"/>
                <w:b w:val="0"/>
                <w:bCs w:val="0"/>
                <w:i w:val="0"/>
                <w:iCs w:val="0"/>
                <w:sz w:val="17"/>
                <w:szCs w:val="18"/>
              </w:rPr>
              <w:t>27/685 (3.9)</w:t>
            </w:r>
          </w:p>
        </w:tc>
        <w:tc>
          <w:tcPr>
            <w:tcW w:w="3438" w:type="dxa"/>
            <w:tcBorders/>
            <w:tcMar>
              <w:top w:w="20" w:type="dxa"/>
              <w:left w:w="80" w:type="dxa"/>
              <w:bottom w:w="20" w:type="dxa"/>
              <w:right w:w="80" w:type="dxa"/>
            </w:tcMar>
            <w:vAlign w:val="center"/>
          </w:tcPr>
          <w:p w14:paraId="5407B168">
            <w:pPr>
              <w:spacing w:before="0" w:after="0" w:line="240" w:lineRule="auto"/>
              <w:jc w:val="left"/>
            </w:pPr>
            <w:r>
              <w:rPr>
                <w:rFonts w:ascii="Arial" w:hAnsi="Arial" w:eastAsia="Arial" w:cs="Times New Roman"/>
                <w:b w:val="0"/>
                <w:bCs w:val="0"/>
                <w:i w:val="0"/>
                <w:iCs w:val="0"/>
                <w:sz w:val="17"/>
                <w:szCs w:val="18"/>
              </w:rPr>
              <w:t>23/685 (3.4)</w:t>
            </w:r>
          </w:p>
        </w:tc>
      </w:tr>
      <w:tr w14:paraId="4ACA560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023848C3">
            <w:pPr>
              <w:spacing w:before="0" w:after="0" w:line="240" w:lineRule="auto"/>
              <w:jc w:val="left"/>
            </w:pPr>
            <w:r>
              <w:rPr>
                <w:rFonts w:ascii="Arial" w:hAnsi="Arial" w:eastAsia="Arial" w:cs="Times New Roman"/>
                <w:b w:val="0"/>
                <w:bCs w:val="0"/>
                <w:i w:val="0"/>
                <w:iCs w:val="0"/>
                <w:sz w:val="17"/>
                <w:szCs w:val="18"/>
              </w:rPr>
              <w:t>5–7 days</w:t>
            </w:r>
          </w:p>
        </w:tc>
        <w:tc>
          <w:tcPr>
            <w:tcW w:w="3400" w:type="dxa"/>
            <w:tcBorders/>
            <w:tcMar>
              <w:top w:w="20" w:type="dxa"/>
              <w:left w:w="80" w:type="dxa"/>
              <w:bottom w:w="20" w:type="dxa"/>
              <w:right w:w="80" w:type="dxa"/>
            </w:tcMar>
            <w:vAlign w:val="center"/>
          </w:tcPr>
          <w:p w14:paraId="54DBEA80">
            <w:pPr>
              <w:spacing w:before="0" w:after="0" w:line="240" w:lineRule="auto"/>
              <w:jc w:val="left"/>
            </w:pPr>
            <w:r>
              <w:rPr>
                <w:rFonts w:ascii="Arial" w:hAnsi="Arial" w:eastAsia="Arial" w:cs="Times New Roman"/>
                <w:b w:val="0"/>
                <w:bCs w:val="0"/>
                <w:i w:val="0"/>
                <w:iCs w:val="0"/>
                <w:sz w:val="17"/>
                <w:szCs w:val="18"/>
              </w:rPr>
              <w:t>18/357 (5.0)</w:t>
            </w:r>
          </w:p>
        </w:tc>
        <w:tc>
          <w:tcPr>
            <w:tcW w:w="3438" w:type="dxa"/>
            <w:tcBorders/>
            <w:tcMar>
              <w:top w:w="20" w:type="dxa"/>
              <w:left w:w="80" w:type="dxa"/>
              <w:bottom w:w="20" w:type="dxa"/>
              <w:right w:w="80" w:type="dxa"/>
            </w:tcMar>
            <w:vAlign w:val="center"/>
          </w:tcPr>
          <w:p w14:paraId="7F745D7E">
            <w:pPr>
              <w:spacing w:before="0" w:after="0" w:line="240" w:lineRule="auto"/>
              <w:jc w:val="left"/>
            </w:pPr>
            <w:r>
              <w:rPr>
                <w:rFonts w:ascii="Arial" w:hAnsi="Arial" w:eastAsia="Arial" w:cs="Times New Roman"/>
                <w:b w:val="0"/>
                <w:bCs w:val="0"/>
                <w:i w:val="0"/>
                <w:iCs w:val="0"/>
                <w:sz w:val="17"/>
                <w:szCs w:val="18"/>
              </w:rPr>
              <w:t>17/357 (4.8)</w:t>
            </w:r>
          </w:p>
        </w:tc>
      </w:tr>
      <w:tr w14:paraId="474AE63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bottom w:val="single" w:sz="8" w:color="000000"/>
            </w:tcBorders>
            <w:tcMar>
              <w:top w:w="20" w:type="dxa"/>
              <w:left w:w="80" w:type="dxa"/>
              <w:bottom w:w="20" w:type="dxa"/>
              <w:right w:w="80" w:type="dxa"/>
            </w:tcMar>
            <w:vAlign w:val="center"/>
          </w:tcPr>
          <w:p w14:paraId="3E5E2608">
            <w:pPr>
              <w:spacing w:before="0" w:after="0" w:line="240" w:lineRule="auto"/>
              <w:jc w:val="left"/>
            </w:pPr>
            <w:r>
              <w:rPr>
                <w:rFonts w:ascii="Arial" w:hAnsi="Arial" w:eastAsia="Arial" w:cs="Times New Roman"/>
                <w:b w:val="0"/>
                <w:bCs w:val="0"/>
                <w:i w:val="0"/>
                <w:iCs w:val="0"/>
                <w:sz w:val="17"/>
                <w:szCs w:val="18"/>
              </w:rPr>
              <w:t>&gt; 7 days</w:t>
            </w:r>
          </w:p>
        </w:tc>
        <w:tc>
          <w:tcPr>
            <w:tcW w:w="3400" w:type="dxa"/>
            <w:tcBorders>
              <w:bottom w:val="single" w:sz="8" w:color="000000"/>
            </w:tcBorders>
            <w:tcMar>
              <w:top w:w="20" w:type="dxa"/>
              <w:left w:w="80" w:type="dxa"/>
              <w:bottom w:w="20" w:type="dxa"/>
              <w:right w:w="80" w:type="dxa"/>
            </w:tcMar>
            <w:vAlign w:val="center"/>
          </w:tcPr>
          <w:p w14:paraId="68BD6202">
            <w:pPr>
              <w:spacing w:before="0" w:after="0" w:line="240" w:lineRule="auto"/>
              <w:jc w:val="left"/>
            </w:pPr>
            <w:r>
              <w:rPr>
                <w:rFonts w:ascii="Arial" w:hAnsi="Arial" w:eastAsia="Arial" w:cs="Times New Roman"/>
                <w:b w:val="0"/>
                <w:bCs w:val="0"/>
                <w:i w:val="0"/>
                <w:iCs w:val="0"/>
                <w:sz w:val="17"/>
                <w:szCs w:val="18"/>
              </w:rPr>
              <w:t>7/49 (14.3)</w:t>
            </w:r>
          </w:p>
        </w:tc>
        <w:tc>
          <w:tcPr>
            <w:tcW w:w="3438" w:type="dxa"/>
            <w:tcBorders>
              <w:bottom w:val="single" w:sz="8" w:color="000000"/>
            </w:tcBorders>
            <w:tcMar>
              <w:top w:w="20" w:type="dxa"/>
              <w:left w:w="80" w:type="dxa"/>
              <w:bottom w:w="20" w:type="dxa"/>
              <w:right w:w="80" w:type="dxa"/>
            </w:tcMar>
            <w:vAlign w:val="center"/>
          </w:tcPr>
          <w:p w14:paraId="121E9A4B">
            <w:pPr>
              <w:spacing w:before="0" w:after="0" w:line="240" w:lineRule="auto"/>
              <w:jc w:val="left"/>
            </w:pPr>
            <w:r>
              <w:rPr>
                <w:rFonts w:ascii="Arial" w:hAnsi="Arial" w:eastAsia="Arial" w:cs="Times New Roman"/>
                <w:b w:val="0"/>
                <w:bCs w:val="0"/>
                <w:i w:val="0"/>
                <w:iCs w:val="0"/>
                <w:sz w:val="17"/>
                <w:szCs w:val="18"/>
              </w:rPr>
              <w:t>7/49 (14.3)</w:t>
            </w:r>
          </w:p>
        </w:tc>
      </w:tr>
    </w:tbl>
    <w:p w14:paraId="7AE87CA2">
      <w:pPr>
        <w:keepNext w:val="0"/>
        <w:spacing w:before="0" w:after="40" w:line="220" w:lineRule="auto"/>
        <w:jc w:val="left"/>
      </w:pPr>
      <w:r>
        <w:rPr>
          <w:rFonts w:ascii="Times New Roman" w:hAnsi="Times New Roman" w:eastAsia="Times New Roman" w:cs="Times New Roman"/>
          <w:b w:val="0"/>
          <w:bCs w:val="0"/>
          <w:i w:val="0"/>
          <w:iCs w:val="0"/>
          <w:sz w:val="17"/>
          <w:szCs w:val="17"/>
        </w:rPr>
        <w:t xml:space="preserve">Ultrasound-side abstinence was analysed separately from semen-side abstinence because it is the timing variable directly relevant to gland filling at imaging. Models of seminal-vesicle measurements were adjusted for age, varicocele and centred splines for semen-side abstinence. Ratios compare geometric means and use HC3 robust confidence intervals. Values in panel D are </w:t>
      </w:r>
      <w:r>
        <w:rPr>
          <w:rFonts w:ascii="Times New Roman" w:hAnsi="Times New Roman" w:eastAsia="Times New Roman" w:cs="Times New Roman"/>
          <w:b w:val="0"/>
          <w:bCs w:val="0"/>
          <w:i/>
          <w:iCs/>
          <w:sz w:val="17"/>
          <w:szCs w:val="17"/>
        </w:rPr>
        <w:t>n</w:t>
      </w:r>
      <w:r>
        <w:rPr>
          <w:rFonts w:ascii="Times New Roman" w:hAnsi="Times New Roman" w:eastAsia="Times New Roman" w:cs="Times New Roman"/>
          <w:b w:val="0"/>
          <w:bCs w:val="0"/>
          <w:i w:val="0"/>
          <w:iCs w:val="0"/>
          <w:sz w:val="17"/>
          <w:szCs w:val="17"/>
        </w:rPr>
        <w:t>/N (%).</w:t>
      </w:r>
    </w:p>
    <w:p w14:paraId="59185585">
      <w:pPr>
        <w:keepNext w:val="0"/>
        <w:spacing w:before="0" w:after="40" w:line="220" w:lineRule="auto"/>
        <w:jc w:val="left"/>
      </w:pPr>
      <w:r>
        <w:rPr>
          <w:rFonts w:ascii="Times New Roman" w:hAnsi="Times New Roman" w:eastAsia="Times New Roman" w:cs="Times New Roman"/>
          <w:b w:val="0"/>
          <w:bCs w:val="0"/>
          <w:i w:val="0"/>
          <w:iCs w:val="0"/>
          <w:sz w:val="17"/>
          <w:szCs w:val="17"/>
          <w:vertAlign w:val="superscript"/>
        </w:rPr>
        <w:t>a</w:t>
      </w:r>
      <w:r>
        <w:rPr>
          <w:rFonts w:ascii="Times New Roman" w:hAnsi="Times New Roman" w:eastAsia="Times New Roman" w:cs="Times New Roman"/>
          <w:b w:val="0"/>
          <w:bCs w:val="0"/>
          <w:i w:val="0"/>
          <w:iCs w:val="0"/>
          <w:sz w:val="17"/>
          <w:szCs w:val="17"/>
        </w:rPr>
        <w:t>Reference category: 3–4 days.</w:t>
      </w:r>
    </w:p>
    <w:p w14:paraId="6E0101E9">
      <w:pPr>
        <w:keepNext w:val="0"/>
        <w:spacing w:before="0" w:after="40" w:line="220" w:lineRule="auto"/>
        <w:jc w:val="left"/>
      </w:pPr>
      <w:r>
        <w:rPr>
          <w:rFonts w:ascii="Times New Roman" w:hAnsi="Times New Roman" w:eastAsia="Times New Roman" w:cs="Times New Roman"/>
          <w:b w:val="0"/>
          <w:bCs w:val="0"/>
          <w:i w:val="0"/>
          <w:iCs w:val="0"/>
          <w:sz w:val="17"/>
          <w:szCs w:val="17"/>
        </w:rPr>
        <w:t>Within 0–7 days, measurements and exceedance proportions were similar; larger measurements were confined to the sparse stratum beyond 7 days. Because this was a selected fertility-clinic cohort without repeat imaging, these analyses establish neither within-person filling kinetics nor abstinence-specific reference limits.</w:t>
      </w:r>
    </w:p>
    <w:p w14:paraId="4110C6C1">
      <w:pPr>
        <w:keepNext w:val="0"/>
        <w:spacing w:before="0" w:after="40" w:line="220" w:lineRule="auto"/>
        <w:jc w:val="left"/>
      </w:pPr>
      <w:r>
        <w:rPr>
          <w:rFonts w:ascii="Times New Roman" w:hAnsi="Times New Roman" w:eastAsia="Times New Roman" w:cs="Times New Roman"/>
          <w:b w:val="0"/>
          <w:bCs w:val="0"/>
          <w:i w:val="0"/>
          <w:iCs w:val="0"/>
          <w:sz w:val="17"/>
          <w:szCs w:val="17"/>
        </w:rPr>
        <w:t>CI, confidence interval; DFI, sperm DNA fragmentation index; IQR, interquartile range; SD, standard deviation.</w:t>
      </w:r>
    </w:p>
    <w:p w14:paraId="18377BDF">
      <w:r>
        <w:br w:type="page"/>
      </w:r>
    </w:p>
    <w:p w14:paraId="6B6A0907">
      <w:pPr>
        <w:keepNext/>
        <w:spacing w:before="0" w:after="100" w:line="240" w:lineRule="auto"/>
        <w:jc w:val="left"/>
      </w:pPr>
      <w:r>
        <w:rPr>
          <w:rFonts w:ascii="Times New Roman" w:hAnsi="Times New Roman" w:eastAsia="Times New Roman" w:cs="Times New Roman"/>
          <w:b/>
          <w:bCs/>
          <w:i w:val="0"/>
          <w:iCs w:val="0"/>
          <w:sz w:val="22"/>
          <w:szCs w:val="22"/>
        </w:rPr>
        <w:t>Supplementary Table S7. Stability of the primary estimates across calendar periods</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3038"/>
        <w:gridCol w:w="2200"/>
        <w:gridCol w:w="2200"/>
        <w:gridCol w:w="2200"/>
      </w:tblGrid>
      <w:tr w14:paraId="618B92A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3038" w:type="dxa"/>
            <w:tcBorders>
              <w:top w:val="single" w:sz="8" w:color="000000"/>
              <w:bottom w:val="single" w:sz="8" w:color="000000"/>
            </w:tcBorders>
            <w:tcMar>
              <w:top w:w="20" w:type="dxa"/>
              <w:left w:w="80" w:type="dxa"/>
              <w:bottom w:w="20" w:type="dxa"/>
              <w:right w:w="80" w:type="dxa"/>
            </w:tcMar>
            <w:vAlign w:val="center"/>
          </w:tcPr>
          <w:p w14:paraId="04FA8645">
            <w:pPr>
              <w:spacing w:before="0" w:after="0" w:line="240" w:lineRule="auto"/>
              <w:jc w:val="left"/>
            </w:pPr>
            <w:r>
              <w:rPr>
                <w:rFonts w:ascii="Arial" w:hAnsi="Arial" w:eastAsia="Arial" w:cs="Times New Roman"/>
                <w:b/>
                <w:bCs/>
                <w:i w:val="0"/>
                <w:iCs w:val="0"/>
                <w:sz w:val="17"/>
                <w:szCs w:val="18"/>
              </w:rPr>
              <w:t>Exposure</w:t>
            </w:r>
          </w:p>
        </w:tc>
        <w:tc>
          <w:tcPr>
            <w:tcW w:w="2200" w:type="dxa"/>
            <w:tcBorders>
              <w:top w:val="single" w:sz="8" w:color="000000"/>
              <w:bottom w:val="single" w:sz="8" w:color="000000"/>
            </w:tcBorders>
            <w:tcMar>
              <w:top w:w="20" w:type="dxa"/>
              <w:left w:w="80" w:type="dxa"/>
              <w:bottom w:w="20" w:type="dxa"/>
              <w:right w:w="80" w:type="dxa"/>
            </w:tcMar>
            <w:vAlign w:val="center"/>
          </w:tcPr>
          <w:p w14:paraId="6832C0E3">
            <w:pPr>
              <w:spacing w:before="0" w:after="0" w:line="240" w:lineRule="auto"/>
              <w:jc w:val="left"/>
            </w:pPr>
            <w:r>
              <w:rPr>
                <w:rFonts w:ascii="Arial" w:hAnsi="Arial" w:eastAsia="Arial" w:cs="Times New Roman"/>
                <w:b/>
                <w:bCs/>
                <w:i w:val="0"/>
                <w:iCs w:val="0"/>
                <w:sz w:val="17"/>
                <w:szCs w:val="18"/>
              </w:rPr>
              <w:t>2020–2022 (n = 402)</w:t>
            </w:r>
          </w:p>
        </w:tc>
        <w:tc>
          <w:tcPr>
            <w:tcW w:w="2200" w:type="dxa"/>
            <w:tcBorders>
              <w:top w:val="single" w:sz="8" w:color="000000"/>
              <w:bottom w:val="single" w:sz="8" w:color="000000"/>
            </w:tcBorders>
            <w:tcMar>
              <w:top w:w="20" w:type="dxa"/>
              <w:left w:w="80" w:type="dxa"/>
              <w:bottom w:w="20" w:type="dxa"/>
              <w:right w:w="80" w:type="dxa"/>
            </w:tcMar>
            <w:vAlign w:val="center"/>
          </w:tcPr>
          <w:p w14:paraId="6D5616CC">
            <w:pPr>
              <w:spacing w:before="0" w:after="0" w:line="240" w:lineRule="auto"/>
              <w:jc w:val="left"/>
            </w:pPr>
            <w:r>
              <w:rPr>
                <w:rFonts w:ascii="Arial" w:hAnsi="Arial" w:eastAsia="Arial" w:cs="Times New Roman"/>
                <w:b/>
                <w:bCs/>
                <w:i w:val="0"/>
                <w:iCs w:val="0"/>
                <w:sz w:val="17"/>
                <w:szCs w:val="18"/>
              </w:rPr>
              <w:t>2023–2026 (n = 1,080)</w:t>
            </w:r>
          </w:p>
        </w:tc>
        <w:tc>
          <w:tcPr>
            <w:tcW w:w="2200" w:type="dxa"/>
            <w:tcBorders>
              <w:top w:val="single" w:sz="8" w:color="000000"/>
              <w:bottom w:val="single" w:sz="8" w:color="000000"/>
            </w:tcBorders>
            <w:tcMar>
              <w:top w:w="20" w:type="dxa"/>
              <w:left w:w="80" w:type="dxa"/>
              <w:bottom w:w="20" w:type="dxa"/>
              <w:right w:w="80" w:type="dxa"/>
            </w:tcMar>
            <w:vAlign w:val="center"/>
          </w:tcPr>
          <w:p w14:paraId="6F51C3A2">
            <w:pPr>
              <w:spacing w:before="0" w:after="0" w:line="240" w:lineRule="auto"/>
              <w:jc w:val="left"/>
            </w:pPr>
            <w:r>
              <w:rPr>
                <w:rFonts w:ascii="Arial" w:hAnsi="Arial" w:eastAsia="Arial" w:cs="Times New Roman"/>
                <w:b/>
                <w:bCs/>
                <w:i w:val="0"/>
                <w:iCs w:val="0"/>
                <w:sz w:val="17"/>
                <w:szCs w:val="18"/>
              </w:rPr>
              <w:t>Full common cohort (n = 1,482)</w:t>
            </w:r>
          </w:p>
        </w:tc>
      </w:tr>
      <w:tr w14:paraId="01887F4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38" w:type="dxa"/>
            <w:tcBorders/>
            <w:tcMar>
              <w:top w:w="20" w:type="dxa"/>
              <w:left w:w="80" w:type="dxa"/>
              <w:bottom w:w="20" w:type="dxa"/>
              <w:right w:w="80" w:type="dxa"/>
            </w:tcMar>
            <w:vAlign w:val="center"/>
          </w:tcPr>
          <w:p w14:paraId="641A80F2">
            <w:pPr>
              <w:spacing w:before="0" w:after="0" w:line="240" w:lineRule="auto"/>
              <w:jc w:val="left"/>
            </w:pPr>
            <w:r>
              <w:rPr>
                <w:rFonts w:ascii="Arial" w:hAnsi="Arial" w:eastAsia="Arial" w:cs="Times New Roman"/>
                <w:b w:val="0"/>
                <w:bCs w:val="0"/>
                <w:i w:val="0"/>
                <w:iCs w:val="0"/>
                <w:sz w:val="17"/>
                <w:szCs w:val="18"/>
              </w:rPr>
              <w:t>Bilateral total volume, per 1 SD (2.73 mL)</w:t>
            </w:r>
          </w:p>
        </w:tc>
        <w:tc>
          <w:tcPr>
            <w:tcW w:w="2200" w:type="dxa"/>
            <w:tcBorders/>
            <w:tcMar>
              <w:top w:w="20" w:type="dxa"/>
              <w:left w:w="80" w:type="dxa"/>
              <w:bottom w:w="20" w:type="dxa"/>
              <w:right w:w="80" w:type="dxa"/>
            </w:tcMar>
            <w:vAlign w:val="center"/>
          </w:tcPr>
          <w:p w14:paraId="639DCBF2">
            <w:pPr>
              <w:spacing w:before="0" w:after="0" w:line="240" w:lineRule="auto"/>
              <w:jc w:val="left"/>
            </w:pPr>
            <w:r>
              <w:rPr>
                <w:rFonts w:ascii="Arial" w:hAnsi="Arial" w:eastAsia="Arial" w:cs="Times New Roman"/>
                <w:b w:val="0"/>
                <w:bCs w:val="0"/>
                <w:i w:val="0"/>
                <w:iCs w:val="0"/>
                <w:sz w:val="17"/>
                <w:szCs w:val="18"/>
              </w:rPr>
              <w:t>1.58 (1.27–1.96)</w:t>
            </w:r>
          </w:p>
        </w:tc>
        <w:tc>
          <w:tcPr>
            <w:tcW w:w="2200" w:type="dxa"/>
            <w:tcBorders/>
            <w:tcMar>
              <w:top w:w="20" w:type="dxa"/>
              <w:left w:w="80" w:type="dxa"/>
              <w:bottom w:w="20" w:type="dxa"/>
              <w:right w:w="80" w:type="dxa"/>
            </w:tcMar>
            <w:vAlign w:val="center"/>
          </w:tcPr>
          <w:p w14:paraId="6857C229">
            <w:pPr>
              <w:spacing w:before="0" w:after="0" w:line="240" w:lineRule="auto"/>
              <w:jc w:val="left"/>
            </w:pPr>
            <w:r>
              <w:rPr>
                <w:rFonts w:ascii="Arial" w:hAnsi="Arial" w:eastAsia="Arial" w:cs="Times New Roman"/>
                <w:b w:val="0"/>
                <w:bCs w:val="0"/>
                <w:i w:val="0"/>
                <w:iCs w:val="0"/>
                <w:sz w:val="17"/>
                <w:szCs w:val="18"/>
              </w:rPr>
              <w:t>1.99 (1.67–2.37)</w:t>
            </w:r>
          </w:p>
        </w:tc>
        <w:tc>
          <w:tcPr>
            <w:tcW w:w="2200" w:type="dxa"/>
            <w:tcBorders/>
            <w:tcMar>
              <w:top w:w="20" w:type="dxa"/>
              <w:left w:w="80" w:type="dxa"/>
              <w:bottom w:w="20" w:type="dxa"/>
              <w:right w:w="80" w:type="dxa"/>
            </w:tcMar>
            <w:vAlign w:val="center"/>
          </w:tcPr>
          <w:p w14:paraId="328A6721">
            <w:pPr>
              <w:spacing w:before="0" w:after="0" w:line="240" w:lineRule="auto"/>
              <w:jc w:val="left"/>
            </w:pPr>
            <w:r>
              <w:rPr>
                <w:rFonts w:ascii="Arial" w:hAnsi="Arial" w:eastAsia="Arial" w:cs="Times New Roman"/>
                <w:b w:val="0"/>
                <w:bCs w:val="0"/>
                <w:i w:val="0"/>
                <w:iCs w:val="0"/>
                <w:sz w:val="17"/>
                <w:szCs w:val="18"/>
              </w:rPr>
              <w:t>1.83 (1.60–2.10)</w:t>
            </w:r>
          </w:p>
        </w:tc>
      </w:tr>
      <w:tr w14:paraId="5D48217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038" w:type="dxa"/>
            <w:tcBorders/>
            <w:tcMar>
              <w:top w:w="20" w:type="dxa"/>
              <w:left w:w="80" w:type="dxa"/>
              <w:bottom w:w="20" w:type="dxa"/>
              <w:right w:w="80" w:type="dxa"/>
            </w:tcMar>
            <w:vAlign w:val="center"/>
          </w:tcPr>
          <w:p w14:paraId="06093FA2">
            <w:pPr>
              <w:spacing w:before="0" w:after="0" w:line="240" w:lineRule="auto"/>
              <w:jc w:val="left"/>
            </w:pPr>
            <w:r>
              <w:rPr>
                <w:rFonts w:ascii="Arial" w:hAnsi="Arial" w:eastAsia="Arial" w:cs="Times New Roman"/>
                <w:b w:val="0"/>
                <w:bCs w:val="0"/>
                <w:i w:val="0"/>
                <w:iCs w:val="0"/>
                <w:sz w:val="17"/>
                <w:szCs w:val="18"/>
              </w:rPr>
              <w:t>Echotexture, per severity level</w:t>
            </w:r>
          </w:p>
        </w:tc>
        <w:tc>
          <w:tcPr>
            <w:tcW w:w="2200" w:type="dxa"/>
            <w:tcBorders/>
            <w:tcMar>
              <w:top w:w="20" w:type="dxa"/>
              <w:left w:w="80" w:type="dxa"/>
              <w:bottom w:w="20" w:type="dxa"/>
              <w:right w:w="80" w:type="dxa"/>
            </w:tcMar>
            <w:vAlign w:val="center"/>
          </w:tcPr>
          <w:p w14:paraId="25A28EB9">
            <w:pPr>
              <w:spacing w:before="0" w:after="0" w:line="240" w:lineRule="auto"/>
              <w:jc w:val="left"/>
            </w:pPr>
            <w:r>
              <w:rPr>
                <w:rFonts w:ascii="Arial" w:hAnsi="Arial" w:eastAsia="Arial" w:cs="Times New Roman"/>
                <w:b w:val="0"/>
                <w:bCs w:val="0"/>
                <w:i w:val="0"/>
                <w:iCs w:val="0"/>
                <w:sz w:val="17"/>
                <w:szCs w:val="18"/>
              </w:rPr>
              <w:t>3.41 (1.53–7.62)</w:t>
            </w:r>
          </w:p>
        </w:tc>
        <w:tc>
          <w:tcPr>
            <w:tcW w:w="2200" w:type="dxa"/>
            <w:tcBorders/>
            <w:tcMar>
              <w:top w:w="20" w:type="dxa"/>
              <w:left w:w="80" w:type="dxa"/>
              <w:bottom w:w="20" w:type="dxa"/>
              <w:right w:w="80" w:type="dxa"/>
            </w:tcMar>
            <w:vAlign w:val="center"/>
          </w:tcPr>
          <w:p w14:paraId="0874B0CD">
            <w:pPr>
              <w:spacing w:before="0" w:after="0" w:line="240" w:lineRule="auto"/>
              <w:jc w:val="left"/>
            </w:pPr>
            <w:r>
              <w:rPr>
                <w:rFonts w:ascii="Arial" w:hAnsi="Arial" w:eastAsia="Arial" w:cs="Times New Roman"/>
                <w:b w:val="0"/>
                <w:bCs w:val="0"/>
                <w:i w:val="0"/>
                <w:iCs w:val="0"/>
                <w:sz w:val="17"/>
                <w:szCs w:val="18"/>
              </w:rPr>
              <w:t>4.77 (2.89–7.87)</w:t>
            </w:r>
          </w:p>
        </w:tc>
        <w:tc>
          <w:tcPr>
            <w:tcW w:w="2200" w:type="dxa"/>
            <w:tcBorders/>
            <w:tcMar>
              <w:top w:w="20" w:type="dxa"/>
              <w:left w:w="80" w:type="dxa"/>
              <w:bottom w:w="20" w:type="dxa"/>
              <w:right w:w="80" w:type="dxa"/>
            </w:tcMar>
            <w:vAlign w:val="center"/>
          </w:tcPr>
          <w:p w14:paraId="54AC37EA">
            <w:pPr>
              <w:spacing w:before="0" w:after="0" w:line="240" w:lineRule="auto"/>
              <w:jc w:val="left"/>
            </w:pPr>
            <w:r>
              <w:rPr>
                <w:rFonts w:ascii="Arial" w:hAnsi="Arial" w:eastAsia="Arial" w:cs="Times New Roman"/>
                <w:b w:val="0"/>
                <w:bCs w:val="0"/>
                <w:i w:val="0"/>
                <w:iCs w:val="0"/>
                <w:sz w:val="17"/>
                <w:szCs w:val="18"/>
              </w:rPr>
              <w:t>4.23 (2.79–6.41)</w:t>
            </w:r>
          </w:p>
        </w:tc>
      </w:tr>
      <w:tr w14:paraId="32B162B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038" w:type="dxa"/>
            <w:tcBorders>
              <w:bottom w:val="single" w:sz="8" w:color="000000"/>
            </w:tcBorders>
            <w:tcMar>
              <w:top w:w="20" w:type="dxa"/>
              <w:left w:w="80" w:type="dxa"/>
              <w:bottom w:w="20" w:type="dxa"/>
              <w:right w:w="80" w:type="dxa"/>
            </w:tcMar>
            <w:vAlign w:val="center"/>
          </w:tcPr>
          <w:p w14:paraId="3FF88EE3">
            <w:pPr>
              <w:spacing w:before="0" w:after="0" w:line="240" w:lineRule="auto"/>
              <w:jc w:val="left"/>
            </w:pPr>
            <w:r>
              <w:rPr>
                <w:rFonts w:ascii="Arial" w:hAnsi="Arial" w:eastAsia="Arial" w:cs="Times New Roman"/>
                <w:b w:val="0"/>
                <w:bCs w:val="0"/>
                <w:i w:val="0"/>
                <w:iCs w:val="0"/>
                <w:sz w:val="17"/>
                <w:szCs w:val="18"/>
              </w:rPr>
              <w:t>Largest-side volume above the cohort 95th percentile (5.14 mL)</w:t>
            </w:r>
          </w:p>
        </w:tc>
        <w:tc>
          <w:tcPr>
            <w:tcW w:w="2200" w:type="dxa"/>
            <w:tcBorders>
              <w:bottom w:val="single" w:sz="8" w:color="000000"/>
            </w:tcBorders>
            <w:tcMar>
              <w:top w:w="20" w:type="dxa"/>
              <w:left w:w="80" w:type="dxa"/>
              <w:bottom w:w="20" w:type="dxa"/>
              <w:right w:w="80" w:type="dxa"/>
            </w:tcMar>
            <w:vAlign w:val="center"/>
          </w:tcPr>
          <w:p w14:paraId="17CC2339">
            <w:pPr>
              <w:spacing w:before="0" w:after="0" w:line="240" w:lineRule="auto"/>
              <w:jc w:val="left"/>
            </w:pPr>
            <w:r>
              <w:rPr>
                <w:rFonts w:ascii="Arial" w:hAnsi="Arial" w:eastAsia="Arial" w:cs="Times New Roman"/>
                <w:b w:val="0"/>
                <w:bCs w:val="0"/>
                <w:i w:val="0"/>
                <w:iCs w:val="0"/>
                <w:sz w:val="17"/>
                <w:szCs w:val="18"/>
              </w:rPr>
              <w:t>4.64 (1.91–11.26)</w:t>
            </w:r>
          </w:p>
        </w:tc>
        <w:tc>
          <w:tcPr>
            <w:tcW w:w="2200" w:type="dxa"/>
            <w:tcBorders>
              <w:bottom w:val="single" w:sz="8" w:color="000000"/>
            </w:tcBorders>
            <w:tcMar>
              <w:top w:w="20" w:type="dxa"/>
              <w:left w:w="80" w:type="dxa"/>
              <w:bottom w:w="20" w:type="dxa"/>
              <w:right w:w="80" w:type="dxa"/>
            </w:tcMar>
            <w:vAlign w:val="center"/>
          </w:tcPr>
          <w:p w14:paraId="48C96789">
            <w:pPr>
              <w:spacing w:before="0" w:after="0" w:line="240" w:lineRule="auto"/>
              <w:jc w:val="left"/>
            </w:pPr>
            <w:r>
              <w:rPr>
                <w:rFonts w:ascii="Arial" w:hAnsi="Arial" w:eastAsia="Arial" w:cs="Times New Roman"/>
                <w:b w:val="0"/>
                <w:bCs w:val="0"/>
                <w:i w:val="0"/>
                <w:iCs w:val="0"/>
                <w:sz w:val="17"/>
                <w:szCs w:val="18"/>
              </w:rPr>
              <w:t>10.27 (5.38–19.60)</w:t>
            </w:r>
          </w:p>
        </w:tc>
        <w:tc>
          <w:tcPr>
            <w:tcW w:w="2200" w:type="dxa"/>
            <w:tcBorders>
              <w:bottom w:val="single" w:sz="8" w:color="000000"/>
            </w:tcBorders>
            <w:tcMar>
              <w:top w:w="20" w:type="dxa"/>
              <w:left w:w="80" w:type="dxa"/>
              <w:bottom w:w="20" w:type="dxa"/>
              <w:right w:w="80" w:type="dxa"/>
            </w:tcMar>
            <w:vAlign w:val="center"/>
          </w:tcPr>
          <w:p w14:paraId="3C3A1047">
            <w:pPr>
              <w:spacing w:before="0" w:after="0" w:line="240" w:lineRule="auto"/>
              <w:jc w:val="left"/>
            </w:pPr>
            <w:r>
              <w:rPr>
                <w:rFonts w:ascii="Arial" w:hAnsi="Arial" w:eastAsia="Arial" w:cs="Times New Roman"/>
                <w:b w:val="0"/>
                <w:bCs w:val="0"/>
                <w:i w:val="0"/>
                <w:iCs w:val="0"/>
                <w:sz w:val="17"/>
                <w:szCs w:val="18"/>
              </w:rPr>
              <w:t>7.75 (4.64–12.95)</w:t>
            </w:r>
          </w:p>
        </w:tc>
      </w:tr>
    </w:tbl>
    <w:p w14:paraId="1A6A9CED">
      <w:pPr>
        <w:keepNext w:val="0"/>
        <w:spacing w:before="0" w:after="40" w:line="220" w:lineRule="auto"/>
        <w:jc w:val="left"/>
      </w:pPr>
      <w:r>
        <w:rPr>
          <w:rFonts w:ascii="Times New Roman" w:hAnsi="Times New Roman" w:eastAsia="Times New Roman" w:cs="Times New Roman"/>
          <w:b w:val="0"/>
          <w:bCs w:val="0"/>
          <w:i w:val="0"/>
          <w:iCs w:val="0"/>
          <w:sz w:val="17"/>
          <w:szCs w:val="17"/>
        </w:rPr>
        <w:t>Values are adjusted odds ratios (95% CI) for DFI ≥ 30%. The common cohort (n = 1,482) was stratified by index DFI year, and each exposure was evaluated with the same adjustment for age, varicocele and both abstinence intervals. The period-specific volume estimates use the SD of bilateral total volume in the full common cohort.</w:t>
      </w:r>
    </w:p>
    <w:p w14:paraId="60E33BF4">
      <w:pPr>
        <w:keepNext w:val="0"/>
        <w:spacing w:before="0" w:after="40" w:line="220" w:lineRule="auto"/>
        <w:jc w:val="left"/>
      </w:pPr>
      <w:r>
        <w:rPr>
          <w:rFonts w:ascii="Times New Roman" w:hAnsi="Times New Roman" w:eastAsia="Times New Roman" w:cs="Times New Roman"/>
          <w:b w:val="0"/>
          <w:bCs w:val="0"/>
          <w:i w:val="0"/>
          <w:iCs w:val="0"/>
          <w:sz w:val="17"/>
          <w:szCs w:val="17"/>
        </w:rPr>
        <w:t xml:space="preserve">The period-by-volume interaction was not statistically significant (likelihood-ratio </w:t>
      </w: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 0.13). Adding calendar year to the full common-cohort models gave adjusted odds ratios of 1.83 for volume, 4.22 for echotexture and 7.74 for extreme largest-side volume. Although source testing began earlier, no man tested in 2014–2019 entered the final common cohort, because bilateral volume or semen-side abstinence was unavailable (Supplementary Table S1).</w:t>
      </w:r>
    </w:p>
    <w:p w14:paraId="76787D03">
      <w:pPr>
        <w:keepNext w:val="0"/>
        <w:spacing w:before="0" w:after="40" w:line="220" w:lineRule="auto"/>
        <w:jc w:val="left"/>
      </w:pPr>
      <w:r>
        <w:rPr>
          <w:rFonts w:ascii="Times New Roman" w:hAnsi="Times New Roman" w:eastAsia="Times New Roman" w:cs="Times New Roman"/>
          <w:b w:val="0"/>
          <w:bCs w:val="0"/>
          <w:i w:val="0"/>
          <w:iCs w:val="0"/>
          <w:sz w:val="17"/>
          <w:szCs w:val="17"/>
        </w:rPr>
        <w:t>CI, confidence interval; DFI, sperm DNA fragmentation index; SD, standard deviation.</w:t>
      </w:r>
    </w:p>
    <w:p w14:paraId="58643659">
      <w:r>
        <w:br w:type="page"/>
      </w:r>
    </w:p>
    <w:p w14:paraId="5CC18CD3">
      <w:pPr>
        <w:keepNext/>
        <w:spacing w:before="0" w:after="100" w:line="240" w:lineRule="auto"/>
        <w:jc w:val="left"/>
      </w:pPr>
      <w:r>
        <w:rPr>
          <w:rFonts w:ascii="Times New Roman" w:hAnsi="Times New Roman" w:eastAsia="Times New Roman" w:cs="Times New Roman"/>
          <w:b/>
          <w:bCs/>
          <w:i w:val="0"/>
          <w:iCs w:val="0"/>
          <w:sz w:val="22"/>
          <w:szCs w:val="22"/>
        </w:rPr>
        <w:t>Supplementary Table S8. Examination timing and scan-order sensitivity</w:t>
      </w:r>
    </w:p>
    <w:p w14:paraId="01BE9D92">
      <w:pPr>
        <w:keepNext/>
        <w:spacing w:before="140" w:after="60" w:line="240" w:lineRule="auto"/>
        <w:jc w:val="left"/>
      </w:pPr>
      <w:r>
        <w:rPr>
          <w:rFonts w:ascii="Times New Roman" w:hAnsi="Times New Roman" w:eastAsia="Times New Roman" w:cs="Times New Roman"/>
          <w:b/>
          <w:bCs/>
          <w:i w:val="0"/>
          <w:iCs w:val="0"/>
          <w:sz w:val="18"/>
          <w:szCs w:val="18"/>
        </w:rPr>
        <w:t>(A) Interval bands nested within the final common cohort</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800"/>
        <w:gridCol w:w="1100"/>
        <w:gridCol w:w="2869"/>
        <w:gridCol w:w="2869"/>
      </w:tblGrid>
      <w:tr w14:paraId="51FCE08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800" w:type="dxa"/>
            <w:tcBorders>
              <w:top w:val="single" w:sz="8" w:color="000000"/>
              <w:bottom w:val="single" w:sz="8" w:color="000000"/>
            </w:tcBorders>
            <w:tcMar>
              <w:top w:w="20" w:type="dxa"/>
              <w:left w:w="80" w:type="dxa"/>
              <w:bottom w:w="20" w:type="dxa"/>
              <w:right w:w="80" w:type="dxa"/>
            </w:tcMar>
            <w:vAlign w:val="center"/>
          </w:tcPr>
          <w:p w14:paraId="2A21697A">
            <w:pPr>
              <w:spacing w:before="0" w:after="0" w:line="240" w:lineRule="auto"/>
              <w:jc w:val="left"/>
            </w:pPr>
            <w:r>
              <w:rPr>
                <w:rFonts w:ascii="Arial" w:hAnsi="Arial" w:eastAsia="Arial" w:cs="Times New Roman"/>
                <w:b/>
                <w:bCs/>
                <w:i w:val="0"/>
                <w:iCs w:val="0"/>
                <w:sz w:val="17"/>
                <w:szCs w:val="18"/>
              </w:rPr>
              <w:t>Interval band</w:t>
            </w:r>
          </w:p>
        </w:tc>
        <w:tc>
          <w:tcPr>
            <w:tcW w:w="1100" w:type="dxa"/>
            <w:tcBorders>
              <w:top w:val="single" w:sz="8" w:color="000000"/>
              <w:bottom w:val="single" w:sz="8" w:color="000000"/>
            </w:tcBorders>
            <w:tcMar>
              <w:top w:w="20" w:type="dxa"/>
              <w:left w:w="80" w:type="dxa"/>
              <w:bottom w:w="20" w:type="dxa"/>
              <w:right w:w="80" w:type="dxa"/>
            </w:tcMar>
            <w:vAlign w:val="center"/>
          </w:tcPr>
          <w:p w14:paraId="2BEA478F">
            <w:pPr>
              <w:spacing w:before="0" w:after="0" w:line="240" w:lineRule="auto"/>
              <w:jc w:val="left"/>
            </w:pPr>
            <w:r>
              <w:rPr>
                <w:rFonts w:ascii="Arial" w:hAnsi="Arial" w:eastAsia="Arial" w:cs="Times New Roman"/>
                <w:b/>
                <w:bCs/>
                <w:i w:val="0"/>
                <w:iCs w:val="0"/>
                <w:sz w:val="17"/>
                <w:szCs w:val="18"/>
              </w:rPr>
              <w:t>n</w:t>
            </w:r>
          </w:p>
        </w:tc>
        <w:tc>
          <w:tcPr>
            <w:tcW w:w="2869" w:type="dxa"/>
            <w:tcBorders>
              <w:top w:val="single" w:sz="8" w:color="000000"/>
              <w:bottom w:val="single" w:sz="8" w:color="000000"/>
            </w:tcBorders>
            <w:tcMar>
              <w:top w:w="20" w:type="dxa"/>
              <w:left w:w="80" w:type="dxa"/>
              <w:bottom w:w="20" w:type="dxa"/>
              <w:right w:w="80" w:type="dxa"/>
            </w:tcMar>
            <w:vAlign w:val="center"/>
          </w:tcPr>
          <w:p w14:paraId="5910EE15">
            <w:pPr>
              <w:spacing w:before="0" w:after="0" w:line="240" w:lineRule="auto"/>
              <w:jc w:val="left"/>
            </w:pPr>
            <w:r>
              <w:rPr>
                <w:rFonts w:ascii="Arial" w:hAnsi="Arial" w:eastAsia="Arial" w:cs="Times New Roman"/>
                <w:b/>
                <w:bCs/>
                <w:i w:val="0"/>
                <w:iCs w:val="0"/>
                <w:sz w:val="17"/>
                <w:szCs w:val="18"/>
              </w:rPr>
              <w:t>Bilateral total volume, adjusted OR per 1 SD (95% CI)</w:t>
            </w:r>
          </w:p>
        </w:tc>
        <w:tc>
          <w:tcPr>
            <w:tcW w:w="2869" w:type="dxa"/>
            <w:tcBorders>
              <w:top w:val="single" w:sz="8" w:color="000000"/>
              <w:bottom w:val="single" w:sz="8" w:color="000000"/>
            </w:tcBorders>
            <w:tcMar>
              <w:top w:w="20" w:type="dxa"/>
              <w:left w:w="80" w:type="dxa"/>
              <w:bottom w:w="20" w:type="dxa"/>
              <w:right w:w="80" w:type="dxa"/>
            </w:tcMar>
            <w:vAlign w:val="center"/>
          </w:tcPr>
          <w:p w14:paraId="01867C4B">
            <w:pPr>
              <w:spacing w:before="0" w:after="0" w:line="240" w:lineRule="auto"/>
              <w:jc w:val="left"/>
            </w:pPr>
            <w:r>
              <w:rPr>
                <w:rFonts w:ascii="Arial" w:hAnsi="Arial" w:eastAsia="Arial" w:cs="Times New Roman"/>
                <w:b/>
                <w:bCs/>
                <w:i w:val="0"/>
                <w:iCs w:val="0"/>
                <w:sz w:val="17"/>
                <w:szCs w:val="18"/>
              </w:rPr>
              <w:t>Echotexture, adjusted OR per severity level (95% CI)</w:t>
            </w:r>
          </w:p>
        </w:tc>
      </w:tr>
      <w:tr w14:paraId="71A6A51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649C09DC">
            <w:pPr>
              <w:spacing w:before="0" w:after="0" w:line="240" w:lineRule="auto"/>
              <w:jc w:val="left"/>
            </w:pPr>
            <w:r>
              <w:rPr>
                <w:rFonts w:ascii="Arial" w:hAnsi="Arial" w:eastAsia="Arial" w:cs="Times New Roman"/>
                <w:b w:val="0"/>
                <w:bCs w:val="0"/>
                <w:i w:val="0"/>
                <w:iCs w:val="0"/>
                <w:sz w:val="17"/>
                <w:szCs w:val="18"/>
              </w:rPr>
              <w:t>Same day</w:t>
            </w:r>
          </w:p>
        </w:tc>
        <w:tc>
          <w:tcPr>
            <w:tcW w:w="1100" w:type="dxa"/>
            <w:tcBorders/>
            <w:tcMar>
              <w:top w:w="20" w:type="dxa"/>
              <w:left w:w="80" w:type="dxa"/>
              <w:bottom w:w="20" w:type="dxa"/>
              <w:right w:w="80" w:type="dxa"/>
            </w:tcMar>
            <w:vAlign w:val="center"/>
          </w:tcPr>
          <w:p w14:paraId="0250E715">
            <w:pPr>
              <w:spacing w:before="0" w:after="0" w:line="240" w:lineRule="auto"/>
              <w:jc w:val="left"/>
            </w:pPr>
            <w:r>
              <w:rPr>
                <w:rFonts w:ascii="Arial" w:hAnsi="Arial" w:eastAsia="Arial" w:cs="Times New Roman"/>
                <w:b w:val="0"/>
                <w:bCs w:val="0"/>
                <w:i w:val="0"/>
                <w:iCs w:val="0"/>
                <w:sz w:val="17"/>
                <w:szCs w:val="18"/>
              </w:rPr>
              <w:t>88</w:t>
            </w:r>
          </w:p>
        </w:tc>
        <w:tc>
          <w:tcPr>
            <w:tcW w:w="2869" w:type="dxa"/>
            <w:tcBorders/>
            <w:tcMar>
              <w:top w:w="20" w:type="dxa"/>
              <w:left w:w="80" w:type="dxa"/>
              <w:bottom w:w="20" w:type="dxa"/>
              <w:right w:w="80" w:type="dxa"/>
            </w:tcMar>
            <w:vAlign w:val="center"/>
          </w:tcPr>
          <w:p w14:paraId="4C75013D">
            <w:pPr>
              <w:spacing w:before="0" w:after="0" w:line="240" w:lineRule="auto"/>
              <w:jc w:val="left"/>
            </w:pPr>
            <w:r>
              <w:rPr>
                <w:rFonts w:ascii="Arial" w:hAnsi="Arial" w:eastAsia="Arial" w:cs="Times New Roman"/>
                <w:b w:val="0"/>
                <w:bCs w:val="0"/>
                <w:i w:val="0"/>
                <w:iCs w:val="0"/>
                <w:sz w:val="17"/>
                <w:szCs w:val="18"/>
              </w:rPr>
              <w:t>1.38 (0.79–2.43)</w:t>
            </w:r>
          </w:p>
        </w:tc>
        <w:tc>
          <w:tcPr>
            <w:tcW w:w="2869" w:type="dxa"/>
            <w:tcBorders/>
            <w:tcMar>
              <w:top w:w="20" w:type="dxa"/>
              <w:left w:w="80" w:type="dxa"/>
              <w:bottom w:w="20" w:type="dxa"/>
              <w:right w:w="80" w:type="dxa"/>
            </w:tcMar>
            <w:vAlign w:val="center"/>
          </w:tcPr>
          <w:p w14:paraId="70516AD0">
            <w:pPr>
              <w:spacing w:before="0" w:after="0" w:line="240" w:lineRule="auto"/>
              <w:jc w:val="left"/>
            </w:pPr>
            <w:r>
              <w:rPr>
                <w:rFonts w:ascii="Arial" w:hAnsi="Arial" w:eastAsia="Arial" w:cs="Times New Roman"/>
                <w:b w:val="0"/>
                <w:bCs w:val="0"/>
                <w:i w:val="0"/>
                <w:iCs w:val="0"/>
                <w:sz w:val="17"/>
                <w:szCs w:val="18"/>
              </w:rPr>
              <w:t>2.82 (0.15–54.57)</w:t>
            </w:r>
          </w:p>
        </w:tc>
      </w:tr>
      <w:tr w14:paraId="72976A8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tcMar>
              <w:top w:w="20" w:type="dxa"/>
              <w:left w:w="80" w:type="dxa"/>
              <w:bottom w:w="20" w:type="dxa"/>
              <w:right w:w="80" w:type="dxa"/>
            </w:tcMar>
            <w:vAlign w:val="center"/>
          </w:tcPr>
          <w:p w14:paraId="63BE604B">
            <w:pPr>
              <w:spacing w:before="0" w:after="0" w:line="240" w:lineRule="auto"/>
              <w:jc w:val="left"/>
            </w:pPr>
            <w:r>
              <w:rPr>
                <w:rFonts w:ascii="Arial" w:hAnsi="Arial" w:eastAsia="Arial" w:cs="Times New Roman"/>
                <w:b w:val="0"/>
                <w:bCs w:val="0"/>
                <w:i w:val="0"/>
                <w:iCs w:val="0"/>
                <w:sz w:val="17"/>
                <w:szCs w:val="18"/>
              </w:rPr>
              <w:t>Ultrasound 1–7 days before DFI</w:t>
            </w:r>
          </w:p>
        </w:tc>
        <w:tc>
          <w:tcPr>
            <w:tcW w:w="1100" w:type="dxa"/>
            <w:tcBorders/>
            <w:tcMar>
              <w:top w:w="20" w:type="dxa"/>
              <w:left w:w="80" w:type="dxa"/>
              <w:bottom w:w="20" w:type="dxa"/>
              <w:right w:w="80" w:type="dxa"/>
            </w:tcMar>
            <w:vAlign w:val="center"/>
          </w:tcPr>
          <w:p w14:paraId="1BC3AF6C">
            <w:pPr>
              <w:spacing w:before="0" w:after="0" w:line="240" w:lineRule="auto"/>
              <w:jc w:val="left"/>
            </w:pPr>
            <w:r>
              <w:rPr>
                <w:rFonts w:ascii="Arial" w:hAnsi="Arial" w:eastAsia="Arial" w:cs="Times New Roman"/>
                <w:b w:val="0"/>
                <w:bCs w:val="0"/>
                <w:i w:val="0"/>
                <w:iCs w:val="0"/>
                <w:sz w:val="17"/>
                <w:szCs w:val="18"/>
              </w:rPr>
              <w:t>1,002</w:t>
            </w:r>
          </w:p>
        </w:tc>
        <w:tc>
          <w:tcPr>
            <w:tcW w:w="2869" w:type="dxa"/>
            <w:tcBorders/>
            <w:tcMar>
              <w:top w:w="20" w:type="dxa"/>
              <w:left w:w="80" w:type="dxa"/>
              <w:bottom w:w="20" w:type="dxa"/>
              <w:right w:w="80" w:type="dxa"/>
            </w:tcMar>
            <w:vAlign w:val="center"/>
          </w:tcPr>
          <w:p w14:paraId="174F1E91">
            <w:pPr>
              <w:spacing w:before="0" w:after="0" w:line="240" w:lineRule="auto"/>
              <w:jc w:val="left"/>
            </w:pPr>
            <w:r>
              <w:rPr>
                <w:rFonts w:ascii="Arial" w:hAnsi="Arial" w:eastAsia="Arial" w:cs="Times New Roman"/>
                <w:b w:val="0"/>
                <w:bCs w:val="0"/>
                <w:i w:val="0"/>
                <w:iCs w:val="0"/>
                <w:sz w:val="17"/>
                <w:szCs w:val="18"/>
              </w:rPr>
              <w:t>2.52 (2.02–3.14)</w:t>
            </w:r>
          </w:p>
        </w:tc>
        <w:tc>
          <w:tcPr>
            <w:tcW w:w="2869" w:type="dxa"/>
            <w:tcBorders/>
            <w:tcMar>
              <w:top w:w="20" w:type="dxa"/>
              <w:left w:w="80" w:type="dxa"/>
              <w:bottom w:w="20" w:type="dxa"/>
              <w:right w:w="80" w:type="dxa"/>
            </w:tcMar>
            <w:vAlign w:val="center"/>
          </w:tcPr>
          <w:p w14:paraId="6C7F659C">
            <w:pPr>
              <w:spacing w:before="0" w:after="0" w:line="240" w:lineRule="auto"/>
              <w:jc w:val="left"/>
            </w:pPr>
            <w:r>
              <w:rPr>
                <w:rFonts w:ascii="Arial" w:hAnsi="Arial" w:eastAsia="Arial" w:cs="Times New Roman"/>
                <w:b w:val="0"/>
                <w:bCs w:val="0"/>
                <w:i w:val="0"/>
                <w:iCs w:val="0"/>
                <w:sz w:val="17"/>
                <w:szCs w:val="18"/>
              </w:rPr>
              <w:t>6.70 (3.38–13.31)</w:t>
            </w:r>
          </w:p>
        </w:tc>
      </w:tr>
      <w:tr w14:paraId="6E95FC9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2800" w:type="dxa"/>
            <w:tcBorders/>
            <w:tcMar>
              <w:top w:w="20" w:type="dxa"/>
              <w:left w:w="80" w:type="dxa"/>
              <w:bottom w:w="20" w:type="dxa"/>
              <w:right w:w="80" w:type="dxa"/>
            </w:tcMar>
            <w:vAlign w:val="center"/>
          </w:tcPr>
          <w:p w14:paraId="5B4E9020">
            <w:pPr>
              <w:spacing w:before="0" w:after="0" w:line="240" w:lineRule="auto"/>
              <w:jc w:val="left"/>
            </w:pPr>
            <w:r>
              <w:rPr>
                <w:rFonts w:ascii="Arial" w:hAnsi="Arial" w:eastAsia="Arial" w:cs="Times New Roman"/>
                <w:b w:val="0"/>
                <w:bCs w:val="0"/>
                <w:i w:val="0"/>
                <w:iCs w:val="0"/>
                <w:sz w:val="17"/>
                <w:szCs w:val="18"/>
              </w:rPr>
              <w:t>Ultrasound 8–90 days before DFI</w:t>
            </w:r>
          </w:p>
        </w:tc>
        <w:tc>
          <w:tcPr>
            <w:tcW w:w="1100" w:type="dxa"/>
            <w:tcBorders/>
            <w:tcMar>
              <w:top w:w="20" w:type="dxa"/>
              <w:left w:w="80" w:type="dxa"/>
              <w:bottom w:w="20" w:type="dxa"/>
              <w:right w:w="80" w:type="dxa"/>
            </w:tcMar>
            <w:vAlign w:val="center"/>
          </w:tcPr>
          <w:p w14:paraId="4097BEBF">
            <w:pPr>
              <w:spacing w:before="0" w:after="0" w:line="240" w:lineRule="auto"/>
              <w:jc w:val="left"/>
            </w:pPr>
            <w:r>
              <w:rPr>
                <w:rFonts w:ascii="Arial" w:hAnsi="Arial" w:eastAsia="Arial" w:cs="Times New Roman"/>
                <w:b w:val="0"/>
                <w:bCs w:val="0"/>
                <w:i w:val="0"/>
                <w:iCs w:val="0"/>
                <w:sz w:val="17"/>
                <w:szCs w:val="18"/>
              </w:rPr>
              <w:t>392</w:t>
            </w:r>
          </w:p>
        </w:tc>
        <w:tc>
          <w:tcPr>
            <w:tcW w:w="2869" w:type="dxa"/>
            <w:tcBorders/>
            <w:tcMar>
              <w:top w:w="20" w:type="dxa"/>
              <w:left w:w="80" w:type="dxa"/>
              <w:bottom w:w="20" w:type="dxa"/>
              <w:right w:w="80" w:type="dxa"/>
            </w:tcMar>
            <w:vAlign w:val="center"/>
          </w:tcPr>
          <w:p w14:paraId="3118BDE8">
            <w:pPr>
              <w:spacing w:before="0" w:after="0" w:line="240" w:lineRule="auto"/>
              <w:jc w:val="left"/>
            </w:pPr>
            <w:r>
              <w:rPr>
                <w:rFonts w:ascii="Arial" w:hAnsi="Arial" w:eastAsia="Arial" w:cs="Times New Roman"/>
                <w:b w:val="0"/>
                <w:bCs w:val="0"/>
                <w:i w:val="0"/>
                <w:iCs w:val="0"/>
                <w:sz w:val="17"/>
                <w:szCs w:val="18"/>
              </w:rPr>
              <w:t>1.35 (1.11–1.64)</w:t>
            </w:r>
          </w:p>
        </w:tc>
        <w:tc>
          <w:tcPr>
            <w:tcW w:w="2869" w:type="dxa"/>
            <w:tcBorders/>
            <w:tcMar>
              <w:top w:w="20" w:type="dxa"/>
              <w:left w:w="80" w:type="dxa"/>
              <w:bottom w:w="20" w:type="dxa"/>
              <w:right w:w="80" w:type="dxa"/>
            </w:tcMar>
            <w:vAlign w:val="center"/>
          </w:tcPr>
          <w:p w14:paraId="05F190DC">
            <w:pPr>
              <w:spacing w:before="0" w:after="0" w:line="240" w:lineRule="auto"/>
              <w:jc w:val="left"/>
            </w:pPr>
            <w:r>
              <w:rPr>
                <w:rFonts w:ascii="Arial" w:hAnsi="Arial" w:eastAsia="Arial" w:cs="Times New Roman"/>
                <w:b w:val="0"/>
                <w:bCs w:val="0"/>
                <w:i w:val="0"/>
                <w:iCs w:val="0"/>
                <w:sz w:val="17"/>
                <w:szCs w:val="18"/>
              </w:rPr>
              <w:t>2.92 (1.61–5.30)</w:t>
            </w:r>
          </w:p>
        </w:tc>
      </w:tr>
      <w:tr w14:paraId="5D3BE63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800" w:type="dxa"/>
            <w:tcBorders>
              <w:bottom w:val="single" w:sz="8" w:color="000000"/>
            </w:tcBorders>
            <w:tcMar>
              <w:top w:w="20" w:type="dxa"/>
              <w:left w:w="80" w:type="dxa"/>
              <w:bottom w:w="20" w:type="dxa"/>
              <w:right w:w="80" w:type="dxa"/>
            </w:tcMar>
            <w:vAlign w:val="center"/>
          </w:tcPr>
          <w:p w14:paraId="763142BF">
            <w:pPr>
              <w:spacing w:before="0" w:after="0" w:line="240" w:lineRule="auto"/>
              <w:jc w:val="left"/>
            </w:pPr>
            <w:r>
              <w:rPr>
                <w:rFonts w:ascii="Arial" w:hAnsi="Arial" w:eastAsia="Arial" w:cs="Times New Roman"/>
                <w:b w:val="0"/>
                <w:bCs w:val="0"/>
                <w:i w:val="0"/>
                <w:iCs w:val="0"/>
                <w:sz w:val="17"/>
                <w:szCs w:val="18"/>
              </w:rPr>
              <w:t>Excluding same-day examinations</w:t>
            </w:r>
          </w:p>
        </w:tc>
        <w:tc>
          <w:tcPr>
            <w:tcW w:w="1100" w:type="dxa"/>
            <w:tcBorders>
              <w:bottom w:val="single" w:sz="8" w:color="000000"/>
            </w:tcBorders>
            <w:tcMar>
              <w:top w:w="20" w:type="dxa"/>
              <w:left w:w="80" w:type="dxa"/>
              <w:bottom w:w="20" w:type="dxa"/>
              <w:right w:w="80" w:type="dxa"/>
            </w:tcMar>
            <w:vAlign w:val="center"/>
          </w:tcPr>
          <w:p w14:paraId="1B6DBD45">
            <w:pPr>
              <w:spacing w:before="0" w:after="0" w:line="240" w:lineRule="auto"/>
              <w:jc w:val="left"/>
            </w:pPr>
            <w:r>
              <w:rPr>
                <w:rFonts w:ascii="Arial" w:hAnsi="Arial" w:eastAsia="Arial" w:cs="Times New Roman"/>
                <w:b w:val="0"/>
                <w:bCs w:val="0"/>
                <w:i w:val="0"/>
                <w:iCs w:val="0"/>
                <w:sz w:val="17"/>
                <w:szCs w:val="18"/>
              </w:rPr>
              <w:t>1,394</w:t>
            </w:r>
          </w:p>
        </w:tc>
        <w:tc>
          <w:tcPr>
            <w:tcW w:w="2869" w:type="dxa"/>
            <w:tcBorders>
              <w:bottom w:val="single" w:sz="8" w:color="000000"/>
            </w:tcBorders>
            <w:tcMar>
              <w:top w:w="20" w:type="dxa"/>
              <w:left w:w="80" w:type="dxa"/>
              <w:bottom w:w="20" w:type="dxa"/>
              <w:right w:w="80" w:type="dxa"/>
            </w:tcMar>
            <w:vAlign w:val="center"/>
          </w:tcPr>
          <w:p w14:paraId="370656E6">
            <w:pPr>
              <w:spacing w:before="0" w:after="0" w:line="240" w:lineRule="auto"/>
              <w:jc w:val="left"/>
            </w:pPr>
            <w:r>
              <w:rPr>
                <w:rFonts w:ascii="Arial" w:hAnsi="Arial" w:eastAsia="Arial" w:cs="Times New Roman"/>
                <w:b w:val="0"/>
                <w:bCs w:val="0"/>
                <w:i w:val="0"/>
                <w:iCs w:val="0"/>
                <w:sz w:val="17"/>
                <w:szCs w:val="18"/>
              </w:rPr>
              <w:t>1.86 (1.62–2.14)</w:t>
            </w:r>
          </w:p>
        </w:tc>
        <w:tc>
          <w:tcPr>
            <w:tcW w:w="2869" w:type="dxa"/>
            <w:tcBorders>
              <w:bottom w:val="single" w:sz="8" w:color="000000"/>
            </w:tcBorders>
            <w:tcMar>
              <w:top w:w="20" w:type="dxa"/>
              <w:left w:w="80" w:type="dxa"/>
              <w:bottom w:w="20" w:type="dxa"/>
              <w:right w:w="80" w:type="dxa"/>
            </w:tcMar>
            <w:vAlign w:val="center"/>
          </w:tcPr>
          <w:p w14:paraId="07ABB682">
            <w:pPr>
              <w:spacing w:before="0" w:after="0" w:line="240" w:lineRule="auto"/>
              <w:jc w:val="left"/>
            </w:pPr>
            <w:r>
              <w:rPr>
                <w:rFonts w:ascii="Arial" w:hAnsi="Arial" w:eastAsia="Arial" w:cs="Times New Roman"/>
                <w:b w:val="0"/>
                <w:bCs w:val="0"/>
                <w:i w:val="0"/>
                <w:iCs w:val="0"/>
                <w:sz w:val="17"/>
                <w:szCs w:val="18"/>
              </w:rPr>
              <w:t>4.31 (2.82–6.57)</w:t>
            </w:r>
          </w:p>
        </w:tc>
      </w:tr>
    </w:tbl>
    <w:p w14:paraId="6901E8C3">
      <w:pPr>
        <w:keepNext/>
        <w:spacing w:before="140" w:after="60" w:line="240" w:lineRule="auto"/>
        <w:jc w:val="left"/>
      </w:pPr>
      <w:r>
        <w:rPr>
          <w:rFonts w:ascii="Times New Roman" w:hAnsi="Times New Roman" w:eastAsia="Times New Roman" w:cs="Times New Roman"/>
          <w:b/>
          <w:bCs/>
          <w:i w:val="0"/>
          <w:iCs w:val="0"/>
          <w:sz w:val="18"/>
          <w:szCs w:val="18"/>
        </w:rPr>
        <w:t>(B) Analysis-specific scan-order sets</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3400"/>
        <w:gridCol w:w="1300"/>
        <w:gridCol w:w="1400"/>
        <w:gridCol w:w="3538"/>
      </w:tblGrid>
      <w:tr w14:paraId="68F5E79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3400" w:type="dxa"/>
            <w:tcBorders>
              <w:top w:val="single" w:sz="8" w:color="000000"/>
              <w:bottom w:val="single" w:sz="8" w:color="000000"/>
            </w:tcBorders>
            <w:tcMar>
              <w:top w:w="20" w:type="dxa"/>
              <w:left w:w="80" w:type="dxa"/>
              <w:bottom w:w="20" w:type="dxa"/>
              <w:right w:w="80" w:type="dxa"/>
            </w:tcMar>
            <w:vAlign w:val="center"/>
          </w:tcPr>
          <w:p w14:paraId="35BE0ECE">
            <w:pPr>
              <w:spacing w:before="0" w:after="0" w:line="240" w:lineRule="auto"/>
              <w:jc w:val="left"/>
            </w:pPr>
            <w:r>
              <w:rPr>
                <w:rFonts w:ascii="Arial" w:hAnsi="Arial" w:eastAsia="Arial" w:cs="Times New Roman"/>
                <w:b/>
                <w:bCs/>
                <w:i w:val="0"/>
                <w:iCs w:val="0"/>
                <w:sz w:val="17"/>
                <w:szCs w:val="18"/>
              </w:rPr>
              <w:t>Scan-order window</w:t>
            </w:r>
          </w:p>
        </w:tc>
        <w:tc>
          <w:tcPr>
            <w:tcW w:w="1300" w:type="dxa"/>
            <w:tcBorders>
              <w:top w:val="single" w:sz="8" w:color="000000"/>
              <w:bottom w:val="single" w:sz="8" w:color="000000"/>
            </w:tcBorders>
            <w:tcMar>
              <w:top w:w="20" w:type="dxa"/>
              <w:left w:w="80" w:type="dxa"/>
              <w:bottom w:w="20" w:type="dxa"/>
              <w:right w:w="80" w:type="dxa"/>
            </w:tcMar>
            <w:vAlign w:val="center"/>
          </w:tcPr>
          <w:p w14:paraId="17791774">
            <w:pPr>
              <w:spacing w:before="0" w:after="0" w:line="240" w:lineRule="auto"/>
              <w:jc w:val="left"/>
            </w:pPr>
            <w:r>
              <w:rPr>
                <w:rFonts w:ascii="Arial" w:hAnsi="Arial" w:eastAsia="Arial" w:cs="Times New Roman"/>
                <w:b/>
                <w:bCs/>
                <w:i w:val="0"/>
                <w:iCs w:val="0"/>
                <w:sz w:val="17"/>
                <w:szCs w:val="18"/>
              </w:rPr>
              <w:t>n</w:t>
            </w:r>
          </w:p>
        </w:tc>
        <w:tc>
          <w:tcPr>
            <w:tcW w:w="1400" w:type="dxa"/>
            <w:tcBorders>
              <w:top w:val="single" w:sz="8" w:color="000000"/>
              <w:bottom w:val="single" w:sz="8" w:color="000000"/>
            </w:tcBorders>
            <w:tcMar>
              <w:top w:w="20" w:type="dxa"/>
              <w:left w:w="80" w:type="dxa"/>
              <w:bottom w:w="20" w:type="dxa"/>
              <w:right w:w="80" w:type="dxa"/>
            </w:tcMar>
            <w:vAlign w:val="center"/>
          </w:tcPr>
          <w:p w14:paraId="65DC85D7">
            <w:pPr>
              <w:spacing w:before="0" w:after="0" w:line="240" w:lineRule="auto"/>
              <w:jc w:val="left"/>
            </w:pPr>
            <w:r>
              <w:rPr>
                <w:rFonts w:ascii="Arial" w:hAnsi="Arial" w:eastAsia="Arial" w:cs="Times New Roman"/>
                <w:b/>
                <w:bCs/>
                <w:i w:val="0"/>
                <w:iCs w:val="0"/>
                <w:sz w:val="17"/>
                <w:szCs w:val="18"/>
              </w:rPr>
              <w:t>Events</w:t>
            </w:r>
          </w:p>
        </w:tc>
        <w:tc>
          <w:tcPr>
            <w:tcW w:w="3538" w:type="dxa"/>
            <w:tcBorders>
              <w:top w:val="single" w:sz="8" w:color="000000"/>
              <w:bottom w:val="single" w:sz="8" w:color="000000"/>
            </w:tcBorders>
            <w:tcMar>
              <w:top w:w="20" w:type="dxa"/>
              <w:left w:w="80" w:type="dxa"/>
              <w:bottom w:w="20" w:type="dxa"/>
              <w:right w:w="80" w:type="dxa"/>
            </w:tcMar>
            <w:vAlign w:val="center"/>
          </w:tcPr>
          <w:p w14:paraId="67AAA3D3">
            <w:pPr>
              <w:spacing w:before="0" w:after="0" w:line="240" w:lineRule="auto"/>
              <w:jc w:val="left"/>
            </w:pPr>
            <w:r>
              <w:rPr>
                <w:rFonts w:ascii="Arial" w:hAnsi="Arial" w:eastAsia="Arial" w:cs="Times New Roman"/>
                <w:b/>
                <w:bCs/>
                <w:i w:val="0"/>
                <w:iCs w:val="0"/>
                <w:sz w:val="17"/>
                <w:szCs w:val="18"/>
              </w:rPr>
              <w:t>Bilateral total volume, adjusted OR per 1 SD (95% CI)</w:t>
            </w:r>
          </w:p>
        </w:tc>
      </w:tr>
      <w:tr w14:paraId="5E3B271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340172D7">
            <w:pPr>
              <w:spacing w:before="0" w:after="0" w:line="240" w:lineRule="auto"/>
              <w:jc w:val="left"/>
            </w:pPr>
            <w:r>
              <w:rPr>
                <w:rFonts w:ascii="Arial" w:hAnsi="Arial" w:eastAsia="Arial" w:cs="Times New Roman"/>
                <w:b w:val="0"/>
                <w:bCs w:val="0"/>
                <w:i w:val="0"/>
                <w:iCs w:val="0"/>
                <w:sz w:val="17"/>
                <w:szCs w:val="18"/>
              </w:rPr>
              <w:t>Same day</w:t>
            </w:r>
          </w:p>
        </w:tc>
        <w:tc>
          <w:tcPr>
            <w:tcW w:w="1300" w:type="dxa"/>
            <w:tcBorders/>
            <w:tcMar>
              <w:top w:w="20" w:type="dxa"/>
              <w:left w:w="80" w:type="dxa"/>
              <w:bottom w:w="20" w:type="dxa"/>
              <w:right w:w="80" w:type="dxa"/>
            </w:tcMar>
            <w:vAlign w:val="center"/>
          </w:tcPr>
          <w:p w14:paraId="214985BB">
            <w:pPr>
              <w:spacing w:before="0" w:after="0" w:line="240" w:lineRule="auto"/>
              <w:jc w:val="left"/>
            </w:pPr>
            <w:r>
              <w:rPr>
                <w:rFonts w:ascii="Arial" w:hAnsi="Arial" w:eastAsia="Arial" w:cs="Times New Roman"/>
                <w:b w:val="0"/>
                <w:bCs w:val="0"/>
                <w:i w:val="0"/>
                <w:iCs w:val="0"/>
                <w:sz w:val="17"/>
                <w:szCs w:val="18"/>
              </w:rPr>
              <w:t>88</w:t>
            </w:r>
          </w:p>
        </w:tc>
        <w:tc>
          <w:tcPr>
            <w:tcW w:w="1400" w:type="dxa"/>
            <w:tcBorders/>
            <w:tcMar>
              <w:top w:w="20" w:type="dxa"/>
              <w:left w:w="80" w:type="dxa"/>
              <w:bottom w:w="20" w:type="dxa"/>
              <w:right w:w="80" w:type="dxa"/>
            </w:tcMar>
            <w:vAlign w:val="center"/>
          </w:tcPr>
          <w:p w14:paraId="1F4459FC">
            <w:pPr>
              <w:spacing w:before="0" w:after="0" w:line="240" w:lineRule="auto"/>
              <w:jc w:val="left"/>
            </w:pPr>
            <w:r>
              <w:rPr>
                <w:rFonts w:ascii="Arial" w:hAnsi="Arial" w:eastAsia="Arial" w:cs="Times New Roman"/>
                <w:b w:val="0"/>
                <w:bCs w:val="0"/>
                <w:i w:val="0"/>
                <w:iCs w:val="0"/>
                <w:sz w:val="17"/>
                <w:szCs w:val="18"/>
              </w:rPr>
              <w:t>24</w:t>
            </w:r>
          </w:p>
        </w:tc>
        <w:tc>
          <w:tcPr>
            <w:tcW w:w="3538" w:type="dxa"/>
            <w:tcBorders/>
            <w:tcMar>
              <w:top w:w="20" w:type="dxa"/>
              <w:left w:w="80" w:type="dxa"/>
              <w:bottom w:w="20" w:type="dxa"/>
              <w:right w:w="80" w:type="dxa"/>
            </w:tcMar>
            <w:vAlign w:val="center"/>
          </w:tcPr>
          <w:p w14:paraId="7839712E">
            <w:pPr>
              <w:spacing w:before="0" w:after="0" w:line="240" w:lineRule="auto"/>
              <w:jc w:val="left"/>
            </w:pPr>
            <w:r>
              <w:rPr>
                <w:rFonts w:ascii="Arial" w:hAnsi="Arial" w:eastAsia="Arial" w:cs="Times New Roman"/>
                <w:b w:val="0"/>
                <w:bCs w:val="0"/>
                <w:i w:val="0"/>
                <w:iCs w:val="0"/>
                <w:sz w:val="17"/>
                <w:szCs w:val="18"/>
              </w:rPr>
              <w:t>1.42 (0.81–2.46)</w:t>
            </w:r>
          </w:p>
        </w:tc>
      </w:tr>
      <w:tr w14:paraId="452A0B0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tcMar>
              <w:top w:w="20" w:type="dxa"/>
              <w:left w:w="80" w:type="dxa"/>
              <w:bottom w:w="20" w:type="dxa"/>
              <w:right w:w="80" w:type="dxa"/>
            </w:tcMar>
            <w:vAlign w:val="center"/>
          </w:tcPr>
          <w:p w14:paraId="3AF70731">
            <w:pPr>
              <w:spacing w:before="0" w:after="0" w:line="240" w:lineRule="auto"/>
              <w:jc w:val="left"/>
            </w:pPr>
            <w:r>
              <w:rPr>
                <w:rFonts w:ascii="Arial" w:hAnsi="Arial" w:eastAsia="Arial" w:cs="Times New Roman"/>
                <w:b w:val="0"/>
                <w:bCs w:val="0"/>
                <w:i w:val="0"/>
                <w:iCs w:val="0"/>
                <w:sz w:val="17"/>
                <w:szCs w:val="18"/>
              </w:rPr>
              <w:t>Ultrasound 1–90 days before DFI</w:t>
            </w:r>
          </w:p>
        </w:tc>
        <w:tc>
          <w:tcPr>
            <w:tcW w:w="1300" w:type="dxa"/>
            <w:tcBorders/>
            <w:tcMar>
              <w:top w:w="20" w:type="dxa"/>
              <w:left w:w="80" w:type="dxa"/>
              <w:bottom w:w="20" w:type="dxa"/>
              <w:right w:w="80" w:type="dxa"/>
            </w:tcMar>
            <w:vAlign w:val="center"/>
          </w:tcPr>
          <w:p w14:paraId="6DF84C0A">
            <w:pPr>
              <w:spacing w:before="0" w:after="0" w:line="240" w:lineRule="auto"/>
              <w:jc w:val="left"/>
            </w:pPr>
            <w:r>
              <w:rPr>
                <w:rFonts w:ascii="Arial" w:hAnsi="Arial" w:eastAsia="Arial" w:cs="Times New Roman"/>
                <w:b w:val="0"/>
                <w:bCs w:val="0"/>
                <w:i w:val="0"/>
                <w:iCs w:val="0"/>
                <w:sz w:val="17"/>
                <w:szCs w:val="18"/>
              </w:rPr>
              <w:t>1,431</w:t>
            </w:r>
          </w:p>
        </w:tc>
        <w:tc>
          <w:tcPr>
            <w:tcW w:w="1400" w:type="dxa"/>
            <w:tcBorders/>
            <w:tcMar>
              <w:top w:w="20" w:type="dxa"/>
              <w:left w:w="80" w:type="dxa"/>
              <w:bottom w:w="20" w:type="dxa"/>
              <w:right w:w="80" w:type="dxa"/>
            </w:tcMar>
            <w:vAlign w:val="center"/>
          </w:tcPr>
          <w:p w14:paraId="67C0D231">
            <w:pPr>
              <w:spacing w:before="0" w:after="0" w:line="240" w:lineRule="auto"/>
              <w:jc w:val="left"/>
            </w:pPr>
            <w:r>
              <w:rPr>
                <w:rFonts w:ascii="Arial" w:hAnsi="Arial" w:eastAsia="Arial" w:cs="Times New Roman"/>
                <w:b w:val="0"/>
                <w:bCs w:val="0"/>
                <w:i w:val="0"/>
                <w:iCs w:val="0"/>
                <w:sz w:val="17"/>
                <w:szCs w:val="18"/>
              </w:rPr>
              <w:t>306</w:t>
            </w:r>
          </w:p>
        </w:tc>
        <w:tc>
          <w:tcPr>
            <w:tcW w:w="3538" w:type="dxa"/>
            <w:tcBorders/>
            <w:tcMar>
              <w:top w:w="20" w:type="dxa"/>
              <w:left w:w="80" w:type="dxa"/>
              <w:bottom w:w="20" w:type="dxa"/>
              <w:right w:w="80" w:type="dxa"/>
            </w:tcMar>
            <w:vAlign w:val="center"/>
          </w:tcPr>
          <w:p w14:paraId="72837101">
            <w:pPr>
              <w:spacing w:before="0" w:after="0" w:line="240" w:lineRule="auto"/>
              <w:jc w:val="left"/>
            </w:pPr>
            <w:r>
              <w:rPr>
                <w:rFonts w:ascii="Arial" w:hAnsi="Arial" w:eastAsia="Arial" w:cs="Times New Roman"/>
                <w:b w:val="0"/>
                <w:bCs w:val="0"/>
                <w:i w:val="0"/>
                <w:iCs w:val="0"/>
                <w:sz w:val="17"/>
                <w:szCs w:val="18"/>
              </w:rPr>
              <w:t>1.83 (1.60–2.10)</w:t>
            </w:r>
          </w:p>
        </w:tc>
      </w:tr>
      <w:tr w14:paraId="237BD3A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cantSplit/>
        </w:trPr>
        <w:tc>
          <w:tcPr>
            <w:tcW w:w="3400" w:type="dxa"/>
            <w:tcBorders/>
            <w:tcMar>
              <w:top w:w="20" w:type="dxa"/>
              <w:left w:w="80" w:type="dxa"/>
              <w:bottom w:w="20" w:type="dxa"/>
              <w:right w:w="80" w:type="dxa"/>
            </w:tcMar>
            <w:vAlign w:val="center"/>
          </w:tcPr>
          <w:p w14:paraId="20AF3354">
            <w:pPr>
              <w:spacing w:before="0" w:after="0" w:line="240" w:lineRule="auto"/>
              <w:jc w:val="left"/>
            </w:pPr>
            <w:r>
              <w:rPr>
                <w:rFonts w:ascii="Arial" w:hAnsi="Arial" w:eastAsia="Arial" w:cs="Times New Roman"/>
                <w:b w:val="0"/>
                <w:bCs w:val="0"/>
                <w:i w:val="0"/>
                <w:iCs w:val="0"/>
                <w:sz w:val="17"/>
                <w:szCs w:val="18"/>
              </w:rPr>
              <w:t>Ultrasound 1–90 days after DFI</w:t>
            </w:r>
          </w:p>
        </w:tc>
        <w:tc>
          <w:tcPr>
            <w:tcW w:w="1300" w:type="dxa"/>
            <w:tcBorders/>
            <w:tcMar>
              <w:top w:w="20" w:type="dxa"/>
              <w:left w:w="80" w:type="dxa"/>
              <w:bottom w:w="20" w:type="dxa"/>
              <w:right w:w="80" w:type="dxa"/>
            </w:tcMar>
            <w:vAlign w:val="center"/>
          </w:tcPr>
          <w:p w14:paraId="187112BB">
            <w:pPr>
              <w:spacing w:before="0" w:after="0" w:line="240" w:lineRule="auto"/>
              <w:jc w:val="left"/>
            </w:pPr>
            <w:r>
              <w:rPr>
                <w:rFonts w:ascii="Arial" w:hAnsi="Arial" w:eastAsia="Arial" w:cs="Times New Roman"/>
                <w:b w:val="0"/>
                <w:bCs w:val="0"/>
                <w:i w:val="0"/>
                <w:iCs w:val="0"/>
                <w:sz w:val="17"/>
                <w:szCs w:val="18"/>
              </w:rPr>
              <w:t>1,563</w:t>
            </w:r>
          </w:p>
        </w:tc>
        <w:tc>
          <w:tcPr>
            <w:tcW w:w="1400" w:type="dxa"/>
            <w:tcBorders/>
            <w:tcMar>
              <w:top w:w="20" w:type="dxa"/>
              <w:left w:w="80" w:type="dxa"/>
              <w:bottom w:w="20" w:type="dxa"/>
              <w:right w:w="80" w:type="dxa"/>
            </w:tcMar>
            <w:vAlign w:val="center"/>
          </w:tcPr>
          <w:p w14:paraId="694E30D1">
            <w:pPr>
              <w:spacing w:before="0" w:after="0" w:line="240" w:lineRule="auto"/>
              <w:jc w:val="left"/>
            </w:pPr>
            <w:r>
              <w:rPr>
                <w:rFonts w:ascii="Arial" w:hAnsi="Arial" w:eastAsia="Arial" w:cs="Times New Roman"/>
                <w:b w:val="0"/>
                <w:bCs w:val="0"/>
                <w:i w:val="0"/>
                <w:iCs w:val="0"/>
                <w:sz w:val="17"/>
                <w:szCs w:val="18"/>
              </w:rPr>
              <w:t>685</w:t>
            </w:r>
          </w:p>
        </w:tc>
        <w:tc>
          <w:tcPr>
            <w:tcW w:w="3538" w:type="dxa"/>
            <w:tcBorders/>
            <w:tcMar>
              <w:top w:w="20" w:type="dxa"/>
              <w:left w:w="80" w:type="dxa"/>
              <w:bottom w:w="20" w:type="dxa"/>
              <w:right w:w="80" w:type="dxa"/>
            </w:tcMar>
            <w:vAlign w:val="center"/>
          </w:tcPr>
          <w:p w14:paraId="32A4311E">
            <w:pPr>
              <w:spacing w:before="0" w:after="0" w:line="240" w:lineRule="auto"/>
              <w:jc w:val="left"/>
            </w:pPr>
            <w:r>
              <w:rPr>
                <w:rFonts w:ascii="Arial" w:hAnsi="Arial" w:eastAsia="Arial" w:cs="Times New Roman"/>
                <w:b w:val="0"/>
                <w:bCs w:val="0"/>
                <w:i w:val="0"/>
                <w:iCs w:val="0"/>
                <w:sz w:val="17"/>
                <w:szCs w:val="18"/>
              </w:rPr>
              <w:t>1.26 (1.14–1.39)</w:t>
            </w:r>
          </w:p>
        </w:tc>
      </w:tr>
      <w:tr w14:paraId="3194E2B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3400" w:type="dxa"/>
            <w:tcBorders>
              <w:bottom w:val="single" w:sz="8" w:color="000000"/>
            </w:tcBorders>
            <w:tcMar>
              <w:top w:w="20" w:type="dxa"/>
              <w:left w:w="80" w:type="dxa"/>
              <w:bottom w:w="20" w:type="dxa"/>
              <w:right w:w="80" w:type="dxa"/>
            </w:tcMar>
            <w:vAlign w:val="center"/>
          </w:tcPr>
          <w:p w14:paraId="2723F369">
            <w:pPr>
              <w:spacing w:before="0" w:after="0" w:line="240" w:lineRule="auto"/>
              <w:jc w:val="left"/>
            </w:pPr>
            <w:r>
              <w:rPr>
                <w:rFonts w:ascii="Arial" w:hAnsi="Arial" w:eastAsia="Arial" w:cs="Times New Roman"/>
                <w:b w:val="0"/>
                <w:bCs w:val="0"/>
                <w:i w:val="0"/>
                <w:iCs w:val="0"/>
                <w:sz w:val="17"/>
                <w:szCs w:val="18"/>
              </w:rPr>
              <w:t>Symmetric ± 90 days</w:t>
            </w:r>
          </w:p>
        </w:tc>
        <w:tc>
          <w:tcPr>
            <w:tcW w:w="1300" w:type="dxa"/>
            <w:tcBorders>
              <w:bottom w:val="single" w:sz="8" w:color="000000"/>
            </w:tcBorders>
            <w:tcMar>
              <w:top w:w="20" w:type="dxa"/>
              <w:left w:w="80" w:type="dxa"/>
              <w:bottom w:w="20" w:type="dxa"/>
              <w:right w:w="80" w:type="dxa"/>
            </w:tcMar>
            <w:vAlign w:val="center"/>
          </w:tcPr>
          <w:p w14:paraId="55F81EFE">
            <w:pPr>
              <w:spacing w:before="0" w:after="0" w:line="240" w:lineRule="auto"/>
              <w:jc w:val="left"/>
            </w:pPr>
            <w:r>
              <w:rPr>
                <w:rFonts w:ascii="Arial" w:hAnsi="Arial" w:eastAsia="Arial" w:cs="Times New Roman"/>
                <w:b w:val="0"/>
                <w:bCs w:val="0"/>
                <w:i w:val="0"/>
                <w:iCs w:val="0"/>
                <w:sz w:val="17"/>
                <w:szCs w:val="18"/>
              </w:rPr>
              <w:t>3,082</w:t>
            </w:r>
          </w:p>
        </w:tc>
        <w:tc>
          <w:tcPr>
            <w:tcW w:w="1400" w:type="dxa"/>
            <w:tcBorders>
              <w:bottom w:val="single" w:sz="8" w:color="000000"/>
            </w:tcBorders>
            <w:tcMar>
              <w:top w:w="20" w:type="dxa"/>
              <w:left w:w="80" w:type="dxa"/>
              <w:bottom w:w="20" w:type="dxa"/>
              <w:right w:w="80" w:type="dxa"/>
            </w:tcMar>
            <w:vAlign w:val="center"/>
          </w:tcPr>
          <w:p w14:paraId="2FD1DB41">
            <w:pPr>
              <w:spacing w:before="0" w:after="0" w:line="240" w:lineRule="auto"/>
              <w:jc w:val="left"/>
            </w:pPr>
            <w:r>
              <w:rPr>
                <w:rFonts w:ascii="Arial" w:hAnsi="Arial" w:eastAsia="Arial" w:cs="Times New Roman"/>
                <w:b w:val="0"/>
                <w:bCs w:val="0"/>
                <w:i w:val="0"/>
                <w:iCs w:val="0"/>
                <w:sz w:val="17"/>
                <w:szCs w:val="18"/>
              </w:rPr>
              <w:t>1,015</w:t>
            </w:r>
          </w:p>
        </w:tc>
        <w:tc>
          <w:tcPr>
            <w:tcW w:w="3538" w:type="dxa"/>
            <w:tcBorders>
              <w:bottom w:val="single" w:sz="8" w:color="000000"/>
            </w:tcBorders>
            <w:tcMar>
              <w:top w:w="20" w:type="dxa"/>
              <w:left w:w="80" w:type="dxa"/>
              <w:bottom w:w="20" w:type="dxa"/>
              <w:right w:w="80" w:type="dxa"/>
            </w:tcMar>
            <w:vAlign w:val="center"/>
          </w:tcPr>
          <w:p w14:paraId="0ABB8628">
            <w:pPr>
              <w:spacing w:before="0" w:after="0" w:line="240" w:lineRule="auto"/>
              <w:jc w:val="left"/>
            </w:pPr>
            <w:r>
              <w:rPr>
                <w:rFonts w:ascii="Arial" w:hAnsi="Arial" w:eastAsia="Arial" w:cs="Times New Roman"/>
                <w:b w:val="0"/>
                <w:bCs w:val="0"/>
                <w:i w:val="0"/>
                <w:iCs w:val="0"/>
                <w:sz w:val="17"/>
                <w:szCs w:val="18"/>
              </w:rPr>
              <w:t>1.49 (1.38–1.60)</w:t>
            </w:r>
          </w:p>
        </w:tc>
      </w:tr>
    </w:tbl>
    <w:p w14:paraId="7ED8CFD0">
      <w:pPr>
        <w:keepNext w:val="0"/>
        <w:spacing w:before="0" w:after="40" w:line="220" w:lineRule="auto"/>
        <w:jc w:val="left"/>
      </w:pPr>
      <w:r>
        <w:rPr>
          <w:rFonts w:ascii="Times New Roman" w:hAnsi="Times New Roman" w:eastAsia="Times New Roman" w:cs="Times New Roman"/>
          <w:b w:val="0"/>
          <w:bCs w:val="0"/>
          <w:i w:val="0"/>
          <w:iCs w:val="0"/>
          <w:sz w:val="17"/>
          <w:szCs w:val="17"/>
        </w:rPr>
        <w:t>Panel A: all rows are nested subsets of the common cohort (n = 1,482) and are adjusted for age, varicocele and both abstinence intervals. Dates but not examination times were available, so within-day order could not be established. The joint volume-by-interval interaction had a likelihood-ratio χ² of 21.17 with two degrees of freedom (</w:t>
      </w:r>
      <w:r>
        <w:rPr>
          <w:rFonts w:ascii="Times New Roman" w:hAnsi="Times New Roman" w:eastAsia="Times New Roman" w:cs="Times New Roman"/>
          <w:b w:val="0"/>
          <w:bCs w:val="0"/>
          <w:i/>
          <w:iCs/>
          <w:sz w:val="17"/>
          <w:szCs w:val="17"/>
        </w:rPr>
        <w:t>P</w:t>
      </w:r>
      <w:r>
        <w:rPr>
          <w:rFonts w:ascii="Times New Roman" w:hAnsi="Times New Roman" w:eastAsia="Times New Roman" w:cs="Times New Roman"/>
          <w:b w:val="0"/>
          <w:bCs w:val="0"/>
          <w:i w:val="0"/>
          <w:iCs w:val="0"/>
          <w:sz w:val="17"/>
          <w:szCs w:val="17"/>
        </w:rPr>
        <w:t xml:space="preserve"> = 2.5 × 10⁻⁵). This supports heterogeneity of the fitted associations across the recorded interval bands but does not identify its cause; timing-related measurement differences and selection remain plausible.</w:t>
      </w:r>
    </w:p>
    <w:p w14:paraId="14B7689B">
      <w:pPr>
        <w:keepNext w:val="0"/>
        <w:spacing w:before="0" w:after="40" w:line="220" w:lineRule="auto"/>
        <w:jc w:val="left"/>
      </w:pPr>
      <w:r>
        <w:rPr>
          <w:rFonts w:ascii="Times New Roman" w:hAnsi="Times New Roman" w:eastAsia="Times New Roman" w:cs="Times New Roman"/>
          <w:b w:val="0"/>
          <w:bCs w:val="0"/>
          <w:i w:val="0"/>
          <w:iCs w:val="0"/>
          <w:sz w:val="17"/>
          <w:szCs w:val="17"/>
        </w:rPr>
        <w:t>Panel B: these analyses use the closest ultrasound examination from the full dual-tested dataset and deliberately change the temporal eligibility rule. The exposure SD is fixed to that of the primary common cohort (2.73 mL). Models are adjusted for age, varicocele and a spline for semen-side abstinence. Ultrasound-side abstinence was unavailable across the full scan-order dataset, so these estimates are not directly exchangeable with the dual-abstinence primary model. The weaker estimate obtained when ultrasound followed DFI testing is compatible with scan-order selection or with other differences between analysis sets and does not provide a causal test of timing.</w:t>
      </w:r>
    </w:p>
    <w:p w14:paraId="54252816">
      <w:pPr>
        <w:keepNext w:val="0"/>
        <w:spacing w:before="0" w:after="40" w:line="220" w:lineRule="auto"/>
        <w:jc w:val="left"/>
      </w:pPr>
      <w:r>
        <w:rPr>
          <w:rFonts w:ascii="Times New Roman" w:hAnsi="Times New Roman" w:eastAsia="Times New Roman" w:cs="Times New Roman"/>
          <w:b w:val="0"/>
          <w:bCs w:val="0"/>
          <w:i w:val="0"/>
          <w:iCs w:val="0"/>
          <w:sz w:val="17"/>
          <w:szCs w:val="17"/>
        </w:rPr>
        <w:t>CI, confidence interval; DFI, sperm DNA fragmentation index; OR, odds ratio; SD, standard deviation.</w:t>
      </w:r>
    </w:p>
    <w:p w14:paraId="40B31F44">
      <w:r>
        <w:br w:type="page"/>
      </w:r>
    </w:p>
    <w:p w14:paraId="2E8AA605">
      <w:pPr>
        <w:keepNext/>
        <w:spacing w:before="0" w:after="100" w:line="240" w:lineRule="auto"/>
        <w:jc w:val="left"/>
      </w:pPr>
      <w:r>
        <w:rPr>
          <w:rFonts w:ascii="Times New Roman" w:hAnsi="Times New Roman" w:eastAsia="Times New Roman" w:cs="Times New Roman"/>
          <w:b/>
          <w:bCs/>
          <w:i w:val="0"/>
          <w:iCs w:val="0"/>
          <w:sz w:val="22"/>
          <w:szCs w:val="22"/>
        </w:rPr>
        <w:t>Supplementary Table S9. Semen parameters before and after antibiotic monotherapy in the exploratory treatment cohort</w:t>
      </w:r>
    </w:p>
    <w:tbl>
      <w:tblPr>
        <w:tblStyle w:val="11"/>
        <w:tblW w:w="5000" w:type="pct"/>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320"/>
        <w:gridCol w:w="893"/>
        <w:gridCol w:w="1492"/>
        <w:gridCol w:w="1492"/>
        <w:gridCol w:w="1492"/>
        <w:gridCol w:w="1005"/>
        <w:gridCol w:w="944"/>
      </w:tblGrid>
      <w:tr w14:paraId="6EEDBA4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blHeader/>
        </w:trPr>
        <w:tc>
          <w:tcPr>
            <w:tcW w:w="2338" w:type="dxa"/>
            <w:tcBorders>
              <w:top w:val="single" w:sz="8" w:color="000000"/>
              <w:bottom w:val="single" w:sz="8" w:color="000000"/>
            </w:tcBorders>
            <w:tcMar>
              <w:top w:w="20" w:type="dxa"/>
              <w:left w:w="80" w:type="dxa"/>
              <w:bottom w:w="20" w:type="dxa"/>
              <w:right w:w="80" w:type="dxa"/>
            </w:tcMar>
            <w:vAlign w:val="center"/>
          </w:tcPr>
          <w:p w14:paraId="70558DF1">
            <w:pPr>
              <w:spacing w:before="0" w:after="0" w:line="240" w:lineRule="auto"/>
              <w:jc w:val="left"/>
            </w:pPr>
            <w:r>
              <w:rPr>
                <w:rFonts w:ascii="Arial" w:hAnsi="Arial" w:eastAsia="Arial" w:cs="Times New Roman"/>
                <w:b/>
                <w:bCs/>
                <w:i w:val="0"/>
                <w:iCs w:val="0"/>
                <w:sz w:val="17"/>
                <w:szCs w:val="18"/>
              </w:rPr>
              <w:t>Parameter</w:t>
            </w:r>
          </w:p>
        </w:tc>
        <w:tc>
          <w:tcPr>
            <w:tcW w:w="900" w:type="dxa"/>
            <w:tcBorders>
              <w:top w:val="single" w:sz="8" w:color="000000"/>
              <w:bottom w:val="single" w:sz="8" w:color="000000"/>
            </w:tcBorders>
            <w:tcMar>
              <w:top w:w="20" w:type="dxa"/>
              <w:left w:w="80" w:type="dxa"/>
              <w:bottom w:w="20" w:type="dxa"/>
              <w:right w:w="80" w:type="dxa"/>
            </w:tcMar>
            <w:vAlign w:val="center"/>
          </w:tcPr>
          <w:p w14:paraId="761CAAB5">
            <w:pPr>
              <w:spacing w:before="0" w:after="0" w:line="240" w:lineRule="auto"/>
              <w:jc w:val="left"/>
            </w:pPr>
            <w:r>
              <w:rPr>
                <w:rFonts w:ascii="Arial" w:hAnsi="Arial" w:eastAsia="Arial" w:cs="Times New Roman"/>
                <w:b/>
                <w:bCs/>
                <w:i w:val="0"/>
                <w:iCs w:val="0"/>
                <w:sz w:val="17"/>
                <w:szCs w:val="18"/>
              </w:rPr>
              <w:t>n</w:t>
            </w:r>
          </w:p>
        </w:tc>
        <w:tc>
          <w:tcPr>
            <w:tcW w:w="1500" w:type="dxa"/>
            <w:tcBorders>
              <w:top w:val="single" w:sz="8" w:color="000000"/>
              <w:bottom w:val="single" w:sz="8" w:color="000000"/>
            </w:tcBorders>
            <w:tcMar>
              <w:top w:w="20" w:type="dxa"/>
              <w:left w:w="80" w:type="dxa"/>
              <w:bottom w:w="20" w:type="dxa"/>
              <w:right w:w="80" w:type="dxa"/>
            </w:tcMar>
            <w:vAlign w:val="center"/>
          </w:tcPr>
          <w:p w14:paraId="293861DF">
            <w:pPr>
              <w:spacing w:before="0" w:after="0" w:line="240" w:lineRule="auto"/>
              <w:jc w:val="left"/>
            </w:pPr>
            <w:r>
              <w:rPr>
                <w:rFonts w:ascii="Arial" w:hAnsi="Arial" w:eastAsia="Arial" w:cs="Times New Roman"/>
                <w:b/>
                <w:bCs/>
                <w:i w:val="0"/>
                <w:iCs w:val="0"/>
                <w:sz w:val="17"/>
                <w:szCs w:val="18"/>
              </w:rPr>
              <w:t>Pre-treatment median</w:t>
            </w:r>
          </w:p>
        </w:tc>
        <w:tc>
          <w:tcPr>
            <w:tcW w:w="1500" w:type="dxa"/>
            <w:tcBorders>
              <w:top w:val="single" w:sz="8" w:color="000000"/>
              <w:bottom w:val="single" w:sz="8" w:color="000000"/>
            </w:tcBorders>
            <w:tcMar>
              <w:top w:w="20" w:type="dxa"/>
              <w:left w:w="80" w:type="dxa"/>
              <w:bottom w:w="20" w:type="dxa"/>
              <w:right w:w="80" w:type="dxa"/>
            </w:tcMar>
            <w:vAlign w:val="center"/>
          </w:tcPr>
          <w:p w14:paraId="71B20650">
            <w:pPr>
              <w:spacing w:before="0" w:after="0" w:line="240" w:lineRule="auto"/>
              <w:jc w:val="left"/>
            </w:pPr>
            <w:r>
              <w:rPr>
                <w:rFonts w:ascii="Arial" w:hAnsi="Arial" w:eastAsia="Arial" w:cs="Times New Roman"/>
                <w:b/>
                <w:bCs/>
                <w:i w:val="0"/>
                <w:iCs w:val="0"/>
                <w:sz w:val="17"/>
                <w:szCs w:val="18"/>
              </w:rPr>
              <w:t>Post-treatment median</w:t>
            </w:r>
          </w:p>
        </w:tc>
        <w:tc>
          <w:tcPr>
            <w:tcW w:w="1500" w:type="dxa"/>
            <w:tcBorders>
              <w:top w:val="single" w:sz="8" w:color="000000"/>
              <w:bottom w:val="single" w:sz="8" w:color="000000"/>
            </w:tcBorders>
            <w:tcMar>
              <w:top w:w="20" w:type="dxa"/>
              <w:left w:w="80" w:type="dxa"/>
              <w:bottom w:w="20" w:type="dxa"/>
              <w:right w:w="80" w:type="dxa"/>
            </w:tcMar>
            <w:vAlign w:val="center"/>
          </w:tcPr>
          <w:p w14:paraId="17DA4A6C">
            <w:pPr>
              <w:spacing w:before="0" w:after="0" w:line="240" w:lineRule="auto"/>
              <w:jc w:val="left"/>
            </w:pPr>
            <w:r>
              <w:rPr>
                <w:rFonts w:ascii="Arial" w:hAnsi="Arial" w:eastAsia="Arial" w:cs="Times New Roman"/>
                <w:b/>
                <w:bCs/>
                <w:i w:val="0"/>
                <w:iCs w:val="0"/>
                <w:sz w:val="17"/>
                <w:szCs w:val="18"/>
              </w:rPr>
              <w:t>Median paired difference</w:t>
            </w:r>
          </w:p>
        </w:tc>
        <w:tc>
          <w:tcPr>
            <w:tcW w:w="950" w:type="dxa"/>
            <w:tcBorders>
              <w:top w:val="single" w:sz="8" w:color="000000"/>
              <w:bottom w:val="single" w:sz="8" w:color="000000"/>
            </w:tcBorders>
            <w:tcMar>
              <w:top w:w="20" w:type="dxa"/>
              <w:left w:w="80" w:type="dxa"/>
              <w:bottom w:w="20" w:type="dxa"/>
              <w:right w:w="80" w:type="dxa"/>
            </w:tcMar>
            <w:vAlign w:val="center"/>
          </w:tcPr>
          <w:p w14:paraId="21D37A68">
            <w:pPr>
              <w:spacing w:before="0" w:after="0" w:line="240" w:lineRule="auto"/>
              <w:jc w:val="left"/>
            </w:pPr>
            <w:r>
              <w:rPr>
                <w:rFonts w:ascii="Arial" w:hAnsi="Arial" w:eastAsia="Arial" w:cs="Times New Roman"/>
                <w:b/>
                <w:bCs/>
                <w:i w:val="0"/>
                <w:iCs w:val="0"/>
                <w:sz w:val="17"/>
                <w:szCs w:val="18"/>
              </w:rPr>
              <w:t>Improved (%)</w:t>
            </w:r>
          </w:p>
        </w:tc>
        <w:tc>
          <w:tcPr>
            <w:tcW w:w="950" w:type="dxa"/>
            <w:tcBorders>
              <w:top w:val="single" w:sz="8" w:color="000000"/>
              <w:bottom w:val="single" w:sz="8" w:color="000000"/>
            </w:tcBorders>
            <w:tcMar>
              <w:top w:w="20" w:type="dxa"/>
              <w:left w:w="80" w:type="dxa"/>
              <w:bottom w:w="20" w:type="dxa"/>
              <w:right w:w="80" w:type="dxa"/>
            </w:tcMar>
            <w:vAlign w:val="center"/>
          </w:tcPr>
          <w:p w14:paraId="1EA599A9">
            <w:pPr>
              <w:spacing w:before="0" w:after="0" w:line="240" w:lineRule="auto"/>
              <w:jc w:val="left"/>
            </w:pPr>
            <w:r>
              <w:rPr>
                <w:rFonts w:ascii="Arial" w:hAnsi="Arial" w:eastAsia="Arial" w:cs="Times New Roman"/>
                <w:b/>
                <w:bCs/>
                <w:i/>
                <w:iCs/>
                <w:sz w:val="17"/>
                <w:szCs w:val="18"/>
              </w:rPr>
              <w:t>P</w:t>
            </w:r>
          </w:p>
        </w:tc>
      </w:tr>
      <w:tr w14:paraId="1940C27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338" w:type="dxa"/>
            <w:tcBorders/>
            <w:tcMar>
              <w:top w:w="20" w:type="dxa"/>
              <w:left w:w="80" w:type="dxa"/>
              <w:bottom w:w="20" w:type="dxa"/>
              <w:right w:w="80" w:type="dxa"/>
            </w:tcMar>
            <w:vAlign w:val="center"/>
          </w:tcPr>
          <w:p w14:paraId="0937CBB0">
            <w:pPr>
              <w:spacing w:before="0" w:after="0" w:line="240" w:lineRule="auto"/>
              <w:jc w:val="left"/>
            </w:pPr>
            <w:r>
              <w:rPr>
                <w:rFonts w:ascii="Arial" w:hAnsi="Arial" w:eastAsia="Arial" w:cs="Times New Roman"/>
                <w:b w:val="0"/>
                <w:bCs w:val="0"/>
                <w:i w:val="0"/>
                <w:iCs w:val="0"/>
                <w:sz w:val="17"/>
                <w:szCs w:val="18"/>
              </w:rPr>
              <w:t>DFI (%)</w:t>
            </w:r>
          </w:p>
        </w:tc>
        <w:tc>
          <w:tcPr>
            <w:tcW w:w="900" w:type="dxa"/>
            <w:tcBorders/>
            <w:tcMar>
              <w:top w:w="20" w:type="dxa"/>
              <w:left w:w="80" w:type="dxa"/>
              <w:bottom w:w="20" w:type="dxa"/>
              <w:right w:w="80" w:type="dxa"/>
            </w:tcMar>
            <w:vAlign w:val="center"/>
          </w:tcPr>
          <w:p w14:paraId="05E92A2A">
            <w:pPr>
              <w:spacing w:before="0" w:after="0" w:line="240" w:lineRule="auto"/>
              <w:jc w:val="left"/>
            </w:pPr>
            <w:r>
              <w:rPr>
                <w:rFonts w:ascii="Arial" w:hAnsi="Arial" w:eastAsia="Arial" w:cs="Times New Roman"/>
                <w:b w:val="0"/>
                <w:bCs w:val="0"/>
                <w:i w:val="0"/>
                <w:iCs w:val="0"/>
                <w:sz w:val="17"/>
                <w:szCs w:val="18"/>
              </w:rPr>
              <w:t>24</w:t>
            </w:r>
          </w:p>
        </w:tc>
        <w:tc>
          <w:tcPr>
            <w:tcW w:w="1500" w:type="dxa"/>
            <w:tcBorders/>
            <w:tcMar>
              <w:top w:w="20" w:type="dxa"/>
              <w:left w:w="80" w:type="dxa"/>
              <w:bottom w:w="20" w:type="dxa"/>
              <w:right w:w="80" w:type="dxa"/>
            </w:tcMar>
            <w:vAlign w:val="center"/>
          </w:tcPr>
          <w:p w14:paraId="29945D60">
            <w:pPr>
              <w:spacing w:before="0" w:after="0" w:line="240" w:lineRule="auto"/>
              <w:jc w:val="left"/>
            </w:pPr>
            <w:r>
              <w:rPr>
                <w:rFonts w:ascii="Arial" w:hAnsi="Arial" w:eastAsia="Arial" w:cs="Times New Roman"/>
                <w:b w:val="0"/>
                <w:bCs w:val="0"/>
                <w:i w:val="0"/>
                <w:iCs w:val="0"/>
                <w:sz w:val="17"/>
                <w:szCs w:val="18"/>
              </w:rPr>
              <w:t>38.2</w:t>
            </w:r>
          </w:p>
        </w:tc>
        <w:tc>
          <w:tcPr>
            <w:tcW w:w="1500" w:type="dxa"/>
            <w:tcBorders/>
            <w:tcMar>
              <w:top w:w="20" w:type="dxa"/>
              <w:left w:w="80" w:type="dxa"/>
              <w:bottom w:w="20" w:type="dxa"/>
              <w:right w:w="80" w:type="dxa"/>
            </w:tcMar>
            <w:vAlign w:val="center"/>
          </w:tcPr>
          <w:p w14:paraId="773144AA">
            <w:pPr>
              <w:spacing w:before="0" w:after="0" w:line="240" w:lineRule="auto"/>
              <w:jc w:val="left"/>
            </w:pPr>
            <w:r>
              <w:rPr>
                <w:rFonts w:ascii="Arial" w:hAnsi="Arial" w:eastAsia="Arial" w:cs="Times New Roman"/>
                <w:b w:val="0"/>
                <w:bCs w:val="0"/>
                <w:i w:val="0"/>
                <w:iCs w:val="0"/>
                <w:sz w:val="17"/>
                <w:szCs w:val="18"/>
              </w:rPr>
              <w:t>27.7</w:t>
            </w:r>
          </w:p>
        </w:tc>
        <w:tc>
          <w:tcPr>
            <w:tcW w:w="1500" w:type="dxa"/>
            <w:tcBorders/>
            <w:tcMar>
              <w:top w:w="20" w:type="dxa"/>
              <w:left w:w="80" w:type="dxa"/>
              <w:bottom w:w="20" w:type="dxa"/>
              <w:right w:w="80" w:type="dxa"/>
            </w:tcMar>
            <w:vAlign w:val="center"/>
          </w:tcPr>
          <w:p w14:paraId="27FAC87F">
            <w:pPr>
              <w:spacing w:before="0" w:after="0" w:line="240" w:lineRule="auto"/>
              <w:jc w:val="left"/>
            </w:pPr>
            <w:r>
              <w:rPr>
                <w:rFonts w:ascii="Arial" w:hAnsi="Arial" w:eastAsia="Arial" w:cs="Times New Roman"/>
                <w:b w:val="0"/>
                <w:bCs w:val="0"/>
                <w:i w:val="0"/>
                <w:iCs w:val="0"/>
                <w:sz w:val="17"/>
                <w:szCs w:val="18"/>
              </w:rPr>
              <w:t>−13.5</w:t>
            </w:r>
          </w:p>
        </w:tc>
        <w:tc>
          <w:tcPr>
            <w:tcW w:w="950" w:type="dxa"/>
            <w:tcBorders/>
            <w:tcMar>
              <w:top w:w="20" w:type="dxa"/>
              <w:left w:w="80" w:type="dxa"/>
              <w:bottom w:w="20" w:type="dxa"/>
              <w:right w:w="80" w:type="dxa"/>
            </w:tcMar>
            <w:vAlign w:val="center"/>
          </w:tcPr>
          <w:p w14:paraId="206987BA">
            <w:pPr>
              <w:spacing w:before="0" w:after="0" w:line="240" w:lineRule="auto"/>
              <w:jc w:val="left"/>
            </w:pPr>
            <w:r>
              <w:rPr>
                <w:rFonts w:ascii="Arial" w:hAnsi="Arial" w:eastAsia="Arial" w:cs="Times New Roman"/>
                <w:b w:val="0"/>
                <w:bCs w:val="0"/>
                <w:i w:val="0"/>
                <w:iCs w:val="0"/>
                <w:sz w:val="17"/>
                <w:szCs w:val="18"/>
              </w:rPr>
              <w:t>88</w:t>
            </w:r>
          </w:p>
        </w:tc>
        <w:tc>
          <w:tcPr>
            <w:tcW w:w="950" w:type="dxa"/>
            <w:tcBorders/>
            <w:tcMar>
              <w:top w:w="20" w:type="dxa"/>
              <w:left w:w="80" w:type="dxa"/>
              <w:bottom w:w="20" w:type="dxa"/>
              <w:right w:w="80" w:type="dxa"/>
            </w:tcMar>
            <w:vAlign w:val="center"/>
          </w:tcPr>
          <w:p w14:paraId="187CBD52">
            <w:pPr>
              <w:spacing w:before="0" w:after="0" w:line="240" w:lineRule="auto"/>
              <w:jc w:val="left"/>
            </w:pPr>
            <w:r>
              <w:rPr>
                <w:rFonts w:ascii="Arial" w:hAnsi="Arial" w:eastAsia="Arial" w:cs="Times New Roman"/>
                <w:b w:val="0"/>
                <w:bCs w:val="0"/>
                <w:i w:val="0"/>
                <w:iCs w:val="0"/>
                <w:sz w:val="17"/>
                <w:szCs w:val="18"/>
              </w:rPr>
              <w:t>&lt; 0.001</w:t>
            </w:r>
          </w:p>
        </w:tc>
      </w:tr>
      <w:tr w14:paraId="0C2015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338" w:type="dxa"/>
            <w:tcBorders/>
            <w:tcMar>
              <w:top w:w="20" w:type="dxa"/>
              <w:left w:w="80" w:type="dxa"/>
              <w:bottom w:w="20" w:type="dxa"/>
              <w:right w:w="80" w:type="dxa"/>
            </w:tcMar>
            <w:vAlign w:val="center"/>
          </w:tcPr>
          <w:p w14:paraId="27AAFA0F">
            <w:pPr>
              <w:spacing w:before="0" w:after="0" w:line="240" w:lineRule="auto"/>
              <w:jc w:val="left"/>
            </w:pPr>
            <w:r>
              <w:rPr>
                <w:rFonts w:ascii="Arial" w:hAnsi="Arial" w:eastAsia="Arial" w:cs="Times New Roman"/>
                <w:b w:val="0"/>
                <w:bCs w:val="0"/>
                <w:i w:val="0"/>
                <w:iCs w:val="0"/>
                <w:sz w:val="17"/>
                <w:szCs w:val="18"/>
              </w:rPr>
              <w:t>Progressive motility (%)</w:t>
            </w:r>
          </w:p>
        </w:tc>
        <w:tc>
          <w:tcPr>
            <w:tcW w:w="900" w:type="dxa"/>
            <w:tcBorders/>
            <w:tcMar>
              <w:top w:w="20" w:type="dxa"/>
              <w:left w:w="80" w:type="dxa"/>
              <w:bottom w:w="20" w:type="dxa"/>
              <w:right w:w="80" w:type="dxa"/>
            </w:tcMar>
            <w:vAlign w:val="center"/>
          </w:tcPr>
          <w:p w14:paraId="1C94CAA1">
            <w:pPr>
              <w:spacing w:before="0" w:after="0" w:line="240" w:lineRule="auto"/>
              <w:jc w:val="left"/>
            </w:pPr>
            <w:r>
              <w:rPr>
                <w:rFonts w:ascii="Arial" w:hAnsi="Arial" w:eastAsia="Arial" w:cs="Times New Roman"/>
                <w:b w:val="0"/>
                <w:bCs w:val="0"/>
                <w:i w:val="0"/>
                <w:iCs w:val="0"/>
                <w:sz w:val="17"/>
                <w:szCs w:val="18"/>
              </w:rPr>
              <w:t>101</w:t>
            </w:r>
          </w:p>
        </w:tc>
        <w:tc>
          <w:tcPr>
            <w:tcW w:w="1500" w:type="dxa"/>
            <w:tcBorders/>
            <w:tcMar>
              <w:top w:w="20" w:type="dxa"/>
              <w:left w:w="80" w:type="dxa"/>
              <w:bottom w:w="20" w:type="dxa"/>
              <w:right w:w="80" w:type="dxa"/>
            </w:tcMar>
            <w:vAlign w:val="center"/>
          </w:tcPr>
          <w:p w14:paraId="16FAE19D">
            <w:pPr>
              <w:spacing w:before="0" w:after="0" w:line="240" w:lineRule="auto"/>
              <w:jc w:val="left"/>
            </w:pPr>
            <w:r>
              <w:rPr>
                <w:rFonts w:ascii="Arial" w:hAnsi="Arial" w:eastAsia="Arial" w:cs="Times New Roman"/>
                <w:b w:val="0"/>
                <w:bCs w:val="0"/>
                <w:i w:val="0"/>
                <w:iCs w:val="0"/>
                <w:sz w:val="17"/>
                <w:szCs w:val="18"/>
              </w:rPr>
              <w:t>18.7</w:t>
            </w:r>
          </w:p>
        </w:tc>
        <w:tc>
          <w:tcPr>
            <w:tcW w:w="1500" w:type="dxa"/>
            <w:tcBorders/>
            <w:tcMar>
              <w:top w:w="20" w:type="dxa"/>
              <w:left w:w="80" w:type="dxa"/>
              <w:bottom w:w="20" w:type="dxa"/>
              <w:right w:w="80" w:type="dxa"/>
            </w:tcMar>
            <w:vAlign w:val="center"/>
          </w:tcPr>
          <w:p w14:paraId="174B219A">
            <w:pPr>
              <w:spacing w:before="0" w:after="0" w:line="240" w:lineRule="auto"/>
              <w:jc w:val="left"/>
            </w:pPr>
            <w:r>
              <w:rPr>
                <w:rFonts w:ascii="Arial" w:hAnsi="Arial" w:eastAsia="Arial" w:cs="Times New Roman"/>
                <w:b w:val="0"/>
                <w:bCs w:val="0"/>
                <w:i w:val="0"/>
                <w:iCs w:val="0"/>
                <w:sz w:val="17"/>
                <w:szCs w:val="18"/>
              </w:rPr>
              <w:t>26.0</w:t>
            </w:r>
          </w:p>
        </w:tc>
        <w:tc>
          <w:tcPr>
            <w:tcW w:w="1500" w:type="dxa"/>
            <w:tcBorders/>
            <w:tcMar>
              <w:top w:w="20" w:type="dxa"/>
              <w:left w:w="80" w:type="dxa"/>
              <w:bottom w:w="20" w:type="dxa"/>
              <w:right w:w="80" w:type="dxa"/>
            </w:tcMar>
            <w:vAlign w:val="center"/>
          </w:tcPr>
          <w:p w14:paraId="75F98589">
            <w:pPr>
              <w:spacing w:before="0" w:after="0" w:line="240" w:lineRule="auto"/>
              <w:jc w:val="left"/>
            </w:pPr>
            <w:r>
              <w:rPr>
                <w:rFonts w:ascii="Arial" w:hAnsi="Arial" w:eastAsia="Arial" w:cs="Times New Roman"/>
                <w:b w:val="0"/>
                <w:bCs w:val="0"/>
                <w:i w:val="0"/>
                <w:iCs w:val="0"/>
                <w:sz w:val="17"/>
                <w:szCs w:val="18"/>
              </w:rPr>
              <w:t>+4.0</w:t>
            </w:r>
          </w:p>
        </w:tc>
        <w:tc>
          <w:tcPr>
            <w:tcW w:w="950" w:type="dxa"/>
            <w:tcBorders/>
            <w:tcMar>
              <w:top w:w="20" w:type="dxa"/>
              <w:left w:w="80" w:type="dxa"/>
              <w:bottom w:w="20" w:type="dxa"/>
              <w:right w:w="80" w:type="dxa"/>
            </w:tcMar>
            <w:vAlign w:val="center"/>
          </w:tcPr>
          <w:p w14:paraId="3629762F">
            <w:pPr>
              <w:spacing w:before="0" w:after="0" w:line="240" w:lineRule="auto"/>
              <w:jc w:val="left"/>
            </w:pPr>
            <w:r>
              <w:rPr>
                <w:rFonts w:ascii="Arial" w:hAnsi="Arial" w:eastAsia="Arial" w:cs="Times New Roman"/>
                <w:b w:val="0"/>
                <w:bCs w:val="0"/>
                <w:i w:val="0"/>
                <w:iCs w:val="0"/>
                <w:sz w:val="17"/>
                <w:szCs w:val="18"/>
              </w:rPr>
              <w:t>69</w:t>
            </w:r>
          </w:p>
        </w:tc>
        <w:tc>
          <w:tcPr>
            <w:tcW w:w="950" w:type="dxa"/>
            <w:tcBorders/>
            <w:tcMar>
              <w:top w:w="20" w:type="dxa"/>
              <w:left w:w="80" w:type="dxa"/>
              <w:bottom w:w="20" w:type="dxa"/>
              <w:right w:w="80" w:type="dxa"/>
            </w:tcMar>
            <w:vAlign w:val="center"/>
          </w:tcPr>
          <w:p w14:paraId="6313BA4E">
            <w:pPr>
              <w:spacing w:before="0" w:after="0" w:line="240" w:lineRule="auto"/>
              <w:jc w:val="left"/>
            </w:pPr>
            <w:r>
              <w:rPr>
                <w:rFonts w:ascii="Arial" w:hAnsi="Arial" w:eastAsia="Arial" w:cs="Times New Roman"/>
                <w:b w:val="0"/>
                <w:bCs w:val="0"/>
                <w:i w:val="0"/>
                <w:iCs w:val="0"/>
                <w:sz w:val="17"/>
                <w:szCs w:val="18"/>
              </w:rPr>
              <w:t>&lt; 0.001</w:t>
            </w:r>
          </w:p>
        </w:tc>
      </w:tr>
      <w:tr w14:paraId="1DCFB6B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338" w:type="dxa"/>
            <w:tcBorders/>
            <w:tcMar>
              <w:top w:w="20" w:type="dxa"/>
              <w:left w:w="80" w:type="dxa"/>
              <w:bottom w:w="20" w:type="dxa"/>
              <w:right w:w="80" w:type="dxa"/>
            </w:tcMar>
            <w:vAlign w:val="center"/>
          </w:tcPr>
          <w:p w14:paraId="351C1D23">
            <w:pPr>
              <w:spacing w:before="0" w:after="0" w:line="240" w:lineRule="auto"/>
              <w:jc w:val="left"/>
            </w:pPr>
            <w:r>
              <w:rPr>
                <w:rFonts w:ascii="Arial" w:hAnsi="Arial" w:eastAsia="Arial" w:cs="Times New Roman"/>
                <w:b w:val="0"/>
                <w:bCs w:val="0"/>
                <w:i w:val="0"/>
                <w:iCs w:val="0"/>
                <w:sz w:val="17"/>
                <w:szCs w:val="18"/>
              </w:rPr>
              <w:t>Total motility (%)</w:t>
            </w:r>
          </w:p>
        </w:tc>
        <w:tc>
          <w:tcPr>
            <w:tcW w:w="900" w:type="dxa"/>
            <w:tcBorders/>
            <w:tcMar>
              <w:top w:w="20" w:type="dxa"/>
              <w:left w:w="80" w:type="dxa"/>
              <w:bottom w:w="20" w:type="dxa"/>
              <w:right w:w="80" w:type="dxa"/>
            </w:tcMar>
            <w:vAlign w:val="center"/>
          </w:tcPr>
          <w:p w14:paraId="07CC7C61">
            <w:pPr>
              <w:spacing w:before="0" w:after="0" w:line="240" w:lineRule="auto"/>
              <w:jc w:val="left"/>
            </w:pPr>
            <w:r>
              <w:rPr>
                <w:rFonts w:ascii="Arial" w:hAnsi="Arial" w:eastAsia="Arial" w:cs="Times New Roman"/>
                <w:b w:val="0"/>
                <w:bCs w:val="0"/>
                <w:i w:val="0"/>
                <w:iCs w:val="0"/>
                <w:sz w:val="17"/>
                <w:szCs w:val="18"/>
              </w:rPr>
              <w:t>98</w:t>
            </w:r>
          </w:p>
        </w:tc>
        <w:tc>
          <w:tcPr>
            <w:tcW w:w="1500" w:type="dxa"/>
            <w:tcBorders/>
            <w:tcMar>
              <w:top w:w="20" w:type="dxa"/>
              <w:left w:w="80" w:type="dxa"/>
              <w:bottom w:w="20" w:type="dxa"/>
              <w:right w:w="80" w:type="dxa"/>
            </w:tcMar>
            <w:vAlign w:val="center"/>
          </w:tcPr>
          <w:p w14:paraId="47478339">
            <w:pPr>
              <w:spacing w:before="0" w:after="0" w:line="240" w:lineRule="auto"/>
              <w:jc w:val="left"/>
            </w:pPr>
            <w:r>
              <w:rPr>
                <w:rFonts w:ascii="Arial" w:hAnsi="Arial" w:eastAsia="Arial" w:cs="Times New Roman"/>
                <w:b w:val="0"/>
                <w:bCs w:val="0"/>
                <w:i w:val="0"/>
                <w:iCs w:val="0"/>
                <w:sz w:val="17"/>
                <w:szCs w:val="18"/>
              </w:rPr>
              <w:t>28.0</w:t>
            </w:r>
          </w:p>
        </w:tc>
        <w:tc>
          <w:tcPr>
            <w:tcW w:w="1500" w:type="dxa"/>
            <w:tcBorders/>
            <w:tcMar>
              <w:top w:w="20" w:type="dxa"/>
              <w:left w:w="80" w:type="dxa"/>
              <w:bottom w:w="20" w:type="dxa"/>
              <w:right w:w="80" w:type="dxa"/>
            </w:tcMar>
            <w:vAlign w:val="center"/>
          </w:tcPr>
          <w:p w14:paraId="5F61F3FF">
            <w:pPr>
              <w:spacing w:before="0" w:after="0" w:line="240" w:lineRule="auto"/>
              <w:jc w:val="left"/>
            </w:pPr>
            <w:r>
              <w:rPr>
                <w:rFonts w:ascii="Arial" w:hAnsi="Arial" w:eastAsia="Arial" w:cs="Times New Roman"/>
                <w:b w:val="0"/>
                <w:bCs w:val="0"/>
                <w:i w:val="0"/>
                <w:iCs w:val="0"/>
                <w:sz w:val="17"/>
                <w:szCs w:val="18"/>
              </w:rPr>
              <w:t>36.0</w:t>
            </w:r>
          </w:p>
        </w:tc>
        <w:tc>
          <w:tcPr>
            <w:tcW w:w="1500" w:type="dxa"/>
            <w:tcBorders/>
            <w:tcMar>
              <w:top w:w="20" w:type="dxa"/>
              <w:left w:w="80" w:type="dxa"/>
              <w:bottom w:w="20" w:type="dxa"/>
              <w:right w:w="80" w:type="dxa"/>
            </w:tcMar>
            <w:vAlign w:val="center"/>
          </w:tcPr>
          <w:p w14:paraId="73F32508">
            <w:pPr>
              <w:spacing w:before="0" w:after="0" w:line="240" w:lineRule="auto"/>
              <w:jc w:val="left"/>
            </w:pPr>
            <w:r>
              <w:rPr>
                <w:rFonts w:ascii="Arial" w:hAnsi="Arial" w:eastAsia="Arial" w:cs="Times New Roman"/>
                <w:b w:val="0"/>
                <w:bCs w:val="0"/>
                <w:i w:val="0"/>
                <w:iCs w:val="0"/>
                <w:sz w:val="17"/>
                <w:szCs w:val="18"/>
              </w:rPr>
              <w:t>+4.8</w:t>
            </w:r>
          </w:p>
        </w:tc>
        <w:tc>
          <w:tcPr>
            <w:tcW w:w="950" w:type="dxa"/>
            <w:tcBorders/>
            <w:tcMar>
              <w:top w:w="20" w:type="dxa"/>
              <w:left w:w="80" w:type="dxa"/>
              <w:bottom w:w="20" w:type="dxa"/>
              <w:right w:w="80" w:type="dxa"/>
            </w:tcMar>
            <w:vAlign w:val="center"/>
          </w:tcPr>
          <w:p w14:paraId="3FA90BF3">
            <w:pPr>
              <w:spacing w:before="0" w:after="0" w:line="240" w:lineRule="auto"/>
              <w:jc w:val="left"/>
            </w:pPr>
            <w:r>
              <w:rPr>
                <w:rFonts w:ascii="Arial" w:hAnsi="Arial" w:eastAsia="Arial" w:cs="Times New Roman"/>
                <w:b w:val="0"/>
                <w:bCs w:val="0"/>
                <w:i w:val="0"/>
                <w:iCs w:val="0"/>
                <w:sz w:val="17"/>
                <w:szCs w:val="18"/>
              </w:rPr>
              <w:t>67</w:t>
            </w:r>
          </w:p>
        </w:tc>
        <w:tc>
          <w:tcPr>
            <w:tcW w:w="950" w:type="dxa"/>
            <w:tcBorders/>
            <w:tcMar>
              <w:top w:w="20" w:type="dxa"/>
              <w:left w:w="80" w:type="dxa"/>
              <w:bottom w:w="20" w:type="dxa"/>
              <w:right w:w="80" w:type="dxa"/>
            </w:tcMar>
            <w:vAlign w:val="center"/>
          </w:tcPr>
          <w:p w14:paraId="6C1253F7">
            <w:pPr>
              <w:spacing w:before="0" w:after="0" w:line="240" w:lineRule="auto"/>
              <w:jc w:val="left"/>
            </w:pPr>
            <w:r>
              <w:rPr>
                <w:rFonts w:ascii="Arial" w:hAnsi="Arial" w:eastAsia="Arial" w:cs="Times New Roman"/>
                <w:b w:val="0"/>
                <w:bCs w:val="0"/>
                <w:i w:val="0"/>
                <w:iCs w:val="0"/>
                <w:sz w:val="17"/>
                <w:szCs w:val="18"/>
              </w:rPr>
              <w:t>&lt; 0.001</w:t>
            </w:r>
          </w:p>
        </w:tc>
      </w:tr>
      <w:tr w14:paraId="46E2C1B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338" w:type="dxa"/>
            <w:tcBorders/>
            <w:tcMar>
              <w:top w:w="20" w:type="dxa"/>
              <w:left w:w="80" w:type="dxa"/>
              <w:bottom w:w="20" w:type="dxa"/>
              <w:right w:w="80" w:type="dxa"/>
            </w:tcMar>
            <w:vAlign w:val="center"/>
          </w:tcPr>
          <w:p w14:paraId="48CCA393">
            <w:pPr>
              <w:spacing w:before="0" w:after="0" w:line="240" w:lineRule="auto"/>
              <w:jc w:val="left"/>
            </w:pPr>
            <w:r>
              <w:rPr>
                <w:rFonts w:ascii="Arial" w:hAnsi="Arial" w:eastAsia="Arial" w:cs="Times New Roman"/>
                <w:b w:val="0"/>
                <w:bCs w:val="0"/>
                <w:i w:val="0"/>
                <w:iCs w:val="0"/>
                <w:sz w:val="17"/>
                <w:szCs w:val="18"/>
              </w:rPr>
              <w:t>Sperm concentration (× 10</w:t>
            </w:r>
            <w:r>
              <w:rPr>
                <w:rFonts w:ascii="Arial" w:hAnsi="Arial" w:eastAsia="Arial" w:cs="Times New Roman"/>
                <w:b w:val="0"/>
                <w:bCs w:val="0"/>
                <w:i w:val="0"/>
                <w:iCs w:val="0"/>
                <w:sz w:val="17"/>
                <w:szCs w:val="18"/>
                <w:vertAlign w:val="superscript"/>
              </w:rPr>
              <w:t>6</w:t>
            </w:r>
            <w:r>
              <w:rPr>
                <w:rFonts w:ascii="Arial" w:hAnsi="Arial" w:eastAsia="Arial" w:cs="Times New Roman"/>
                <w:b w:val="0"/>
                <w:bCs w:val="0"/>
                <w:i w:val="0"/>
                <w:iCs w:val="0"/>
                <w:sz w:val="17"/>
                <w:szCs w:val="18"/>
              </w:rPr>
              <w:t>/mL)</w:t>
            </w:r>
          </w:p>
        </w:tc>
        <w:tc>
          <w:tcPr>
            <w:tcW w:w="900" w:type="dxa"/>
            <w:tcBorders/>
            <w:tcMar>
              <w:top w:w="20" w:type="dxa"/>
              <w:left w:w="80" w:type="dxa"/>
              <w:bottom w:w="20" w:type="dxa"/>
              <w:right w:w="80" w:type="dxa"/>
            </w:tcMar>
            <w:vAlign w:val="center"/>
          </w:tcPr>
          <w:p w14:paraId="6EE05E1F">
            <w:pPr>
              <w:spacing w:before="0" w:after="0" w:line="240" w:lineRule="auto"/>
              <w:jc w:val="left"/>
            </w:pPr>
            <w:r>
              <w:rPr>
                <w:rFonts w:ascii="Arial" w:hAnsi="Arial" w:eastAsia="Arial" w:cs="Times New Roman"/>
                <w:b w:val="0"/>
                <w:bCs w:val="0"/>
                <w:i w:val="0"/>
                <w:iCs w:val="0"/>
                <w:sz w:val="17"/>
                <w:szCs w:val="18"/>
              </w:rPr>
              <w:t>105</w:t>
            </w:r>
          </w:p>
        </w:tc>
        <w:tc>
          <w:tcPr>
            <w:tcW w:w="1500" w:type="dxa"/>
            <w:tcBorders/>
            <w:tcMar>
              <w:top w:w="20" w:type="dxa"/>
              <w:left w:w="80" w:type="dxa"/>
              <w:bottom w:w="20" w:type="dxa"/>
              <w:right w:w="80" w:type="dxa"/>
            </w:tcMar>
            <w:vAlign w:val="center"/>
          </w:tcPr>
          <w:p w14:paraId="674376A3">
            <w:pPr>
              <w:spacing w:before="0" w:after="0" w:line="240" w:lineRule="auto"/>
              <w:jc w:val="left"/>
            </w:pPr>
            <w:r>
              <w:rPr>
                <w:rFonts w:ascii="Arial" w:hAnsi="Arial" w:eastAsia="Arial" w:cs="Times New Roman"/>
                <w:b w:val="0"/>
                <w:bCs w:val="0"/>
                <w:i w:val="0"/>
                <w:iCs w:val="0"/>
                <w:sz w:val="17"/>
                <w:szCs w:val="18"/>
              </w:rPr>
              <w:t>37.7</w:t>
            </w:r>
          </w:p>
        </w:tc>
        <w:tc>
          <w:tcPr>
            <w:tcW w:w="1500" w:type="dxa"/>
            <w:tcBorders/>
            <w:tcMar>
              <w:top w:w="20" w:type="dxa"/>
              <w:left w:w="80" w:type="dxa"/>
              <w:bottom w:w="20" w:type="dxa"/>
              <w:right w:w="80" w:type="dxa"/>
            </w:tcMar>
            <w:vAlign w:val="center"/>
          </w:tcPr>
          <w:p w14:paraId="543997EE">
            <w:pPr>
              <w:spacing w:before="0" w:after="0" w:line="240" w:lineRule="auto"/>
              <w:jc w:val="left"/>
            </w:pPr>
            <w:r>
              <w:rPr>
                <w:rFonts w:ascii="Arial" w:hAnsi="Arial" w:eastAsia="Arial" w:cs="Times New Roman"/>
                <w:b w:val="0"/>
                <w:bCs w:val="0"/>
                <w:i w:val="0"/>
                <w:iCs w:val="0"/>
                <w:sz w:val="17"/>
                <w:szCs w:val="18"/>
              </w:rPr>
              <w:t>42.1</w:t>
            </w:r>
          </w:p>
        </w:tc>
        <w:tc>
          <w:tcPr>
            <w:tcW w:w="1500" w:type="dxa"/>
            <w:tcBorders/>
            <w:tcMar>
              <w:top w:w="20" w:type="dxa"/>
              <w:left w:w="80" w:type="dxa"/>
              <w:bottom w:w="20" w:type="dxa"/>
              <w:right w:w="80" w:type="dxa"/>
            </w:tcMar>
            <w:vAlign w:val="center"/>
          </w:tcPr>
          <w:p w14:paraId="7266370E">
            <w:pPr>
              <w:spacing w:before="0" w:after="0" w:line="240" w:lineRule="auto"/>
              <w:jc w:val="left"/>
            </w:pPr>
            <w:r>
              <w:rPr>
                <w:rFonts w:ascii="Arial" w:hAnsi="Arial" w:eastAsia="Arial" w:cs="Times New Roman"/>
                <w:b w:val="0"/>
                <w:bCs w:val="0"/>
                <w:i w:val="0"/>
                <w:iCs w:val="0"/>
                <w:sz w:val="17"/>
                <w:szCs w:val="18"/>
              </w:rPr>
              <w:t>0.0</w:t>
            </w:r>
          </w:p>
        </w:tc>
        <w:tc>
          <w:tcPr>
            <w:tcW w:w="950" w:type="dxa"/>
            <w:tcBorders/>
            <w:tcMar>
              <w:top w:w="20" w:type="dxa"/>
              <w:left w:w="80" w:type="dxa"/>
              <w:bottom w:w="20" w:type="dxa"/>
              <w:right w:w="80" w:type="dxa"/>
            </w:tcMar>
            <w:vAlign w:val="center"/>
          </w:tcPr>
          <w:p w14:paraId="5E10608C">
            <w:pPr>
              <w:spacing w:before="0" w:after="0" w:line="240" w:lineRule="auto"/>
              <w:jc w:val="left"/>
            </w:pPr>
            <w:r>
              <w:rPr>
                <w:rFonts w:ascii="Arial" w:hAnsi="Arial" w:eastAsia="Arial" w:cs="Times New Roman"/>
                <w:b w:val="0"/>
                <w:bCs w:val="0"/>
                <w:i w:val="0"/>
                <w:iCs w:val="0"/>
                <w:sz w:val="17"/>
                <w:szCs w:val="18"/>
              </w:rPr>
              <w:t>49</w:t>
            </w:r>
          </w:p>
        </w:tc>
        <w:tc>
          <w:tcPr>
            <w:tcW w:w="950" w:type="dxa"/>
            <w:tcBorders/>
            <w:tcMar>
              <w:top w:w="20" w:type="dxa"/>
              <w:left w:w="80" w:type="dxa"/>
              <w:bottom w:w="20" w:type="dxa"/>
              <w:right w:w="80" w:type="dxa"/>
            </w:tcMar>
            <w:vAlign w:val="center"/>
          </w:tcPr>
          <w:p w14:paraId="6F7101D8">
            <w:pPr>
              <w:spacing w:before="0" w:after="0" w:line="240" w:lineRule="auto"/>
              <w:jc w:val="left"/>
            </w:pPr>
            <w:r>
              <w:rPr>
                <w:rFonts w:ascii="Arial" w:hAnsi="Arial" w:eastAsia="Arial" w:cs="Times New Roman"/>
                <w:b w:val="0"/>
                <w:bCs w:val="0"/>
                <w:i w:val="0"/>
                <w:iCs w:val="0"/>
                <w:sz w:val="17"/>
                <w:szCs w:val="18"/>
              </w:rPr>
              <w:t>0.87</w:t>
            </w:r>
          </w:p>
        </w:tc>
      </w:tr>
      <w:tr w14:paraId="2A0FB0E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338" w:type="dxa"/>
            <w:tcBorders/>
            <w:tcMar>
              <w:top w:w="20" w:type="dxa"/>
              <w:left w:w="80" w:type="dxa"/>
              <w:bottom w:w="20" w:type="dxa"/>
              <w:right w:w="80" w:type="dxa"/>
            </w:tcMar>
            <w:vAlign w:val="center"/>
          </w:tcPr>
          <w:p w14:paraId="3EFC87FC">
            <w:pPr>
              <w:spacing w:before="0" w:after="0" w:line="240" w:lineRule="auto"/>
              <w:jc w:val="left"/>
            </w:pPr>
            <w:r>
              <w:rPr>
                <w:rFonts w:ascii="Arial" w:hAnsi="Arial" w:eastAsia="Arial" w:cs="Times New Roman"/>
                <w:b w:val="0"/>
                <w:bCs w:val="0"/>
                <w:i w:val="0"/>
                <w:iCs w:val="0"/>
                <w:sz w:val="17"/>
                <w:szCs w:val="18"/>
              </w:rPr>
              <w:t>Total sperm number (× 10</w:t>
            </w:r>
            <w:r>
              <w:rPr>
                <w:rFonts w:ascii="Arial" w:hAnsi="Arial" w:eastAsia="Arial" w:cs="Times New Roman"/>
                <w:b w:val="0"/>
                <w:bCs w:val="0"/>
                <w:i w:val="0"/>
                <w:iCs w:val="0"/>
                <w:sz w:val="17"/>
                <w:szCs w:val="18"/>
                <w:vertAlign w:val="superscript"/>
              </w:rPr>
              <w:t>6</w:t>
            </w:r>
            <w:r>
              <w:rPr>
                <w:rFonts w:ascii="Arial" w:hAnsi="Arial" w:eastAsia="Arial" w:cs="Times New Roman"/>
                <w:b w:val="0"/>
                <w:bCs w:val="0"/>
                <w:i w:val="0"/>
                <w:iCs w:val="0"/>
                <w:sz w:val="17"/>
                <w:szCs w:val="18"/>
              </w:rPr>
              <w:t>)</w:t>
            </w:r>
          </w:p>
        </w:tc>
        <w:tc>
          <w:tcPr>
            <w:tcW w:w="900" w:type="dxa"/>
            <w:tcBorders/>
            <w:tcMar>
              <w:top w:w="20" w:type="dxa"/>
              <w:left w:w="80" w:type="dxa"/>
              <w:bottom w:w="20" w:type="dxa"/>
              <w:right w:w="80" w:type="dxa"/>
            </w:tcMar>
            <w:vAlign w:val="center"/>
          </w:tcPr>
          <w:p w14:paraId="17FDF264">
            <w:pPr>
              <w:spacing w:before="0" w:after="0" w:line="240" w:lineRule="auto"/>
              <w:jc w:val="left"/>
            </w:pPr>
            <w:r>
              <w:rPr>
                <w:rFonts w:ascii="Arial" w:hAnsi="Arial" w:eastAsia="Arial" w:cs="Times New Roman"/>
                <w:b w:val="0"/>
                <w:bCs w:val="0"/>
                <w:i w:val="0"/>
                <w:iCs w:val="0"/>
                <w:sz w:val="17"/>
                <w:szCs w:val="18"/>
              </w:rPr>
              <w:t>105</w:t>
            </w:r>
          </w:p>
        </w:tc>
        <w:tc>
          <w:tcPr>
            <w:tcW w:w="1500" w:type="dxa"/>
            <w:tcBorders/>
            <w:tcMar>
              <w:top w:w="20" w:type="dxa"/>
              <w:left w:w="80" w:type="dxa"/>
              <w:bottom w:w="20" w:type="dxa"/>
              <w:right w:w="80" w:type="dxa"/>
            </w:tcMar>
            <w:vAlign w:val="center"/>
          </w:tcPr>
          <w:p w14:paraId="2C3790A2">
            <w:pPr>
              <w:spacing w:before="0" w:after="0" w:line="240" w:lineRule="auto"/>
              <w:jc w:val="left"/>
            </w:pPr>
            <w:r>
              <w:rPr>
                <w:rFonts w:ascii="Arial" w:hAnsi="Arial" w:eastAsia="Arial" w:cs="Times New Roman"/>
                <w:b w:val="0"/>
                <w:bCs w:val="0"/>
                <w:i w:val="0"/>
                <w:iCs w:val="0"/>
                <w:sz w:val="17"/>
                <w:szCs w:val="18"/>
              </w:rPr>
              <w:t>99.8</w:t>
            </w:r>
          </w:p>
        </w:tc>
        <w:tc>
          <w:tcPr>
            <w:tcW w:w="1500" w:type="dxa"/>
            <w:tcBorders/>
            <w:tcMar>
              <w:top w:w="20" w:type="dxa"/>
              <w:left w:w="80" w:type="dxa"/>
              <w:bottom w:w="20" w:type="dxa"/>
              <w:right w:w="80" w:type="dxa"/>
            </w:tcMar>
            <w:vAlign w:val="center"/>
          </w:tcPr>
          <w:p w14:paraId="0B9187F5">
            <w:pPr>
              <w:spacing w:before="0" w:after="0" w:line="240" w:lineRule="auto"/>
              <w:jc w:val="left"/>
            </w:pPr>
            <w:r>
              <w:rPr>
                <w:rFonts w:ascii="Arial" w:hAnsi="Arial" w:eastAsia="Arial" w:cs="Times New Roman"/>
                <w:b w:val="0"/>
                <w:bCs w:val="0"/>
                <w:i w:val="0"/>
                <w:iCs w:val="0"/>
                <w:sz w:val="17"/>
                <w:szCs w:val="18"/>
              </w:rPr>
              <w:t>117.7</w:t>
            </w:r>
          </w:p>
        </w:tc>
        <w:tc>
          <w:tcPr>
            <w:tcW w:w="1500" w:type="dxa"/>
            <w:tcBorders/>
            <w:tcMar>
              <w:top w:w="20" w:type="dxa"/>
              <w:left w:w="80" w:type="dxa"/>
              <w:bottom w:w="20" w:type="dxa"/>
              <w:right w:w="80" w:type="dxa"/>
            </w:tcMar>
            <w:vAlign w:val="center"/>
          </w:tcPr>
          <w:p w14:paraId="70CCC83B">
            <w:pPr>
              <w:spacing w:before="0" w:after="0" w:line="240" w:lineRule="auto"/>
              <w:jc w:val="left"/>
            </w:pPr>
            <w:r>
              <w:rPr>
                <w:rFonts w:ascii="Arial" w:hAnsi="Arial" w:eastAsia="Arial" w:cs="Times New Roman"/>
                <w:b w:val="0"/>
                <w:bCs w:val="0"/>
                <w:i w:val="0"/>
                <w:iCs w:val="0"/>
                <w:sz w:val="17"/>
                <w:szCs w:val="18"/>
              </w:rPr>
              <w:t>+5.3</w:t>
            </w:r>
          </w:p>
        </w:tc>
        <w:tc>
          <w:tcPr>
            <w:tcW w:w="950" w:type="dxa"/>
            <w:tcBorders/>
            <w:tcMar>
              <w:top w:w="20" w:type="dxa"/>
              <w:left w:w="80" w:type="dxa"/>
              <w:bottom w:w="20" w:type="dxa"/>
              <w:right w:w="80" w:type="dxa"/>
            </w:tcMar>
            <w:vAlign w:val="center"/>
          </w:tcPr>
          <w:p w14:paraId="65592019">
            <w:pPr>
              <w:spacing w:before="0" w:after="0" w:line="240" w:lineRule="auto"/>
              <w:jc w:val="left"/>
            </w:pPr>
            <w:r>
              <w:rPr>
                <w:rFonts w:ascii="Arial" w:hAnsi="Arial" w:eastAsia="Arial" w:cs="Times New Roman"/>
                <w:b w:val="0"/>
                <w:bCs w:val="0"/>
                <w:i w:val="0"/>
                <w:iCs w:val="0"/>
                <w:sz w:val="17"/>
                <w:szCs w:val="18"/>
              </w:rPr>
              <w:t>54</w:t>
            </w:r>
          </w:p>
        </w:tc>
        <w:tc>
          <w:tcPr>
            <w:tcW w:w="950" w:type="dxa"/>
            <w:tcBorders/>
            <w:tcMar>
              <w:top w:w="20" w:type="dxa"/>
              <w:left w:w="80" w:type="dxa"/>
              <w:bottom w:w="20" w:type="dxa"/>
              <w:right w:w="80" w:type="dxa"/>
            </w:tcMar>
            <w:vAlign w:val="center"/>
          </w:tcPr>
          <w:p w14:paraId="0BF2F957">
            <w:pPr>
              <w:spacing w:before="0" w:after="0" w:line="240" w:lineRule="auto"/>
              <w:jc w:val="left"/>
            </w:pPr>
            <w:r>
              <w:rPr>
                <w:rFonts w:ascii="Arial" w:hAnsi="Arial" w:eastAsia="Arial" w:cs="Times New Roman"/>
                <w:b w:val="0"/>
                <w:bCs w:val="0"/>
                <w:i w:val="0"/>
                <w:iCs w:val="0"/>
                <w:sz w:val="17"/>
                <w:szCs w:val="18"/>
              </w:rPr>
              <w:t>0.64</w:t>
            </w:r>
          </w:p>
        </w:tc>
      </w:tr>
      <w:tr w14:paraId="6FED592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cantSplit/>
        </w:trPr>
        <w:tc>
          <w:tcPr>
            <w:tcW w:w="2338" w:type="dxa"/>
            <w:tcBorders>
              <w:bottom w:val="single" w:sz="8" w:color="000000"/>
            </w:tcBorders>
            <w:tcMar>
              <w:top w:w="20" w:type="dxa"/>
              <w:left w:w="80" w:type="dxa"/>
              <w:bottom w:w="20" w:type="dxa"/>
              <w:right w:w="80" w:type="dxa"/>
            </w:tcMar>
            <w:vAlign w:val="center"/>
          </w:tcPr>
          <w:p w14:paraId="3C471AC8">
            <w:pPr>
              <w:spacing w:before="0" w:after="0" w:line="240" w:lineRule="auto"/>
              <w:jc w:val="left"/>
            </w:pPr>
            <w:r>
              <w:rPr>
                <w:rFonts w:ascii="Arial" w:hAnsi="Arial" w:eastAsia="Arial" w:cs="Times New Roman"/>
                <w:b w:val="0"/>
                <w:bCs w:val="0"/>
                <w:i w:val="0"/>
                <w:iCs w:val="0"/>
                <w:sz w:val="17"/>
                <w:szCs w:val="18"/>
              </w:rPr>
              <w:t>Normal forms (%)</w:t>
            </w:r>
          </w:p>
        </w:tc>
        <w:tc>
          <w:tcPr>
            <w:tcW w:w="900" w:type="dxa"/>
            <w:tcBorders>
              <w:bottom w:val="single" w:sz="8" w:color="000000"/>
            </w:tcBorders>
            <w:tcMar>
              <w:top w:w="20" w:type="dxa"/>
              <w:left w:w="80" w:type="dxa"/>
              <w:bottom w:w="20" w:type="dxa"/>
              <w:right w:w="80" w:type="dxa"/>
            </w:tcMar>
            <w:vAlign w:val="center"/>
          </w:tcPr>
          <w:p w14:paraId="7C19850D">
            <w:pPr>
              <w:spacing w:before="0" w:after="0" w:line="240" w:lineRule="auto"/>
              <w:jc w:val="left"/>
            </w:pPr>
            <w:r>
              <w:rPr>
                <w:rFonts w:ascii="Arial" w:hAnsi="Arial" w:eastAsia="Arial" w:cs="Times New Roman"/>
                <w:b w:val="0"/>
                <w:bCs w:val="0"/>
                <w:i w:val="0"/>
                <w:iCs w:val="0"/>
                <w:sz w:val="17"/>
                <w:szCs w:val="18"/>
              </w:rPr>
              <w:t>42</w:t>
            </w:r>
          </w:p>
        </w:tc>
        <w:tc>
          <w:tcPr>
            <w:tcW w:w="1500" w:type="dxa"/>
            <w:tcBorders>
              <w:bottom w:val="single" w:sz="8" w:color="000000"/>
            </w:tcBorders>
            <w:tcMar>
              <w:top w:w="20" w:type="dxa"/>
              <w:left w:w="80" w:type="dxa"/>
              <w:bottom w:w="20" w:type="dxa"/>
              <w:right w:w="80" w:type="dxa"/>
            </w:tcMar>
            <w:vAlign w:val="center"/>
          </w:tcPr>
          <w:p w14:paraId="05D5243C">
            <w:pPr>
              <w:spacing w:before="0" w:after="0" w:line="240" w:lineRule="auto"/>
              <w:jc w:val="left"/>
            </w:pPr>
            <w:r>
              <w:rPr>
                <w:rFonts w:ascii="Arial" w:hAnsi="Arial" w:eastAsia="Arial" w:cs="Times New Roman"/>
                <w:b w:val="0"/>
                <w:bCs w:val="0"/>
                <w:i w:val="0"/>
                <w:iCs w:val="0"/>
                <w:sz w:val="17"/>
                <w:szCs w:val="18"/>
              </w:rPr>
              <w:t>1.0</w:t>
            </w:r>
          </w:p>
        </w:tc>
        <w:tc>
          <w:tcPr>
            <w:tcW w:w="1500" w:type="dxa"/>
            <w:tcBorders>
              <w:bottom w:val="single" w:sz="8" w:color="000000"/>
            </w:tcBorders>
            <w:tcMar>
              <w:top w:w="20" w:type="dxa"/>
              <w:left w:w="80" w:type="dxa"/>
              <w:bottom w:w="20" w:type="dxa"/>
              <w:right w:w="80" w:type="dxa"/>
            </w:tcMar>
            <w:vAlign w:val="center"/>
          </w:tcPr>
          <w:p w14:paraId="2FE02145">
            <w:pPr>
              <w:spacing w:before="0" w:after="0" w:line="240" w:lineRule="auto"/>
              <w:jc w:val="left"/>
            </w:pPr>
            <w:r>
              <w:rPr>
                <w:rFonts w:ascii="Arial" w:hAnsi="Arial" w:eastAsia="Arial" w:cs="Times New Roman"/>
                <w:b w:val="0"/>
                <w:bCs w:val="0"/>
                <w:i w:val="0"/>
                <w:iCs w:val="0"/>
                <w:sz w:val="17"/>
                <w:szCs w:val="18"/>
              </w:rPr>
              <w:t>1.9</w:t>
            </w:r>
          </w:p>
        </w:tc>
        <w:tc>
          <w:tcPr>
            <w:tcW w:w="1500" w:type="dxa"/>
            <w:tcBorders>
              <w:bottom w:val="single" w:sz="8" w:color="000000"/>
            </w:tcBorders>
            <w:tcMar>
              <w:top w:w="20" w:type="dxa"/>
              <w:left w:w="80" w:type="dxa"/>
              <w:bottom w:w="20" w:type="dxa"/>
              <w:right w:w="80" w:type="dxa"/>
            </w:tcMar>
            <w:vAlign w:val="center"/>
          </w:tcPr>
          <w:p w14:paraId="231F4BE0">
            <w:pPr>
              <w:spacing w:before="0" w:after="0" w:line="240" w:lineRule="auto"/>
              <w:jc w:val="left"/>
            </w:pPr>
            <w:r>
              <w:rPr>
                <w:rFonts w:ascii="Arial" w:hAnsi="Arial" w:eastAsia="Arial" w:cs="Times New Roman"/>
                <w:b w:val="0"/>
                <w:bCs w:val="0"/>
                <w:i w:val="0"/>
                <w:iCs w:val="0"/>
                <w:sz w:val="17"/>
                <w:szCs w:val="18"/>
              </w:rPr>
              <w:t>0.0</w:t>
            </w:r>
          </w:p>
        </w:tc>
        <w:tc>
          <w:tcPr>
            <w:tcW w:w="950" w:type="dxa"/>
            <w:tcBorders>
              <w:bottom w:val="single" w:sz="8" w:color="000000"/>
            </w:tcBorders>
            <w:tcMar>
              <w:top w:w="20" w:type="dxa"/>
              <w:left w:w="80" w:type="dxa"/>
              <w:bottom w:w="20" w:type="dxa"/>
              <w:right w:w="80" w:type="dxa"/>
            </w:tcMar>
            <w:vAlign w:val="center"/>
          </w:tcPr>
          <w:p w14:paraId="7744CE34">
            <w:pPr>
              <w:spacing w:before="0" w:after="0" w:line="240" w:lineRule="auto"/>
              <w:jc w:val="left"/>
            </w:pPr>
            <w:r>
              <w:rPr>
                <w:rFonts w:ascii="Arial" w:hAnsi="Arial" w:eastAsia="Arial" w:cs="Times New Roman"/>
                <w:b w:val="0"/>
                <w:bCs w:val="0"/>
                <w:i w:val="0"/>
                <w:iCs w:val="0"/>
                <w:sz w:val="17"/>
                <w:szCs w:val="18"/>
              </w:rPr>
              <w:t>36</w:t>
            </w:r>
          </w:p>
        </w:tc>
        <w:tc>
          <w:tcPr>
            <w:tcW w:w="950" w:type="dxa"/>
            <w:tcBorders>
              <w:bottom w:val="single" w:sz="8" w:color="000000"/>
            </w:tcBorders>
            <w:tcMar>
              <w:top w:w="20" w:type="dxa"/>
              <w:left w:w="80" w:type="dxa"/>
              <w:bottom w:w="20" w:type="dxa"/>
              <w:right w:w="80" w:type="dxa"/>
            </w:tcMar>
            <w:vAlign w:val="center"/>
          </w:tcPr>
          <w:p w14:paraId="5AAE882C">
            <w:pPr>
              <w:spacing w:before="0" w:after="0" w:line="240" w:lineRule="auto"/>
              <w:jc w:val="left"/>
            </w:pPr>
            <w:r>
              <w:rPr>
                <w:rFonts w:ascii="Arial" w:hAnsi="Arial" w:eastAsia="Arial" w:cs="Times New Roman"/>
                <w:b w:val="0"/>
                <w:bCs w:val="0"/>
                <w:i w:val="0"/>
                <w:iCs w:val="0"/>
                <w:sz w:val="17"/>
                <w:szCs w:val="18"/>
              </w:rPr>
              <w:t>0.12</w:t>
            </w:r>
          </w:p>
        </w:tc>
      </w:tr>
    </w:tbl>
    <w:p w14:paraId="3CEB573A">
      <w:pPr>
        <w:keepNext w:val="0"/>
        <w:spacing w:before="0" w:after="40" w:line="220" w:lineRule="auto"/>
        <w:jc w:val="left"/>
      </w:pPr>
      <w:r>
        <w:rPr>
          <w:rFonts w:ascii="Times New Roman" w:hAnsi="Times New Roman" w:eastAsia="Times New Roman" w:cs="Times New Roman"/>
          <w:b w:val="0"/>
          <w:bCs w:val="0"/>
          <w:i w:val="0"/>
          <w:iCs w:val="0"/>
          <w:sz w:val="17"/>
          <w:szCs w:val="17"/>
        </w:rPr>
        <w:t>This within-person, pre–post, self-controlled cohort is independent of the cross-sectional cohort of 1,482 men. The index date was that of the first routine ultrasound report recording a predefined seminal-vesicle abnormality (enlargement, or heterogeneous or flocculent echoes); antibiotic monotherapy began on that date or within the subsequent 30 days. These sonographic findings are not by themselves diagnostic of infection or inflammation. For each retested man, the last pre-prescription value served as his own pre-treatment control and was paired with the first value obtained 30–90 days after the first prescription. Men receiving recorded sperm-directed co-medication during the treatment or retesting window were excluded.</w:t>
      </w:r>
    </w:p>
    <w:p w14:paraId="68B91D8B">
      <w:pPr>
        <w:keepNext w:val="0"/>
        <w:spacing w:before="0" w:after="40" w:line="220" w:lineRule="auto"/>
        <w:jc w:val="left"/>
      </w:pPr>
      <w:r>
        <w:rPr>
          <w:rFonts w:ascii="Times New Roman" w:hAnsi="Times New Roman" w:eastAsia="Times New Roman" w:cs="Times New Roman"/>
          <w:b w:val="0"/>
          <w:bCs w:val="0"/>
          <w:i w:val="0"/>
          <w:iCs w:val="0"/>
          <w:sz w:val="17"/>
          <w:szCs w:val="17"/>
        </w:rPr>
        <w:t>Only 24–105 of 426 treated men had paired retesting, depending on the outcome, and no parallel untreated group was available. Prescription records did not establish clinical indication, adherence or completed treatment duration; changes in abstinence and concurrent non-drug care could not be controlled; and baseline DFI correlated inversely with change (Spearman ρ = −0.51), compatible with regression to the mean and with mathematical coupling. The table describes within-person differences before and after treatment and cannot by itself estimate a causal treatment effect.</w:t>
      </w:r>
    </w:p>
    <w:p w14:paraId="1396D60B">
      <w:pPr>
        <w:keepNext w:val="0"/>
        <w:spacing w:before="0" w:after="40" w:line="220" w:lineRule="auto"/>
        <w:jc w:val="left"/>
      </w:pPr>
      <w:r>
        <w:rPr>
          <w:rFonts w:ascii="Times New Roman" w:hAnsi="Times New Roman" w:eastAsia="Times New Roman" w:cs="Times New Roman"/>
          <w:b w:val="0"/>
          <w:bCs w:val="0"/>
          <w:i w:val="0"/>
          <w:iCs w:val="0"/>
          <w:sz w:val="17"/>
          <w:szCs w:val="17"/>
        </w:rPr>
        <w:t>The antibiotic classes were macrolides (69%), tetracyclines or doxycycline (29%), cephalosporins (2%) and fluoroquinolones (&lt; 1%). A single antibiotic prescription record was present for 291 of the 426 men (68%), and 372 (87%) were prescribed only one antibiotic agent.</w:t>
      </w:r>
    </w:p>
    <w:p w14:paraId="0337472F">
      <w:pPr>
        <w:keepNext w:val="0"/>
        <w:spacing w:before="0" w:after="40" w:line="220" w:lineRule="auto"/>
        <w:jc w:val="left"/>
      </w:pPr>
      <w:r>
        <w:rPr>
          <w:rFonts w:ascii="Times New Roman" w:hAnsi="Times New Roman" w:eastAsia="Times New Roman" w:cs="Times New Roman"/>
          <w:b w:val="0"/>
          <w:bCs w:val="0"/>
          <w:i w:val="0"/>
          <w:iCs w:val="0"/>
          <w:sz w:val="17"/>
          <w:szCs w:val="17"/>
        </w:rPr>
        <w:t>DFI, sperm DNA fragmentation index.</w:t>
      </w:r>
    </w:p>
    <w:sectPr>
      <w:footerReference r:id="rId3" w:type="default"/>
      <w:pgSz w:w="11906" w:h="16838"/>
      <w:pgMar w:top="1134" w:right="1134" w:bottom="1134" w:left="1134"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文泉驿微米黑"/>
    <w:panose1 w:val="00000000000000000000"/>
    <w:charset w:val="86"/>
    <w:family w:val="auto"/>
    <w:pitch w:val="default"/>
    <w:sig w:usb0="00000000" w:usb1="00000000" w:usb2="00000000" w:usb3="00000000" w:csb0="00000000" w:csb1="00000000"/>
  </w:font>
  <w:font w:name="SimSun">
    <w:altName w:val="文泉驿微米黑"/>
    <w:panose1 w:val="02010600030101010101"/>
    <w:charset w:val="86"/>
    <w:family w:val="auto"/>
    <w:pitch w:val="default"/>
    <w:sig w:usb0="00000003" w:usb1="288F0000" w:usb2="00000006"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SimHei">
    <w:altName w:val="文泉驿微米黑"/>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Webdings"/>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37BE">
    <w:pPr>
      <w:jc w:val="center"/>
    </w:pPr>
    <w:r>
      <w:rPr>
        <w:rFonts w:ascii="Times New Roman" w:hAnsi="Times New Roman" w:eastAsia="Times New Roman" w:cs="Times New Roman"/>
        <w:sz w:val="17"/>
        <w:szCs w:val="17"/>
      </w:rPr>
      <w:fldChar w:fldCharType="begin"/>
    </w:r>
    <w:r>
      <w:rPr>
        <w:rFonts w:ascii="Times New Roman" w:hAnsi="Times New Roman" w:eastAsia="Times New Roman" w:cs="Times New Roman"/>
        <w:sz w:val="17"/>
        <w:szCs w:val="17"/>
      </w:rPr>
      <w:instrText xml:space="preserve">PAGE</w:instrText>
    </w:r>
    <w:r>
      <w:rPr>
        <w:rFonts w:ascii="Times New Roman" w:hAnsi="Times New Roman" w:eastAsia="Times New Roman" w:cs="Times New Roman"/>
        <w:sz w:val="17"/>
        <w:szCs w:val="17"/>
      </w:rPr>
      <w:fldChar w:fldCharType="separate"/>
    </w:r>
    <w:r>
      <w:rPr>
        <w:rFonts w:ascii="Times New Roman" w:hAnsi="Times New Roman" w:eastAsia="Times New Roman" w:cs="Times New Roman"/>
        <w:sz w:val="17"/>
        <w:szCs w:val="17"/>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ompat>
    <w:useFELayout/>
    <w:compatSetting w:name="compatibilityMode" w:uri="http://schemas.microsoft.com/office/word" w:val="15"/>
  </w:compat>
  <w:rsids>
    <w:rsidRoot w:val="00000000"/>
    <w:rsid w:val="AAFF2C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2"/>
      <w:szCs w:val="22"/>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2"/>
      <w:szCs w:val="22"/>
    </w:rPr>
  </w:style>
  <w:style w:type="paragraph" w:styleId="6">
    <w:name w:val="heading 5"/>
    <w:next w:val="1"/>
    <w:qFormat/>
    <w:uiPriority w:val="0"/>
    <w:rPr>
      <w:rFonts w:ascii="Times New Roman" w:hAnsi="Times New Roman" w:eastAsia="Times New Roman" w:cs="Times New Roman"/>
      <w:color w:val="2E74B5"/>
      <w:sz w:val="22"/>
      <w:szCs w:val="22"/>
    </w:rPr>
  </w:style>
  <w:style w:type="paragraph" w:styleId="7">
    <w:name w:val="heading 6"/>
    <w:next w:val="1"/>
    <w:qFormat/>
    <w:uiPriority w:val="0"/>
    <w:rPr>
      <w:rFonts w:ascii="Times New Roman" w:hAnsi="Times New Roman" w:eastAsia="Times New Roman" w:cs="Times New Roman"/>
      <w:color w:val="1F4D78"/>
      <w:sz w:val="2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qFormat/>
    <w:uiPriority w:val="99"/>
    <w:rPr>
      <w:vertAlign w:val="superscript"/>
    </w:rPr>
  </w:style>
  <w:style w:type="character" w:styleId="14">
    <w:name w:val="Hyperlink"/>
    <w:unhideWhenUsed/>
    <w:uiPriority w:val="99"/>
    <w:rPr>
      <w:color w:val="0563C1"/>
      <w:u w:val="single"/>
    </w:rPr>
  </w:style>
  <w:style w:type="character" w:styleId="15">
    <w:name w:val="footnote reference"/>
    <w:semiHidden/>
    <w:unhideWhenUsed/>
    <w:uiPriority w:val="99"/>
    <w:rPr>
      <w:vertAlign w:val="superscript"/>
    </w:rPr>
  </w:style>
  <w:style w:type="paragraph" w:styleId="16">
    <w:name w:val="List Paragraph"/>
    <w:qFormat/>
    <w:uiPriority w:val="0"/>
    <w:rPr>
      <w:rFonts w:ascii="Times New Roman" w:hAnsi="Times New Roman" w:eastAsia="Times New Roman" w:cs="Times New Roman"/>
      <w:sz w:val="22"/>
      <w:szCs w:val="22"/>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TotalTime>1</TotalTime>
  <ScaleCrop>false</ScaleCrop>
  <LinksUpToDate>false</LinksUpToDate>
  <Application>WPS Office_12.1.2.28080_F1E327BC-269C-435d-A152-05C5408002CA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李景平</cp:lastModifiedBy>
  <dcterms:modified xsi:type="dcterms:W3CDTF">2026-08-21T12:59:46Z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68A9D8B53FD55A1C32CD876A68686F8E_42</vt:lpwstr>
  </property>
</Properties>
</file>