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AEB53" w14:textId="77777777" w:rsidR="002D438D" w:rsidRDefault="00000000">
      <w:pPr>
        <w:snapToGrid w:val="0"/>
        <w:spacing w:line="480" w:lineRule="auto"/>
        <w:rPr>
          <w:rFonts w:ascii="Times New Roman" w:eastAsia="SimSun" w:hAnsi="Times New Roman" w:cs="Times New Roman"/>
          <w:b/>
          <w:bCs/>
          <w:color w:val="000000"/>
          <w:sz w:val="28"/>
          <w:szCs w:val="28"/>
        </w:rPr>
      </w:pPr>
      <w:r>
        <w:rPr>
          <w:rFonts w:ascii="Times New Roman" w:eastAsia="SimSun" w:hAnsi="Times New Roman" w:hint="eastAsia"/>
          <w:b/>
          <w:bCs/>
          <w:color w:val="000000"/>
          <w:sz w:val="28"/>
          <w:szCs w:val="28"/>
        </w:rPr>
        <w:t>Supplementary Material For</w:t>
      </w:r>
    </w:p>
    <w:p w14:paraId="46114EF9" w14:textId="77777777" w:rsidR="002D438D" w:rsidRDefault="002D438D">
      <w:pPr>
        <w:spacing w:line="360" w:lineRule="auto"/>
        <w:jc w:val="left"/>
        <w:rPr>
          <w:rFonts w:ascii="Times New Roman Bold" w:eastAsia="Helvetica Neue" w:hAnsi="Times New Roman Bold" w:cs="Times New Roman Bold"/>
          <w:b/>
          <w:color w:val="0F1115"/>
          <w:sz w:val="28"/>
          <w:szCs w:val="28"/>
        </w:rPr>
      </w:pPr>
    </w:p>
    <w:p w14:paraId="10BD6F59" w14:textId="27B3A190" w:rsidR="00963669" w:rsidRPr="005C53E1" w:rsidRDefault="009050B3" w:rsidP="00963669">
      <w:pPr>
        <w:spacing w:line="360" w:lineRule="auto"/>
        <w:jc w:val="center"/>
        <w:rPr>
          <w:rFonts w:ascii="Times New Roman" w:hAnsi="Times New Roman"/>
          <w:b/>
          <w:bCs/>
          <w:sz w:val="24"/>
        </w:rPr>
      </w:pPr>
      <w:r w:rsidRPr="009050B3">
        <w:rPr>
          <w:rFonts w:ascii="Times New Roman" w:hAnsi="Times New Roman"/>
          <w:b/>
          <w:bCs/>
          <w:sz w:val="24"/>
        </w:rPr>
        <w:t>CCDC180 functions as a C1 projection scaffold essential for ciliary motility and male fertility</w:t>
      </w:r>
    </w:p>
    <w:p w14:paraId="4065A29A" w14:textId="2F121BB7" w:rsidR="002D438D" w:rsidRPr="00954401" w:rsidRDefault="009050B3" w:rsidP="009050B3">
      <w:pPr>
        <w:jc w:val="center"/>
        <w:rPr>
          <w:rFonts w:ascii="Times New Roman" w:hAnsi="Times New Roman"/>
          <w:color w:val="000000"/>
          <w:sz w:val="20"/>
          <w:szCs w:val="20"/>
        </w:rPr>
      </w:pPr>
      <w:r w:rsidRPr="009050B3">
        <w:rPr>
          <w:rFonts w:ascii="Times New Roman" w:hAnsi="Times New Roman"/>
          <w:sz w:val="20"/>
          <w:szCs w:val="20"/>
        </w:rPr>
        <w:t>Ting Song</w:t>
      </w:r>
      <w:r w:rsidRPr="009050B3">
        <w:rPr>
          <w:rFonts w:ascii="Times New Roman" w:hAnsi="Times New Roman"/>
          <w:sz w:val="20"/>
          <w:szCs w:val="20"/>
          <w:vertAlign w:val="superscript"/>
        </w:rPr>
        <w:t>1#*</w:t>
      </w:r>
      <w:r w:rsidRPr="009050B3">
        <w:rPr>
          <w:rFonts w:ascii="Times New Roman" w:hAnsi="Times New Roman"/>
          <w:sz w:val="20"/>
          <w:szCs w:val="20"/>
        </w:rPr>
        <w:t>, Xiang Li</w:t>
      </w:r>
      <w:r w:rsidRPr="009050B3">
        <w:rPr>
          <w:rFonts w:ascii="Times New Roman" w:hAnsi="Times New Roman"/>
          <w:sz w:val="20"/>
          <w:szCs w:val="20"/>
          <w:vertAlign w:val="superscript"/>
        </w:rPr>
        <w:t>1#</w:t>
      </w:r>
      <w:r w:rsidRPr="009050B3">
        <w:rPr>
          <w:rFonts w:ascii="Times New Roman" w:hAnsi="Times New Roman"/>
          <w:sz w:val="20"/>
          <w:szCs w:val="20"/>
        </w:rPr>
        <w:t>, Qian Lyu</w:t>
      </w:r>
      <w:r w:rsidRPr="009050B3">
        <w:rPr>
          <w:rFonts w:ascii="Times New Roman" w:hAnsi="Times New Roman"/>
          <w:sz w:val="20"/>
          <w:szCs w:val="20"/>
          <w:vertAlign w:val="superscript"/>
        </w:rPr>
        <w:t>1</w:t>
      </w:r>
      <w:r w:rsidRPr="009050B3">
        <w:rPr>
          <w:rFonts w:ascii="Times New Roman" w:hAnsi="Times New Roman"/>
          <w:sz w:val="20"/>
          <w:szCs w:val="20"/>
        </w:rPr>
        <w:t>, Dehao Song</w:t>
      </w:r>
      <w:r w:rsidRPr="009050B3">
        <w:rPr>
          <w:rFonts w:ascii="Times New Roman" w:hAnsi="Times New Roman"/>
          <w:sz w:val="20"/>
          <w:szCs w:val="20"/>
          <w:vertAlign w:val="superscript"/>
        </w:rPr>
        <w:t>1</w:t>
      </w:r>
      <w:r w:rsidRPr="009050B3">
        <w:rPr>
          <w:rFonts w:ascii="Times New Roman" w:hAnsi="Times New Roman"/>
          <w:sz w:val="20"/>
          <w:szCs w:val="20"/>
        </w:rPr>
        <w:t>, Shanshan Nai</w:t>
      </w:r>
      <w:r w:rsidRPr="009050B3">
        <w:rPr>
          <w:rFonts w:ascii="Times New Roman" w:hAnsi="Times New Roman"/>
          <w:sz w:val="20"/>
          <w:szCs w:val="20"/>
          <w:vertAlign w:val="superscript"/>
        </w:rPr>
        <w:t>1</w:t>
      </w:r>
      <w:r w:rsidRPr="009050B3">
        <w:rPr>
          <w:rFonts w:ascii="Times New Roman" w:hAnsi="Times New Roman"/>
          <w:sz w:val="20"/>
          <w:szCs w:val="20"/>
        </w:rPr>
        <w:t>, Qingchao Li</w:t>
      </w:r>
      <w:r w:rsidRPr="009050B3">
        <w:rPr>
          <w:rFonts w:ascii="Times New Roman" w:hAnsi="Times New Roman"/>
          <w:sz w:val="20"/>
          <w:szCs w:val="20"/>
          <w:vertAlign w:val="superscript"/>
        </w:rPr>
        <w:t>1</w:t>
      </w:r>
      <w:r w:rsidRPr="009050B3">
        <w:rPr>
          <w:rFonts w:ascii="Times New Roman" w:hAnsi="Times New Roman"/>
          <w:sz w:val="20"/>
          <w:szCs w:val="20"/>
        </w:rPr>
        <w:t>, Zhuoyao Guo</w:t>
      </w:r>
      <w:r w:rsidRPr="009050B3">
        <w:rPr>
          <w:rFonts w:ascii="Times New Roman" w:hAnsi="Times New Roman"/>
          <w:sz w:val="20"/>
          <w:szCs w:val="20"/>
          <w:vertAlign w:val="superscript"/>
        </w:rPr>
        <w:t>2*</w:t>
      </w:r>
      <w:r w:rsidRPr="009050B3">
        <w:rPr>
          <w:rFonts w:ascii="Times New Roman" w:hAnsi="Times New Roman"/>
          <w:sz w:val="20"/>
          <w:szCs w:val="20"/>
        </w:rPr>
        <w:t>, and Huijie Zhao</w:t>
      </w:r>
      <w:r w:rsidRPr="009050B3">
        <w:rPr>
          <w:rFonts w:ascii="Times New Roman" w:hAnsi="Times New Roman"/>
          <w:sz w:val="20"/>
          <w:szCs w:val="20"/>
          <w:vertAlign w:val="superscript"/>
        </w:rPr>
        <w:t>1*</w:t>
      </w:r>
    </w:p>
    <w:p w14:paraId="53E475BB" w14:textId="77777777" w:rsidR="009050B3" w:rsidRDefault="009050B3">
      <w:pPr>
        <w:rPr>
          <w:rFonts w:ascii="Times New Roman" w:hAnsi="Times New Roman"/>
          <w:color w:val="000000"/>
          <w:sz w:val="22"/>
          <w:szCs w:val="22"/>
          <w:vertAlign w:val="superscript"/>
        </w:rPr>
      </w:pPr>
    </w:p>
    <w:p w14:paraId="5733C0AD" w14:textId="21584F3C" w:rsidR="002D438D" w:rsidRPr="00750EDF" w:rsidRDefault="00000000">
      <w:pPr>
        <w:rPr>
          <w:rFonts w:ascii="Calibri" w:eastAsia="DengXian" w:hAnsi="Calibri" w:cs="Times New Roman"/>
          <w:sz w:val="22"/>
          <w:szCs w:val="22"/>
        </w:rPr>
      </w:pPr>
      <w:r w:rsidRPr="009050B3">
        <w:rPr>
          <w:rFonts w:ascii="Times New Roman" w:hAnsi="Times New Roman"/>
          <w:color w:val="000000"/>
          <w:sz w:val="22"/>
          <w:szCs w:val="22"/>
          <w:vertAlign w:val="superscript"/>
        </w:rPr>
        <w:t>*</w:t>
      </w:r>
      <w:r w:rsidRPr="00750EDF">
        <w:rPr>
          <w:rFonts w:ascii="Times New Roman" w:hAnsi="Times New Roman"/>
          <w:color w:val="000000"/>
          <w:sz w:val="22"/>
          <w:szCs w:val="22"/>
        </w:rPr>
        <w:t xml:space="preserve">Correspondence: </w:t>
      </w:r>
      <w:r w:rsidR="009050B3" w:rsidRPr="009050B3">
        <w:rPr>
          <w:rFonts w:ascii="Times New Roman" w:hAnsi="Times New Roman"/>
          <w:color w:val="000000"/>
          <w:sz w:val="22"/>
          <w:szCs w:val="22"/>
        </w:rPr>
        <w:t>623056@sdnu.edu.cn (Ting Song); 16211240008@fudan.edu.cn (Zhuoyao Guo); huijiezhao@sdnu.edu.cn (Huijie Zhao).</w:t>
      </w:r>
    </w:p>
    <w:p w14:paraId="6C54431D" w14:textId="77777777" w:rsidR="002D438D" w:rsidRDefault="002D438D">
      <w:pPr>
        <w:snapToGrid w:val="0"/>
        <w:spacing w:line="480" w:lineRule="auto"/>
        <w:ind w:right="-180"/>
        <w:jc w:val="left"/>
        <w:rPr>
          <w:rFonts w:ascii="Times New Roman" w:eastAsia="SimSun" w:hAnsi="Times New Roman"/>
          <w:b/>
          <w:bCs/>
          <w:color w:val="000000"/>
          <w:sz w:val="28"/>
          <w:szCs w:val="28"/>
        </w:rPr>
      </w:pPr>
    </w:p>
    <w:p w14:paraId="38F99785" w14:textId="161E470E" w:rsidR="002D438D" w:rsidRPr="00963669" w:rsidRDefault="00000000">
      <w:pPr>
        <w:snapToGrid w:val="0"/>
        <w:spacing w:line="480" w:lineRule="auto"/>
        <w:ind w:right="-180"/>
        <w:jc w:val="left"/>
        <w:rPr>
          <w:rFonts w:ascii="Times New Roman" w:eastAsia="SimSun" w:hAnsi="Times New Roman" w:cs="Times New Roman"/>
          <w:b/>
          <w:bCs/>
          <w:color w:val="000000"/>
          <w:sz w:val="24"/>
        </w:rPr>
      </w:pPr>
      <w:r w:rsidRPr="00963669">
        <w:rPr>
          <w:rFonts w:ascii="Times New Roman" w:eastAsia="SimSun" w:hAnsi="Times New Roman" w:hint="eastAsia"/>
          <w:b/>
          <w:bCs/>
          <w:color w:val="000000"/>
          <w:sz w:val="24"/>
        </w:rPr>
        <w:t>This file includes:</w:t>
      </w:r>
    </w:p>
    <w:p w14:paraId="5653DA72" w14:textId="1B263BEE" w:rsidR="00963669" w:rsidRPr="00963669" w:rsidRDefault="00963669">
      <w:pPr>
        <w:snapToGrid w:val="0"/>
        <w:spacing w:line="480" w:lineRule="auto"/>
        <w:ind w:left="360" w:right="-180"/>
        <w:jc w:val="left"/>
        <w:rPr>
          <w:rFonts w:ascii="Times New Roman" w:hAnsi="Times New Roman"/>
          <w:color w:val="000000"/>
          <w:sz w:val="24"/>
        </w:rPr>
      </w:pPr>
      <w:r w:rsidRPr="00963669">
        <w:rPr>
          <w:rFonts w:ascii="Times New Roman" w:hAnsi="Times New Roman" w:hint="eastAsia"/>
          <w:color w:val="000000"/>
          <w:sz w:val="24"/>
        </w:rPr>
        <w:t xml:space="preserve">Supplemental </w:t>
      </w:r>
      <w:r w:rsidR="003F657F">
        <w:rPr>
          <w:rFonts w:ascii="Times New Roman" w:hAnsi="Times New Roman" w:hint="eastAsia"/>
          <w:color w:val="000000"/>
          <w:sz w:val="24"/>
        </w:rPr>
        <w:t>Fi</w:t>
      </w:r>
      <w:r w:rsidRPr="00963669">
        <w:rPr>
          <w:rFonts w:ascii="Times New Roman" w:hAnsi="Times New Roman" w:hint="eastAsia"/>
          <w:color w:val="000000"/>
          <w:sz w:val="24"/>
        </w:rPr>
        <w:t>gure</w:t>
      </w:r>
      <w:r w:rsidR="009050B3">
        <w:rPr>
          <w:rFonts w:ascii="Times New Roman" w:hAnsi="Times New Roman"/>
          <w:color w:val="000000"/>
          <w:sz w:val="24"/>
        </w:rPr>
        <w:t>s</w:t>
      </w:r>
      <w:r w:rsidRPr="00963669">
        <w:rPr>
          <w:rFonts w:ascii="Times New Roman" w:hAnsi="Times New Roman" w:hint="eastAsia"/>
          <w:color w:val="000000"/>
          <w:sz w:val="24"/>
        </w:rPr>
        <w:t xml:space="preserve"> S1</w:t>
      </w:r>
      <w:r w:rsidR="009050B3">
        <w:rPr>
          <w:rFonts w:ascii="Times New Roman" w:hAnsi="Times New Roman"/>
          <w:color w:val="000000"/>
          <w:sz w:val="24"/>
        </w:rPr>
        <w:t>-S4</w:t>
      </w:r>
      <w:r w:rsidRPr="00963669">
        <w:rPr>
          <w:rFonts w:ascii="Times New Roman" w:hAnsi="Times New Roman" w:hint="eastAsia"/>
          <w:color w:val="000000"/>
          <w:sz w:val="24"/>
        </w:rPr>
        <w:t>;</w:t>
      </w:r>
    </w:p>
    <w:p w14:paraId="5665EEE7" w14:textId="2EAE3643" w:rsidR="009050B3" w:rsidRDefault="00000000" w:rsidP="009050B3">
      <w:pPr>
        <w:snapToGrid w:val="0"/>
        <w:spacing w:line="480" w:lineRule="auto"/>
        <w:ind w:left="360" w:right="-180"/>
        <w:jc w:val="left"/>
        <w:rPr>
          <w:rFonts w:ascii="Times New Roman" w:hAnsi="Times New Roman" w:cs="Times New Roman"/>
          <w:b/>
          <w:bCs/>
          <w:sz w:val="24"/>
        </w:rPr>
      </w:pPr>
      <w:r w:rsidRPr="00963669">
        <w:rPr>
          <w:rFonts w:ascii="Times New Roman" w:hAnsi="Times New Roman"/>
          <w:color w:val="000000"/>
          <w:sz w:val="24"/>
        </w:rPr>
        <w:t xml:space="preserve">Supplemental </w:t>
      </w:r>
      <w:r w:rsidR="009050B3">
        <w:rPr>
          <w:rFonts w:ascii="Times New Roman" w:hAnsi="Times New Roman"/>
          <w:color w:val="000000"/>
          <w:sz w:val="24"/>
        </w:rPr>
        <w:t>movie</w:t>
      </w:r>
      <w:r w:rsidRPr="00963669">
        <w:rPr>
          <w:rFonts w:ascii="Times New Roman" w:hAnsi="Times New Roman"/>
          <w:color w:val="000000"/>
          <w:sz w:val="24"/>
        </w:rPr>
        <w:t xml:space="preserve"> legend</w:t>
      </w:r>
      <w:r w:rsidR="009050B3">
        <w:rPr>
          <w:rFonts w:ascii="Times New Roman" w:hAnsi="Times New Roman"/>
          <w:color w:val="000000"/>
          <w:sz w:val="24"/>
        </w:rPr>
        <w:t>s.</w:t>
      </w:r>
    </w:p>
    <w:p w14:paraId="6C648373" w14:textId="77777777" w:rsidR="009050B3" w:rsidRDefault="009050B3">
      <w:pPr>
        <w:widowControl/>
        <w:jc w:val="left"/>
        <w:rPr>
          <w:rFonts w:ascii="Times New Roman" w:hAnsi="Times New Roman" w:cs="Times New Roman"/>
          <w:b/>
          <w:bCs/>
          <w:sz w:val="24"/>
        </w:rPr>
      </w:pPr>
      <w:r>
        <w:rPr>
          <w:rFonts w:ascii="Times New Roman" w:hAnsi="Times New Roman" w:cs="Times New Roman"/>
          <w:b/>
          <w:bCs/>
          <w:sz w:val="24"/>
        </w:rPr>
        <w:br w:type="page"/>
      </w:r>
    </w:p>
    <w:p w14:paraId="5219F953" w14:textId="488305F9" w:rsidR="009050B3" w:rsidRPr="009050B3" w:rsidRDefault="009050B3" w:rsidP="009050B3">
      <w:pPr>
        <w:snapToGrid w:val="0"/>
        <w:spacing w:line="480" w:lineRule="auto"/>
        <w:ind w:right="-180"/>
        <w:rPr>
          <w:rFonts w:ascii="Times New Roman" w:hAnsi="Times New Roman"/>
          <w:b/>
          <w:bCs/>
          <w:color w:val="000000"/>
          <w:sz w:val="24"/>
        </w:rPr>
      </w:pPr>
      <w:r w:rsidRPr="009050B3">
        <w:rPr>
          <w:rFonts w:ascii="Times New Roman" w:hAnsi="Times New Roman"/>
          <w:b/>
          <w:bCs/>
          <w:color w:val="000000"/>
          <w:sz w:val="24"/>
        </w:rPr>
        <w:lastRenderedPageBreak/>
        <w:t xml:space="preserve">Supplementary </w:t>
      </w:r>
      <w:r w:rsidRPr="009050B3">
        <w:rPr>
          <w:rFonts w:ascii="Times New Roman" w:hAnsi="Times New Roman"/>
          <w:b/>
          <w:bCs/>
          <w:color w:val="000000"/>
          <w:sz w:val="24"/>
        </w:rPr>
        <w:t xml:space="preserve">figures and </w:t>
      </w:r>
      <w:r w:rsidRPr="009050B3">
        <w:rPr>
          <w:rFonts w:ascii="Times New Roman" w:hAnsi="Times New Roman"/>
          <w:b/>
          <w:bCs/>
          <w:color w:val="000000"/>
          <w:sz w:val="24"/>
        </w:rPr>
        <w:t>figure legends</w:t>
      </w:r>
    </w:p>
    <w:p w14:paraId="35C12E85" w14:textId="799F1294" w:rsidR="009050B3" w:rsidRDefault="009050B3" w:rsidP="009050B3">
      <w:pPr>
        <w:snapToGrid w:val="0"/>
        <w:spacing w:line="480" w:lineRule="auto"/>
        <w:ind w:right="-180"/>
        <w:rPr>
          <w:rFonts w:ascii="Times New Roman" w:hAnsi="Times New Roman"/>
          <w:b/>
          <w:bCs/>
          <w:color w:val="000000"/>
          <w:sz w:val="24"/>
        </w:rPr>
      </w:pPr>
      <w:r>
        <w:rPr>
          <w:rFonts w:ascii="Times New Roman" w:hAnsi="Times New Roman"/>
          <w:b/>
          <w:bCs/>
          <w:noProof/>
          <w:color w:val="000000"/>
          <w:sz w:val="24"/>
        </w:rPr>
        <w:drawing>
          <wp:inline distT="0" distB="0" distL="0" distR="0" wp14:anchorId="6698B737" wp14:editId="7360C07F">
            <wp:extent cx="5274310" cy="6052185"/>
            <wp:effectExtent l="0" t="0" r="0" b="5715"/>
            <wp:docPr id="1800171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71401" name="Picture 180017140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6052185"/>
                    </a:xfrm>
                    <a:prstGeom prst="rect">
                      <a:avLst/>
                    </a:prstGeom>
                  </pic:spPr>
                </pic:pic>
              </a:graphicData>
            </a:graphic>
          </wp:inline>
        </w:drawing>
      </w:r>
    </w:p>
    <w:p w14:paraId="497EC6A2" w14:textId="640F306A" w:rsidR="009050B3" w:rsidRPr="009050B3" w:rsidRDefault="009050B3" w:rsidP="009050B3">
      <w:pPr>
        <w:snapToGrid w:val="0"/>
        <w:spacing w:line="360" w:lineRule="auto"/>
        <w:ind w:right="-187"/>
        <w:rPr>
          <w:rFonts w:ascii="Times New Roman" w:hAnsi="Times New Roman"/>
          <w:color w:val="000000"/>
          <w:sz w:val="24"/>
        </w:rPr>
      </w:pPr>
      <w:r w:rsidRPr="009050B3">
        <w:rPr>
          <w:rFonts w:ascii="Times New Roman" w:hAnsi="Times New Roman"/>
          <w:b/>
          <w:bCs/>
          <w:color w:val="000000"/>
          <w:sz w:val="24"/>
        </w:rPr>
        <w:t>Fig. S1</w:t>
      </w:r>
      <w:r w:rsidRPr="009050B3">
        <w:rPr>
          <w:rFonts w:ascii="Times New Roman" w:hAnsi="Times New Roman"/>
          <w:color w:val="000000"/>
          <w:sz w:val="24"/>
        </w:rPr>
        <w:t xml:space="preserve"> CCDC180 is an evolutionarily conserved ciliary protein. </w:t>
      </w:r>
      <w:r w:rsidRPr="009050B3">
        <w:rPr>
          <w:rFonts w:ascii="Times New Roman" w:hAnsi="Times New Roman"/>
          <w:b/>
          <w:bCs/>
          <w:color w:val="000000"/>
          <w:sz w:val="24"/>
        </w:rPr>
        <w:t>A</w:t>
      </w:r>
      <w:r w:rsidRPr="009050B3">
        <w:rPr>
          <w:rFonts w:ascii="Times New Roman" w:hAnsi="Times New Roman"/>
          <w:color w:val="000000"/>
          <w:sz w:val="24"/>
        </w:rPr>
        <w:t xml:space="preserve">, </w:t>
      </w:r>
      <w:r w:rsidRPr="009050B3">
        <w:rPr>
          <w:rFonts w:ascii="Times New Roman" w:hAnsi="Times New Roman"/>
          <w:b/>
          <w:bCs/>
          <w:color w:val="000000"/>
          <w:sz w:val="24"/>
        </w:rPr>
        <w:t>B</w:t>
      </w:r>
      <w:r w:rsidRPr="009050B3">
        <w:rPr>
          <w:rFonts w:ascii="Times New Roman" w:hAnsi="Times New Roman"/>
          <w:color w:val="000000"/>
          <w:sz w:val="24"/>
        </w:rPr>
        <w:t xml:space="preserve"> Expression of human </w:t>
      </w:r>
      <w:r w:rsidRPr="009050B3">
        <w:rPr>
          <w:rFonts w:ascii="Times New Roman" w:hAnsi="Times New Roman"/>
          <w:i/>
          <w:iCs/>
          <w:color w:val="000000"/>
          <w:sz w:val="24"/>
        </w:rPr>
        <w:t>CCDC180</w:t>
      </w:r>
      <w:r w:rsidRPr="009050B3">
        <w:rPr>
          <w:rFonts w:ascii="Times New Roman" w:hAnsi="Times New Roman"/>
          <w:color w:val="000000"/>
          <w:sz w:val="24"/>
        </w:rPr>
        <w:t xml:space="preserve"> in the HPA (A) and GTEx (B) databases. Note that human </w:t>
      </w:r>
      <w:r w:rsidRPr="009050B3">
        <w:rPr>
          <w:rFonts w:ascii="Times New Roman" w:hAnsi="Times New Roman"/>
          <w:i/>
          <w:iCs/>
          <w:color w:val="000000"/>
          <w:sz w:val="24"/>
        </w:rPr>
        <w:t>CCDC180</w:t>
      </w:r>
      <w:r w:rsidRPr="009050B3">
        <w:rPr>
          <w:rFonts w:ascii="Times New Roman" w:hAnsi="Times New Roman"/>
          <w:color w:val="000000"/>
          <w:sz w:val="24"/>
        </w:rPr>
        <w:t xml:space="preserve"> mRNA was highly enriched in the testis. </w:t>
      </w:r>
      <w:r w:rsidRPr="009050B3">
        <w:rPr>
          <w:rFonts w:ascii="Times New Roman" w:hAnsi="Times New Roman"/>
          <w:b/>
          <w:bCs/>
          <w:color w:val="000000"/>
          <w:sz w:val="24"/>
        </w:rPr>
        <w:t>C</w:t>
      </w:r>
      <w:r w:rsidRPr="009050B3">
        <w:rPr>
          <w:rFonts w:ascii="Times New Roman" w:hAnsi="Times New Roman"/>
          <w:color w:val="000000"/>
          <w:sz w:val="24"/>
        </w:rPr>
        <w:t xml:space="preserve"> Multiple sequence alignment of orthologous CCDC180s using COBALT. Highly conserved positions are highlighted in red, and less conserved positions in blue. GenBank accession numbers for CCDC180 orthologs are shown in the figure legend of Fig. 1.</w:t>
      </w:r>
    </w:p>
    <w:p w14:paraId="1F971AC2" w14:textId="77777777" w:rsidR="009050B3" w:rsidRPr="009050B3" w:rsidRDefault="009050B3" w:rsidP="009050B3">
      <w:pPr>
        <w:snapToGrid w:val="0"/>
        <w:spacing w:line="480" w:lineRule="auto"/>
        <w:ind w:right="-180"/>
        <w:rPr>
          <w:rFonts w:ascii="Times New Roman" w:hAnsi="Times New Roman"/>
          <w:color w:val="000000"/>
          <w:sz w:val="24"/>
        </w:rPr>
      </w:pPr>
    </w:p>
    <w:p w14:paraId="120BDA27" w14:textId="77777777" w:rsidR="009050B3" w:rsidRDefault="009050B3">
      <w:pPr>
        <w:widowControl/>
        <w:jc w:val="left"/>
        <w:rPr>
          <w:rFonts w:ascii="Times New Roman" w:hAnsi="Times New Roman"/>
          <w:b/>
          <w:bCs/>
          <w:color w:val="000000"/>
          <w:sz w:val="24"/>
        </w:rPr>
      </w:pPr>
      <w:r>
        <w:rPr>
          <w:rFonts w:ascii="Times New Roman" w:hAnsi="Times New Roman"/>
          <w:b/>
          <w:bCs/>
          <w:color w:val="000000"/>
          <w:sz w:val="24"/>
        </w:rPr>
        <w:br w:type="page"/>
      </w:r>
    </w:p>
    <w:p w14:paraId="428D9712" w14:textId="05D103F6" w:rsidR="009050B3" w:rsidRDefault="009050B3" w:rsidP="009050B3">
      <w:pPr>
        <w:snapToGrid w:val="0"/>
        <w:spacing w:line="480" w:lineRule="auto"/>
        <w:ind w:right="-180"/>
        <w:jc w:val="center"/>
        <w:rPr>
          <w:rFonts w:ascii="Times New Roman" w:hAnsi="Times New Roman"/>
          <w:b/>
          <w:bCs/>
          <w:color w:val="000000"/>
          <w:sz w:val="24"/>
        </w:rPr>
      </w:pPr>
      <w:r>
        <w:rPr>
          <w:rFonts w:ascii="Times New Roman" w:hAnsi="Times New Roman"/>
          <w:b/>
          <w:bCs/>
          <w:noProof/>
          <w:color w:val="000000"/>
          <w:sz w:val="24"/>
        </w:rPr>
        <w:lastRenderedPageBreak/>
        <w:drawing>
          <wp:inline distT="0" distB="0" distL="0" distR="0" wp14:anchorId="3E91A273" wp14:editId="01D56A6E">
            <wp:extent cx="4686300" cy="3594100"/>
            <wp:effectExtent l="0" t="0" r="0" b="0"/>
            <wp:docPr id="109006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6184" name="Picture 1090061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86300" cy="3594100"/>
                    </a:xfrm>
                    <a:prstGeom prst="rect">
                      <a:avLst/>
                    </a:prstGeom>
                  </pic:spPr>
                </pic:pic>
              </a:graphicData>
            </a:graphic>
          </wp:inline>
        </w:drawing>
      </w:r>
    </w:p>
    <w:p w14:paraId="02EA3928" w14:textId="6BBCBC38" w:rsidR="009050B3" w:rsidRPr="009050B3" w:rsidRDefault="009050B3" w:rsidP="009050B3">
      <w:pPr>
        <w:snapToGrid w:val="0"/>
        <w:spacing w:line="360" w:lineRule="auto"/>
        <w:ind w:right="-187"/>
        <w:rPr>
          <w:rFonts w:ascii="Times New Roman" w:hAnsi="Times New Roman"/>
          <w:color w:val="000000"/>
          <w:sz w:val="24"/>
        </w:rPr>
      </w:pPr>
      <w:r w:rsidRPr="009050B3">
        <w:rPr>
          <w:rFonts w:ascii="Times New Roman" w:hAnsi="Times New Roman"/>
          <w:b/>
          <w:bCs/>
          <w:color w:val="000000"/>
          <w:sz w:val="24"/>
        </w:rPr>
        <w:t>Fig. S2</w:t>
      </w:r>
      <w:r w:rsidRPr="009050B3">
        <w:rPr>
          <w:rFonts w:ascii="Times New Roman" w:hAnsi="Times New Roman"/>
          <w:color w:val="000000"/>
          <w:sz w:val="24"/>
        </w:rPr>
        <w:t xml:space="preserve"> Loss of CCDC180 has no apparent effects on the trachea, lung, kidney, or liver. </w:t>
      </w:r>
      <w:r w:rsidRPr="009050B3">
        <w:rPr>
          <w:rFonts w:ascii="Times New Roman" w:hAnsi="Times New Roman"/>
          <w:b/>
          <w:bCs/>
          <w:color w:val="000000"/>
          <w:sz w:val="24"/>
        </w:rPr>
        <w:t>A–D</w:t>
      </w:r>
      <w:r w:rsidRPr="009050B3">
        <w:rPr>
          <w:rFonts w:ascii="Times New Roman" w:hAnsi="Times New Roman"/>
          <w:color w:val="000000"/>
          <w:sz w:val="24"/>
        </w:rPr>
        <w:t xml:space="preserve"> H&amp;E-stained sections of the indicated tissues from 8-week-old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mice.</w:t>
      </w:r>
    </w:p>
    <w:p w14:paraId="6E9F5B3E" w14:textId="77777777" w:rsidR="009050B3" w:rsidRPr="009050B3" w:rsidRDefault="009050B3" w:rsidP="009050B3">
      <w:pPr>
        <w:snapToGrid w:val="0"/>
        <w:spacing w:line="480" w:lineRule="auto"/>
        <w:ind w:right="-180"/>
        <w:rPr>
          <w:rFonts w:ascii="Times New Roman" w:hAnsi="Times New Roman"/>
          <w:color w:val="000000"/>
          <w:sz w:val="24"/>
        </w:rPr>
      </w:pPr>
    </w:p>
    <w:p w14:paraId="0B5BE829" w14:textId="77777777" w:rsidR="009050B3" w:rsidRDefault="009050B3">
      <w:pPr>
        <w:widowControl/>
        <w:jc w:val="left"/>
        <w:rPr>
          <w:rFonts w:ascii="Times New Roman" w:hAnsi="Times New Roman"/>
          <w:b/>
          <w:bCs/>
          <w:color w:val="000000"/>
          <w:sz w:val="24"/>
        </w:rPr>
      </w:pPr>
      <w:r>
        <w:rPr>
          <w:rFonts w:ascii="Times New Roman" w:hAnsi="Times New Roman"/>
          <w:b/>
          <w:bCs/>
          <w:color w:val="000000"/>
          <w:sz w:val="24"/>
        </w:rPr>
        <w:br w:type="page"/>
      </w:r>
    </w:p>
    <w:p w14:paraId="1BE77D81" w14:textId="16E10610" w:rsidR="009050B3" w:rsidRDefault="009050B3" w:rsidP="009050B3">
      <w:pPr>
        <w:snapToGrid w:val="0"/>
        <w:spacing w:line="360" w:lineRule="auto"/>
        <w:ind w:right="-187"/>
        <w:jc w:val="center"/>
        <w:rPr>
          <w:rFonts w:ascii="Times New Roman" w:hAnsi="Times New Roman"/>
          <w:b/>
          <w:bCs/>
          <w:color w:val="000000"/>
          <w:sz w:val="24"/>
        </w:rPr>
      </w:pPr>
      <w:r>
        <w:rPr>
          <w:rFonts w:ascii="Times New Roman" w:hAnsi="Times New Roman"/>
          <w:b/>
          <w:bCs/>
          <w:noProof/>
          <w:color w:val="000000"/>
          <w:sz w:val="24"/>
        </w:rPr>
        <w:lastRenderedPageBreak/>
        <w:drawing>
          <wp:inline distT="0" distB="0" distL="0" distR="0" wp14:anchorId="51B25393" wp14:editId="4D639EF1">
            <wp:extent cx="4762500" cy="1587500"/>
            <wp:effectExtent l="0" t="0" r="0" b="0"/>
            <wp:docPr id="12409467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46750" name="Picture 12409467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2500" cy="1587500"/>
                    </a:xfrm>
                    <a:prstGeom prst="rect">
                      <a:avLst/>
                    </a:prstGeom>
                  </pic:spPr>
                </pic:pic>
              </a:graphicData>
            </a:graphic>
          </wp:inline>
        </w:drawing>
      </w:r>
    </w:p>
    <w:p w14:paraId="727C3DB4" w14:textId="5FE62A09" w:rsidR="009050B3" w:rsidRPr="009050B3" w:rsidRDefault="009050B3" w:rsidP="009050B3">
      <w:pPr>
        <w:snapToGrid w:val="0"/>
        <w:spacing w:line="360" w:lineRule="auto"/>
        <w:ind w:right="-187"/>
        <w:rPr>
          <w:rFonts w:ascii="Times New Roman" w:hAnsi="Times New Roman"/>
          <w:color w:val="000000"/>
          <w:sz w:val="24"/>
        </w:rPr>
      </w:pPr>
      <w:r w:rsidRPr="009050B3">
        <w:rPr>
          <w:rFonts w:ascii="Times New Roman" w:hAnsi="Times New Roman"/>
          <w:b/>
          <w:bCs/>
          <w:color w:val="000000"/>
          <w:sz w:val="24"/>
        </w:rPr>
        <w:t>Fig. S3</w:t>
      </w:r>
      <w:r w:rsidRPr="009050B3">
        <w:rPr>
          <w:rFonts w:ascii="Times New Roman" w:hAnsi="Times New Roman"/>
          <w:color w:val="000000"/>
          <w:sz w:val="24"/>
        </w:rPr>
        <w:t xml:space="preserve"> </w:t>
      </w:r>
      <w:r w:rsidRPr="009050B3">
        <w:rPr>
          <w:rFonts w:ascii="Times New Roman" w:hAnsi="Times New Roman"/>
          <w:i/>
          <w:iCs/>
          <w:color w:val="000000"/>
          <w:sz w:val="24"/>
        </w:rPr>
        <w:t>Ccdc180</w:t>
      </w:r>
      <w:r w:rsidRPr="009050B3">
        <w:rPr>
          <w:rFonts w:ascii="Times New Roman" w:hAnsi="Times New Roman"/>
          <w:color w:val="000000"/>
          <w:sz w:val="24"/>
        </w:rPr>
        <w:t xml:space="preserve"> deficiency does not affect early steps of testicular spermiogenesis. PAS and hematoxylin staining of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testis sections.</w:t>
      </w:r>
    </w:p>
    <w:p w14:paraId="23580D9D" w14:textId="77777777" w:rsidR="009050B3" w:rsidRPr="009050B3" w:rsidRDefault="009050B3" w:rsidP="009050B3">
      <w:pPr>
        <w:snapToGrid w:val="0"/>
        <w:spacing w:line="480" w:lineRule="auto"/>
        <w:ind w:right="-180"/>
        <w:rPr>
          <w:rFonts w:ascii="Times New Roman" w:hAnsi="Times New Roman"/>
          <w:color w:val="000000"/>
          <w:sz w:val="24"/>
        </w:rPr>
      </w:pPr>
    </w:p>
    <w:p w14:paraId="6F42CB31" w14:textId="77777777" w:rsidR="009050B3" w:rsidRDefault="009050B3">
      <w:pPr>
        <w:widowControl/>
        <w:jc w:val="left"/>
        <w:rPr>
          <w:rFonts w:ascii="Times New Roman" w:hAnsi="Times New Roman"/>
          <w:b/>
          <w:bCs/>
          <w:color w:val="000000"/>
          <w:sz w:val="24"/>
        </w:rPr>
      </w:pPr>
      <w:r>
        <w:rPr>
          <w:rFonts w:ascii="Times New Roman" w:hAnsi="Times New Roman"/>
          <w:b/>
          <w:bCs/>
          <w:color w:val="000000"/>
          <w:sz w:val="24"/>
        </w:rPr>
        <w:br w:type="page"/>
      </w:r>
    </w:p>
    <w:p w14:paraId="5B6BE295" w14:textId="77777777" w:rsidR="009050B3" w:rsidRDefault="009050B3" w:rsidP="009050B3">
      <w:pPr>
        <w:snapToGrid w:val="0"/>
        <w:spacing w:line="360" w:lineRule="auto"/>
        <w:ind w:right="-187"/>
        <w:jc w:val="center"/>
        <w:rPr>
          <w:rFonts w:ascii="Times New Roman" w:hAnsi="Times New Roman"/>
          <w:b/>
          <w:bCs/>
          <w:color w:val="000000"/>
          <w:sz w:val="24"/>
        </w:rPr>
      </w:pPr>
      <w:r>
        <w:rPr>
          <w:rFonts w:ascii="Times New Roman" w:hAnsi="Times New Roman"/>
          <w:b/>
          <w:bCs/>
          <w:noProof/>
          <w:color w:val="000000"/>
          <w:sz w:val="24"/>
        </w:rPr>
        <w:lastRenderedPageBreak/>
        <w:drawing>
          <wp:inline distT="0" distB="0" distL="0" distR="0" wp14:anchorId="07794A1C" wp14:editId="1E696C12">
            <wp:extent cx="4864100" cy="1600200"/>
            <wp:effectExtent l="0" t="0" r="0" b="0"/>
            <wp:docPr id="3038388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38873" name="Picture 3038388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64100" cy="1600200"/>
                    </a:xfrm>
                    <a:prstGeom prst="rect">
                      <a:avLst/>
                    </a:prstGeom>
                  </pic:spPr>
                </pic:pic>
              </a:graphicData>
            </a:graphic>
          </wp:inline>
        </w:drawing>
      </w:r>
    </w:p>
    <w:p w14:paraId="040F172E" w14:textId="6B3B4250" w:rsidR="009050B3" w:rsidRPr="009050B3" w:rsidRDefault="009050B3" w:rsidP="009050B3">
      <w:pPr>
        <w:snapToGrid w:val="0"/>
        <w:spacing w:line="360" w:lineRule="auto"/>
        <w:ind w:right="-187"/>
        <w:rPr>
          <w:rFonts w:ascii="Times New Roman" w:hAnsi="Times New Roman"/>
          <w:color w:val="000000"/>
          <w:sz w:val="24"/>
        </w:rPr>
      </w:pPr>
      <w:r w:rsidRPr="009050B3">
        <w:rPr>
          <w:rFonts w:ascii="Times New Roman" w:hAnsi="Times New Roman"/>
          <w:b/>
          <w:bCs/>
          <w:color w:val="000000"/>
          <w:sz w:val="24"/>
        </w:rPr>
        <w:t>Fig. S4</w:t>
      </w:r>
      <w:r w:rsidRPr="009050B3">
        <w:rPr>
          <w:rFonts w:ascii="Times New Roman" w:hAnsi="Times New Roman"/>
          <w:color w:val="000000"/>
          <w:sz w:val="24"/>
        </w:rPr>
        <w:t xml:space="preserve"> CCDC180 is dispensable for centriole amplification or ciliary assembly. </w:t>
      </w:r>
      <w:r w:rsidRPr="009050B3">
        <w:rPr>
          <w:rFonts w:ascii="Times New Roman" w:hAnsi="Times New Roman"/>
          <w:b/>
          <w:bCs/>
          <w:color w:val="000000"/>
          <w:sz w:val="24"/>
        </w:rPr>
        <w:t>A</w:t>
      </w:r>
      <w:r w:rsidRPr="009050B3">
        <w:rPr>
          <w:rFonts w:ascii="Times New Roman" w:hAnsi="Times New Roman"/>
          <w:color w:val="000000"/>
          <w:sz w:val="24"/>
        </w:rPr>
        <w:t xml:space="preserve"> SEM images of brain ependyma isolated from 8-week-old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mice. </w:t>
      </w:r>
      <w:r w:rsidRPr="009050B3">
        <w:rPr>
          <w:rFonts w:ascii="Times New Roman" w:hAnsi="Times New Roman"/>
          <w:b/>
          <w:bCs/>
          <w:color w:val="000000"/>
          <w:sz w:val="24"/>
        </w:rPr>
        <w:t>B–D</w:t>
      </w:r>
      <w:r w:rsidRPr="009050B3">
        <w:rPr>
          <w:rFonts w:ascii="Times New Roman" w:hAnsi="Times New Roman"/>
          <w:color w:val="000000"/>
          <w:sz w:val="24"/>
        </w:rPr>
        <w:t xml:space="preserve"> Immunofluorescence images (B) and quantifications of the number of cilia (C) and basal bodies (D) per mEPC cultured from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mice. Cells were immunostained with ac-Tub and CEP164 antibodies, and imaged with 3D-SIM. 90 cells from 3 mice (per genotype) were scored using ImageJ. Data in (C) and (D) are presented as mean ± SD. An unpaired, two-tailed Student’s </w:t>
      </w:r>
      <w:r w:rsidRPr="009050B3">
        <w:rPr>
          <w:rFonts w:ascii="Times New Roman" w:hAnsi="Times New Roman"/>
          <w:i/>
          <w:iCs/>
          <w:color w:val="000000"/>
          <w:sz w:val="24"/>
        </w:rPr>
        <w:t>t</w:t>
      </w:r>
      <w:r w:rsidRPr="009050B3">
        <w:rPr>
          <w:rFonts w:ascii="Times New Roman" w:hAnsi="Times New Roman"/>
          <w:color w:val="000000"/>
          <w:sz w:val="24"/>
        </w:rPr>
        <w:t>-test was performed. ns, not significant.</w:t>
      </w:r>
    </w:p>
    <w:p w14:paraId="51F8FCB4" w14:textId="77777777" w:rsidR="009050B3" w:rsidRPr="009050B3" w:rsidRDefault="009050B3" w:rsidP="009050B3">
      <w:pPr>
        <w:snapToGrid w:val="0"/>
        <w:spacing w:line="480" w:lineRule="auto"/>
        <w:ind w:right="-180"/>
        <w:rPr>
          <w:rFonts w:ascii="Times New Roman" w:hAnsi="Times New Roman"/>
          <w:color w:val="000000"/>
          <w:sz w:val="24"/>
        </w:rPr>
      </w:pPr>
    </w:p>
    <w:p w14:paraId="580359AF" w14:textId="77777777" w:rsidR="009050B3" w:rsidRPr="009050B3" w:rsidRDefault="009050B3" w:rsidP="009050B3">
      <w:pPr>
        <w:snapToGrid w:val="0"/>
        <w:spacing w:line="480" w:lineRule="auto"/>
        <w:ind w:right="-180"/>
        <w:rPr>
          <w:rFonts w:ascii="Times New Roman" w:hAnsi="Times New Roman"/>
          <w:color w:val="000000"/>
          <w:sz w:val="24"/>
        </w:rPr>
      </w:pPr>
    </w:p>
    <w:p w14:paraId="139475AE" w14:textId="77777777" w:rsidR="009050B3" w:rsidRPr="009050B3" w:rsidRDefault="009050B3" w:rsidP="009050B3">
      <w:pPr>
        <w:snapToGrid w:val="0"/>
        <w:spacing w:line="480" w:lineRule="auto"/>
        <w:ind w:right="-180"/>
        <w:rPr>
          <w:rFonts w:ascii="Times New Roman" w:hAnsi="Times New Roman"/>
          <w:color w:val="000000"/>
          <w:sz w:val="24"/>
        </w:rPr>
      </w:pPr>
      <w:r w:rsidRPr="009050B3">
        <w:rPr>
          <w:rFonts w:ascii="Times New Roman" w:hAnsi="Times New Roman"/>
          <w:color w:val="000000"/>
          <w:sz w:val="24"/>
        </w:rPr>
        <w:t> </w:t>
      </w:r>
    </w:p>
    <w:p w14:paraId="4BF202FC" w14:textId="77777777" w:rsidR="009050B3" w:rsidRDefault="009050B3">
      <w:pPr>
        <w:widowControl/>
        <w:jc w:val="left"/>
        <w:rPr>
          <w:rFonts w:ascii="Times New Roman" w:hAnsi="Times New Roman"/>
          <w:b/>
          <w:bCs/>
          <w:color w:val="000000"/>
          <w:sz w:val="24"/>
        </w:rPr>
      </w:pPr>
      <w:r>
        <w:rPr>
          <w:rFonts w:ascii="Times New Roman" w:hAnsi="Times New Roman"/>
          <w:b/>
          <w:bCs/>
          <w:color w:val="000000"/>
          <w:sz w:val="24"/>
        </w:rPr>
        <w:br w:type="page"/>
      </w:r>
    </w:p>
    <w:p w14:paraId="4173454A" w14:textId="2A6DA8D0" w:rsidR="009050B3" w:rsidRPr="009050B3" w:rsidRDefault="009050B3" w:rsidP="009050B3">
      <w:pPr>
        <w:snapToGrid w:val="0"/>
        <w:spacing w:line="480" w:lineRule="auto"/>
        <w:ind w:right="-180"/>
        <w:rPr>
          <w:rFonts w:ascii="Times New Roman" w:hAnsi="Times New Roman"/>
          <w:b/>
          <w:bCs/>
          <w:color w:val="000000"/>
          <w:sz w:val="24"/>
        </w:rPr>
      </w:pPr>
      <w:r w:rsidRPr="009050B3">
        <w:rPr>
          <w:rFonts w:ascii="Times New Roman" w:hAnsi="Times New Roman"/>
          <w:b/>
          <w:bCs/>
          <w:color w:val="000000"/>
          <w:sz w:val="24"/>
        </w:rPr>
        <w:lastRenderedPageBreak/>
        <w:t>Supplementary movie legends</w:t>
      </w:r>
    </w:p>
    <w:p w14:paraId="7E3600BF" w14:textId="77777777" w:rsidR="009050B3" w:rsidRPr="009050B3" w:rsidRDefault="009050B3" w:rsidP="009050B3">
      <w:pPr>
        <w:snapToGrid w:val="0"/>
        <w:spacing w:line="480" w:lineRule="auto"/>
        <w:ind w:right="-180"/>
        <w:rPr>
          <w:rFonts w:ascii="Times New Roman" w:hAnsi="Times New Roman"/>
          <w:color w:val="000000"/>
          <w:sz w:val="24"/>
        </w:rPr>
      </w:pPr>
      <w:r w:rsidRPr="009050B3">
        <w:rPr>
          <w:rFonts w:ascii="Times New Roman" w:hAnsi="Times New Roman"/>
          <w:b/>
          <w:bCs/>
          <w:color w:val="000000"/>
          <w:sz w:val="24"/>
        </w:rPr>
        <w:t>Movie S1</w:t>
      </w:r>
      <w:r w:rsidRPr="009050B3">
        <w:rPr>
          <w:rFonts w:ascii="Times New Roman" w:hAnsi="Times New Roman"/>
          <w:color w:val="000000"/>
          <w:sz w:val="24"/>
        </w:rPr>
        <w:t xml:space="preserve"> Sperm motility of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spermatozoa. Mature spermatozoa released from the cauda epididymides of adult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mice were live-imaged using the CASA imaging system. Image sequences were played back at 20 fps.</w:t>
      </w:r>
    </w:p>
    <w:p w14:paraId="78C7898F" w14:textId="77777777" w:rsidR="009050B3" w:rsidRPr="009050B3" w:rsidRDefault="009050B3" w:rsidP="009050B3">
      <w:pPr>
        <w:snapToGrid w:val="0"/>
        <w:spacing w:line="480" w:lineRule="auto"/>
        <w:ind w:right="-180"/>
        <w:rPr>
          <w:rFonts w:ascii="Times New Roman" w:hAnsi="Times New Roman"/>
          <w:color w:val="000000"/>
          <w:sz w:val="24"/>
        </w:rPr>
      </w:pPr>
    </w:p>
    <w:p w14:paraId="19F51BA0" w14:textId="77777777" w:rsidR="009050B3" w:rsidRPr="009050B3" w:rsidRDefault="009050B3" w:rsidP="009050B3">
      <w:pPr>
        <w:snapToGrid w:val="0"/>
        <w:spacing w:line="480" w:lineRule="auto"/>
        <w:ind w:right="-180"/>
        <w:rPr>
          <w:rFonts w:ascii="Times New Roman" w:hAnsi="Times New Roman"/>
          <w:color w:val="000000"/>
          <w:sz w:val="24"/>
        </w:rPr>
      </w:pPr>
      <w:r w:rsidRPr="009050B3">
        <w:rPr>
          <w:rFonts w:ascii="Times New Roman" w:hAnsi="Times New Roman"/>
          <w:b/>
          <w:bCs/>
          <w:color w:val="000000"/>
          <w:sz w:val="24"/>
        </w:rPr>
        <w:t>Movie S2</w:t>
      </w:r>
      <w:r w:rsidRPr="009050B3">
        <w:rPr>
          <w:rFonts w:ascii="Times New Roman" w:hAnsi="Times New Roman"/>
          <w:color w:val="000000"/>
          <w:sz w:val="24"/>
        </w:rPr>
        <w:t xml:space="preserve"> Ciliary motility in representative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mEPCs. Ciliary motility in WT and </w:t>
      </w:r>
      <w:r w:rsidRPr="009050B3">
        <w:rPr>
          <w:rFonts w:ascii="Times New Roman" w:hAnsi="Times New Roman"/>
          <w:i/>
          <w:iCs/>
          <w:color w:val="000000"/>
          <w:sz w:val="24"/>
        </w:rPr>
        <w:t>Ccdc180</w:t>
      </w:r>
      <w:r w:rsidRPr="009050B3">
        <w:rPr>
          <w:rFonts w:ascii="Times New Roman" w:hAnsi="Times New Roman"/>
          <w:color w:val="000000"/>
          <w:sz w:val="24"/>
        </w:rPr>
        <w:t xml:space="preserve"> KO mEPCs was live imaged using a high-speed camera. Image sequences are played back at 5 fps.</w:t>
      </w:r>
    </w:p>
    <w:p w14:paraId="23C744FC" w14:textId="77777777" w:rsidR="002D438D" w:rsidRPr="009050B3" w:rsidRDefault="002D438D" w:rsidP="009050B3">
      <w:pPr>
        <w:snapToGrid w:val="0"/>
        <w:spacing w:line="480" w:lineRule="auto"/>
        <w:ind w:right="-180"/>
        <w:rPr>
          <w:rFonts w:ascii="Times New Roman" w:hAnsi="Times New Roman"/>
          <w:color w:val="000000"/>
          <w:sz w:val="24"/>
        </w:rPr>
      </w:pPr>
    </w:p>
    <w:sectPr w:rsidR="002D438D" w:rsidRPr="009050B3" w:rsidSect="0005641D">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5FA322" w14:textId="77777777" w:rsidR="00AC6B3E" w:rsidRDefault="00AC6B3E" w:rsidP="0005641D">
      <w:r>
        <w:separator/>
      </w:r>
    </w:p>
  </w:endnote>
  <w:endnote w:type="continuationSeparator" w:id="0">
    <w:p w14:paraId="600A8FF7" w14:textId="77777777" w:rsidR="00AC6B3E" w:rsidRDefault="00AC6B3E" w:rsidP="00056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Bold">
    <w:altName w:val="Times New Roman"/>
    <w:panose1 w:val="020B0604020202020204"/>
    <w:charset w:val="00"/>
    <w:family w:val="auto"/>
    <w:pitch w:val="default"/>
    <w:sig w:usb0="E0000AFF" w:usb1="00007843" w:usb2="00000001" w:usb3="00000000" w:csb0="400001BF" w:csb1="DFF70000"/>
  </w:font>
  <w:font w:name="Helvetica Neue">
    <w:panose1 w:val="02000503000000020004"/>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6378223"/>
      <w:docPartObj>
        <w:docPartGallery w:val="Page Numbers (Bottom of Page)"/>
        <w:docPartUnique/>
      </w:docPartObj>
    </w:sdtPr>
    <w:sdtContent>
      <w:p w14:paraId="601D4B7F" w14:textId="4215343F" w:rsidR="0005641D" w:rsidRDefault="0005641D" w:rsidP="000564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E8E9CAD" w14:textId="77777777" w:rsidR="0005641D" w:rsidRDefault="0005641D" w:rsidP="000564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4626534"/>
      <w:docPartObj>
        <w:docPartGallery w:val="Page Numbers (Bottom of Page)"/>
        <w:docPartUnique/>
      </w:docPartObj>
    </w:sdtPr>
    <w:sdtContent>
      <w:p w14:paraId="7DB4F8E7" w14:textId="4043F95F" w:rsidR="0005641D" w:rsidRDefault="0005641D" w:rsidP="000564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FC4A23" w14:textId="77777777" w:rsidR="0005641D" w:rsidRDefault="0005641D" w:rsidP="00056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8A41DA" w14:textId="77777777" w:rsidR="00AC6B3E" w:rsidRDefault="00AC6B3E" w:rsidP="0005641D">
      <w:r>
        <w:separator/>
      </w:r>
    </w:p>
  </w:footnote>
  <w:footnote w:type="continuationSeparator" w:id="0">
    <w:p w14:paraId="3184E52A" w14:textId="77777777" w:rsidR="00AC6B3E" w:rsidRDefault="00AC6B3E" w:rsidP="0005641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y Reproduction&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5FFFE075"/>
    <w:rsid w:val="0005641D"/>
    <w:rsid w:val="002D438D"/>
    <w:rsid w:val="003F135B"/>
    <w:rsid w:val="003F582E"/>
    <w:rsid w:val="003F657F"/>
    <w:rsid w:val="004F312D"/>
    <w:rsid w:val="00604DA6"/>
    <w:rsid w:val="006053C5"/>
    <w:rsid w:val="00606E5A"/>
    <w:rsid w:val="00616429"/>
    <w:rsid w:val="00632493"/>
    <w:rsid w:val="006459D9"/>
    <w:rsid w:val="0064762B"/>
    <w:rsid w:val="006864FA"/>
    <w:rsid w:val="007028DE"/>
    <w:rsid w:val="00750EDF"/>
    <w:rsid w:val="007F77DB"/>
    <w:rsid w:val="008104F2"/>
    <w:rsid w:val="00845F3F"/>
    <w:rsid w:val="008847E4"/>
    <w:rsid w:val="008A16F5"/>
    <w:rsid w:val="008D2269"/>
    <w:rsid w:val="009050B3"/>
    <w:rsid w:val="00916D27"/>
    <w:rsid w:val="00954401"/>
    <w:rsid w:val="00963669"/>
    <w:rsid w:val="009656C2"/>
    <w:rsid w:val="00A33B6C"/>
    <w:rsid w:val="00AC6B3E"/>
    <w:rsid w:val="00B24A19"/>
    <w:rsid w:val="00B52D04"/>
    <w:rsid w:val="00C23357"/>
    <w:rsid w:val="00C25058"/>
    <w:rsid w:val="00C878CC"/>
    <w:rsid w:val="00D03281"/>
    <w:rsid w:val="00D445E3"/>
    <w:rsid w:val="00D52E90"/>
    <w:rsid w:val="00E06247"/>
    <w:rsid w:val="00F5615D"/>
    <w:rsid w:val="00F90C27"/>
    <w:rsid w:val="2BF615EB"/>
    <w:rsid w:val="2FFE2131"/>
    <w:rsid w:val="3DB90FB8"/>
    <w:rsid w:val="5FF1392F"/>
    <w:rsid w:val="5FFFE075"/>
    <w:rsid w:val="6F3FDEB4"/>
    <w:rsid w:val="7FFF5D15"/>
    <w:rsid w:val="D5F53770"/>
    <w:rsid w:val="F71BE939"/>
    <w:rsid w:val="F7BD4CBA"/>
    <w:rsid w:val="FDFF8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0CAAB"/>
  <w15:docId w15:val="{36CF2501-0057-E64D-A4FD-CE5E6BAD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character" w:customStyle="1" w:styleId="s2">
    <w:name w:val="s2"/>
    <w:basedOn w:val="DefaultParagraphFont"/>
    <w:rPr>
      <w:rFonts w:ascii="Helvetica" w:eastAsia="Helvetica" w:hAnsi="Helvetica" w:cs="Helvetica"/>
      <w:sz w:val="9"/>
      <w:szCs w:val="9"/>
    </w:rPr>
  </w:style>
  <w:style w:type="character" w:customStyle="1" w:styleId="s1">
    <w:name w:val="s1"/>
    <w:basedOn w:val="DefaultParagraphFont"/>
    <w:rPr>
      <w:rFonts w:ascii="Helvetica" w:eastAsia="Helvetica" w:hAnsi="Helvetica" w:cs="Helvetica" w:hint="default"/>
      <w:sz w:val="15"/>
      <w:szCs w:val="15"/>
    </w:rPr>
  </w:style>
  <w:style w:type="paragraph" w:customStyle="1" w:styleId="p1">
    <w:name w:val="p1"/>
    <w:basedOn w:val="Normal"/>
    <w:pPr>
      <w:jc w:val="left"/>
    </w:pPr>
    <w:rPr>
      <w:rFonts w:ascii="Helvetica" w:eastAsia="Helvetica" w:hAnsi="Helvetica" w:cs="Times New Roman"/>
      <w:kern w:val="0"/>
      <w:sz w:val="13"/>
      <w:szCs w:val="13"/>
    </w:rPr>
  </w:style>
  <w:style w:type="paragraph" w:styleId="ListParagraph">
    <w:name w:val="List Paragraph"/>
    <w:basedOn w:val="Normal"/>
    <w:uiPriority w:val="99"/>
    <w:unhideWhenUsed/>
    <w:pPr>
      <w:ind w:firstLineChars="200" w:firstLine="420"/>
    </w:pPr>
  </w:style>
  <w:style w:type="paragraph" w:customStyle="1" w:styleId="EndNoteBibliographyTitle">
    <w:name w:val="EndNote Bibliography Title"/>
    <w:basedOn w:val="Normal"/>
    <w:link w:val="EndNoteBibliographyTitleChar"/>
    <w:rsid w:val="00604DA6"/>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rsid w:val="00604DA6"/>
    <w:rPr>
      <w:rFonts w:ascii="Calibri" w:eastAsiaTheme="minorEastAsia" w:hAnsi="Calibri" w:cs="Calibri"/>
      <w:kern w:val="2"/>
      <w:szCs w:val="24"/>
    </w:rPr>
  </w:style>
  <w:style w:type="paragraph" w:customStyle="1" w:styleId="EndNoteBibliography">
    <w:name w:val="EndNote Bibliography"/>
    <w:basedOn w:val="Normal"/>
    <w:link w:val="EndNoteBibliographyChar"/>
    <w:rsid w:val="00604DA6"/>
    <w:rPr>
      <w:rFonts w:ascii="Calibri" w:hAnsi="Calibri" w:cs="Calibri"/>
      <w:sz w:val="20"/>
    </w:rPr>
  </w:style>
  <w:style w:type="character" w:customStyle="1" w:styleId="EndNoteBibliographyChar">
    <w:name w:val="EndNote Bibliography Char"/>
    <w:basedOn w:val="DefaultParagraphFont"/>
    <w:link w:val="EndNoteBibliography"/>
    <w:rsid w:val="00604DA6"/>
    <w:rPr>
      <w:rFonts w:ascii="Calibri" w:eastAsiaTheme="minorEastAsia" w:hAnsi="Calibri" w:cs="Calibri"/>
      <w:kern w:val="2"/>
      <w:szCs w:val="24"/>
    </w:rPr>
  </w:style>
  <w:style w:type="paragraph" w:styleId="Footer">
    <w:name w:val="footer"/>
    <w:basedOn w:val="Normal"/>
    <w:link w:val="FooterChar"/>
    <w:rsid w:val="0005641D"/>
    <w:pPr>
      <w:tabs>
        <w:tab w:val="center" w:pos="4680"/>
        <w:tab w:val="right" w:pos="9360"/>
      </w:tabs>
    </w:pPr>
  </w:style>
  <w:style w:type="character" w:customStyle="1" w:styleId="FooterChar">
    <w:name w:val="Footer Char"/>
    <w:basedOn w:val="DefaultParagraphFont"/>
    <w:link w:val="Footer"/>
    <w:rsid w:val="0005641D"/>
    <w:rPr>
      <w:rFonts w:asciiTheme="minorHAnsi" w:eastAsiaTheme="minorEastAsia" w:hAnsiTheme="minorHAnsi" w:cstheme="minorBidi"/>
      <w:kern w:val="2"/>
      <w:sz w:val="21"/>
      <w:szCs w:val="24"/>
    </w:rPr>
  </w:style>
  <w:style w:type="character" w:styleId="PageNumber">
    <w:name w:val="page number"/>
    <w:basedOn w:val="DefaultParagraphFont"/>
    <w:rsid w:val="00056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姗姗</dc:creator>
  <cp:lastModifiedBy>Zhao Huijie</cp:lastModifiedBy>
  <cp:revision>3</cp:revision>
  <dcterms:created xsi:type="dcterms:W3CDTF">2026-08-21T08:27:00Z</dcterms:created>
  <dcterms:modified xsi:type="dcterms:W3CDTF">2026-08-21T08:40:00Z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2052-12.1.22218.22218</vt:lpwstr>
  </property>
  <property fmtid="{D5CDD505-2E9C-101B-9397-08002B2CF9AE}" pid="3" name="ICV">
    <vt:lpwstr>B86C94A469C3FDD4030E686AF2863AE7_41</vt:lpwstr>
  </property>
</Properties>
</file>