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eastAsia="Times New Roman"/>
          <w:b/>
          <w:color w:val="000000"/>
          <w:sz w:val="28"/>
        </w:rPr>
        <w:t>Research Highlights</w:t>
      </w:r>
    </w:p>
    <w:p>
      <w:pPr>
        <w:pStyle w:val="ListBullet"/>
      </w:pPr>
      <w:r>
        <w:t>Broad parenting resources explained little prevention-behavior variation.</w:t>
      </w:r>
    </w:p>
    <w:p>
      <w:pPr>
        <w:pStyle w:val="ListBullet"/>
      </w:pPr>
      <w:r>
        <w:t>Family support was weakly associated with reported prevention behavior.</w:t>
      </w:r>
    </w:p>
    <w:p>
      <w:pPr>
        <w:pStyle w:val="ListBullet"/>
      </w:pPr>
      <w:r>
        <w:t>The adjusted PSOC signal weakened in distribution-sensitive analyses.</w:t>
      </w:r>
    </w:p>
    <w:p>
      <w:pPr>
        <w:pStyle w:val="ListBullet"/>
      </w:pPr>
      <w:r>
        <w:t>School context emerged as a modest signal requiring prospective study.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