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A0B7B" w14:textId="77777777" w:rsidR="00E3363A" w:rsidRDefault="00E3363A" w:rsidP="00E3363A">
      <w:pPr>
        <w:pStyle w:val="Heading1"/>
        <w:rPr>
          <w:rFonts w:eastAsiaTheme="minorEastAsia"/>
        </w:rPr>
      </w:pPr>
      <w:r w:rsidRPr="00BC2F63">
        <w:rPr>
          <w:rFonts w:eastAsia="Times New Roman"/>
        </w:rPr>
        <w:t>Supplementary Information</w:t>
      </w:r>
    </w:p>
    <w:p w14:paraId="36073996" w14:textId="77777777" w:rsidR="00E3363A" w:rsidRDefault="00E3363A" w:rsidP="00E3363A">
      <w:pPr>
        <w:jc w:val="both"/>
        <w:rPr>
          <w:rFonts w:eastAsiaTheme="minorEastAsia"/>
          <w:b/>
          <w:bCs/>
        </w:rPr>
      </w:pPr>
      <w:r w:rsidRPr="00E048BE">
        <w:rPr>
          <w:b/>
          <w:bCs/>
        </w:rPr>
        <w:t>Additional file 1 (.xlsx): Supplementary Tables S1–S8.</w:t>
      </w:r>
    </w:p>
    <w:p w14:paraId="4E390968" w14:textId="77777777" w:rsidR="00E3363A" w:rsidRPr="00E048BE" w:rsidRDefault="00E3363A" w:rsidP="00E3363A">
      <w:pPr>
        <w:jc w:val="both"/>
        <w:rPr>
          <w:rFonts w:eastAsiaTheme="minorEastAsia"/>
          <w:b/>
          <w:bCs/>
        </w:rPr>
      </w:pPr>
      <w:r w:rsidRPr="00E048BE">
        <w:rPr>
          <w:rFonts w:eastAsiaTheme="minorEastAsia"/>
          <w:b/>
          <w:bCs/>
        </w:rPr>
        <w:t>Additional file 2 (.pdf</w:t>
      </w:r>
      <w:r>
        <w:rPr>
          <w:rFonts w:eastAsiaTheme="minorEastAsia" w:hint="eastAsia"/>
          <w:b/>
          <w:bCs/>
        </w:rPr>
        <w:t xml:space="preserve"> /.jpeg /.tiff</w:t>
      </w:r>
      <w:r w:rsidRPr="00E048BE">
        <w:rPr>
          <w:rFonts w:eastAsiaTheme="minorEastAsia"/>
          <w:b/>
          <w:bCs/>
        </w:rPr>
        <w:t>): Supplementary Figures S1–S9.</w:t>
      </w:r>
    </w:p>
    <w:p w14:paraId="7D2AB36B" w14:textId="77777777" w:rsidR="00E3363A" w:rsidRPr="0049231A" w:rsidRDefault="00E3363A" w:rsidP="00E3363A">
      <w:pPr>
        <w:jc w:val="both"/>
        <w:rPr>
          <w:rFonts w:eastAsiaTheme="minorEastAsia"/>
          <w:b/>
          <w:bCs/>
        </w:rPr>
      </w:pPr>
      <w:r w:rsidRPr="0049231A">
        <w:rPr>
          <w:b/>
          <w:bCs/>
        </w:rPr>
        <w:t xml:space="preserve">Additional file </w:t>
      </w:r>
      <w:r w:rsidRPr="0049231A">
        <w:rPr>
          <w:rFonts w:eastAsiaTheme="minorEastAsia" w:hint="eastAsia"/>
          <w:b/>
          <w:bCs/>
        </w:rPr>
        <w:t>1</w:t>
      </w:r>
      <w:r w:rsidRPr="0049231A">
        <w:rPr>
          <w:b/>
          <w:bCs/>
        </w:rPr>
        <w:t xml:space="preserve">, Supplementary Table </w:t>
      </w:r>
      <w:r w:rsidRPr="0049231A">
        <w:rPr>
          <w:rFonts w:eastAsiaTheme="minorEastAsia" w:hint="eastAsia"/>
          <w:b/>
          <w:bCs/>
        </w:rPr>
        <w:t>S</w:t>
      </w:r>
      <w:r w:rsidRPr="0049231A">
        <w:rPr>
          <w:b/>
          <w:bCs/>
        </w:rPr>
        <w:t>1 Clinicopathological Characteristics of Samples Across Three Single-Cell Datasets</w:t>
      </w:r>
    </w:p>
    <w:p w14:paraId="6A320B80" w14:textId="77777777" w:rsidR="00E3363A" w:rsidRDefault="00E3363A" w:rsidP="00E3363A">
      <w:pPr>
        <w:rPr>
          <w:rFonts w:eastAsiaTheme="minorEastAsia"/>
        </w:rPr>
      </w:pPr>
      <w:r w:rsidRPr="0049231A">
        <w:rPr>
          <w:rFonts w:eastAsiaTheme="minorEastAsia"/>
        </w:rPr>
        <w:t>Description: Clinicopathological characteristics and dataset source information for the samples included in the three single-cell RNA sequencing datasets analyzed in this study.</w:t>
      </w:r>
    </w:p>
    <w:p w14:paraId="1CF0229E" w14:textId="77777777" w:rsidR="00E3363A" w:rsidRDefault="00E3363A" w:rsidP="00E3363A">
      <w:pPr>
        <w:rPr>
          <w:rFonts w:eastAsiaTheme="minorEastAsia"/>
          <w:b/>
          <w:bCs/>
        </w:rPr>
      </w:pPr>
      <w:r>
        <w:rPr>
          <w:b/>
          <w:bCs/>
        </w:rPr>
        <w:t>Additional file</w:t>
      </w:r>
      <w:r w:rsidRPr="005C3E0A">
        <w:rPr>
          <w:b/>
          <w:bCs/>
        </w:rPr>
        <w:t xml:space="preserve"> </w:t>
      </w:r>
      <w:r>
        <w:rPr>
          <w:rFonts w:eastAsiaTheme="minorEastAsia" w:hint="eastAsia"/>
          <w:b/>
          <w:bCs/>
        </w:rPr>
        <w:t>1</w:t>
      </w:r>
      <w:r w:rsidRPr="005C3E0A">
        <w:rPr>
          <w:b/>
          <w:bCs/>
        </w:rPr>
        <w:t xml:space="preserve">, </w:t>
      </w:r>
      <w:r w:rsidRPr="00A43F64">
        <w:rPr>
          <w:b/>
          <w:bCs/>
        </w:rPr>
        <w:t xml:space="preserve">Supplementary Table </w:t>
      </w:r>
      <w:r>
        <w:rPr>
          <w:rFonts w:eastAsiaTheme="minorEastAsia" w:hint="eastAsia"/>
          <w:b/>
          <w:bCs/>
        </w:rPr>
        <w:t>S</w:t>
      </w:r>
      <w:r w:rsidRPr="00A43F64">
        <w:rPr>
          <w:b/>
          <w:bCs/>
        </w:rPr>
        <w:t>2 Detailed Gene Information of the Butanoate Metabolism Gene Set</w:t>
      </w:r>
    </w:p>
    <w:p w14:paraId="436CB734" w14:textId="77777777" w:rsidR="00E3363A" w:rsidRPr="0049231A" w:rsidRDefault="00E3363A" w:rsidP="00E3363A">
      <w:pPr>
        <w:jc w:val="both"/>
        <w:rPr>
          <w:rFonts w:eastAsiaTheme="minorEastAsia"/>
        </w:rPr>
      </w:pPr>
      <w:r w:rsidRPr="0049231A">
        <w:rPr>
          <w:rFonts w:eastAsiaTheme="minorEastAsia"/>
        </w:rPr>
        <w:t>Description: Detailed information on the genes included in the butanoate metabolism gene set used for pathway activity assessment and subsequent analyses.</w:t>
      </w:r>
    </w:p>
    <w:p w14:paraId="3CBD1B62" w14:textId="77777777" w:rsidR="00E3363A" w:rsidRDefault="00E3363A" w:rsidP="00E3363A">
      <w:pPr>
        <w:rPr>
          <w:rFonts w:eastAsiaTheme="minorEastAsia"/>
          <w:b/>
          <w:bCs/>
        </w:rPr>
      </w:pPr>
      <w:r>
        <w:rPr>
          <w:b/>
          <w:bCs/>
        </w:rPr>
        <w:t>Additional file</w:t>
      </w:r>
      <w:r w:rsidRPr="005C3E0A">
        <w:rPr>
          <w:b/>
          <w:bCs/>
        </w:rPr>
        <w:t xml:space="preserve"> </w:t>
      </w:r>
      <w:r>
        <w:rPr>
          <w:rFonts w:eastAsiaTheme="minorEastAsia" w:hint="eastAsia"/>
          <w:b/>
          <w:bCs/>
        </w:rPr>
        <w:t>1</w:t>
      </w:r>
      <w:r w:rsidRPr="005C3E0A">
        <w:rPr>
          <w:b/>
          <w:bCs/>
        </w:rPr>
        <w:t xml:space="preserve">, </w:t>
      </w:r>
      <w:r w:rsidRPr="00A43F64">
        <w:rPr>
          <w:b/>
          <w:bCs/>
        </w:rPr>
        <w:t xml:space="preserve">Supplementary Table </w:t>
      </w:r>
      <w:r>
        <w:rPr>
          <w:rFonts w:eastAsiaTheme="minorEastAsia" w:hint="eastAsia"/>
          <w:b/>
          <w:bCs/>
        </w:rPr>
        <w:t>S</w:t>
      </w:r>
      <w:r w:rsidRPr="00A43F64">
        <w:rPr>
          <w:b/>
          <w:bCs/>
        </w:rPr>
        <w:t>3 Distinctive Marker Genes Defining Cell Types in scRNA-Seq Data</w:t>
      </w:r>
    </w:p>
    <w:p w14:paraId="3DD0621B" w14:textId="77777777" w:rsidR="00E3363A" w:rsidRPr="00DB7114" w:rsidRDefault="00E3363A" w:rsidP="00E3363A">
      <w:pPr>
        <w:jc w:val="both"/>
        <w:rPr>
          <w:rFonts w:eastAsiaTheme="minorEastAsia"/>
        </w:rPr>
      </w:pPr>
      <w:r w:rsidRPr="00DB7114">
        <w:rPr>
          <w:rFonts w:hint="eastAsia"/>
        </w:rPr>
        <w:t>Description: Marker genes used to identify and annotate the major cell types detected in the integrated single-cell RNA sequencing datasets.</w:t>
      </w:r>
    </w:p>
    <w:p w14:paraId="7E508809" w14:textId="77777777" w:rsidR="00E3363A" w:rsidRPr="00DB7114" w:rsidRDefault="00E3363A" w:rsidP="00E3363A">
      <w:pPr>
        <w:rPr>
          <w:rFonts w:eastAsiaTheme="minorEastAsia"/>
          <w:b/>
          <w:bCs/>
        </w:rPr>
      </w:pPr>
      <w:r w:rsidRPr="00DB7114">
        <w:rPr>
          <w:b/>
          <w:bCs/>
        </w:rPr>
        <w:t xml:space="preserve">Additional file </w:t>
      </w:r>
      <w:r w:rsidRPr="00DB7114">
        <w:rPr>
          <w:rFonts w:eastAsiaTheme="minorEastAsia" w:hint="eastAsia"/>
          <w:b/>
          <w:bCs/>
        </w:rPr>
        <w:t>1</w:t>
      </w:r>
      <w:r w:rsidRPr="00DB7114">
        <w:rPr>
          <w:b/>
          <w:bCs/>
        </w:rPr>
        <w:t xml:space="preserve">, Supplementary Table </w:t>
      </w:r>
      <w:r w:rsidRPr="00DB7114">
        <w:rPr>
          <w:rFonts w:eastAsiaTheme="minorEastAsia" w:hint="eastAsia"/>
          <w:b/>
          <w:bCs/>
        </w:rPr>
        <w:t>S</w:t>
      </w:r>
      <w:r w:rsidRPr="00DB7114">
        <w:rPr>
          <w:b/>
          <w:bCs/>
        </w:rPr>
        <w:t>4 Characterization of Combinatorial Regulon Modules and Their Associated Transcription Factors</w:t>
      </w:r>
    </w:p>
    <w:p w14:paraId="727FC67D" w14:textId="77777777" w:rsidR="00E3363A" w:rsidRPr="00DB7114" w:rsidRDefault="00E3363A" w:rsidP="00E3363A">
      <w:pPr>
        <w:jc w:val="both"/>
        <w:rPr>
          <w:rFonts w:eastAsiaTheme="minorEastAsia"/>
        </w:rPr>
      </w:pPr>
      <w:r w:rsidRPr="00DB7114">
        <w:rPr>
          <w:rFonts w:hint="eastAsia"/>
        </w:rPr>
        <w:t>Description: Detailed characterization of the combinatorial regulon modules identified by transcriptional regulatory network analysis, together with their associated transcription factors.</w:t>
      </w:r>
    </w:p>
    <w:p w14:paraId="2AEEA81E" w14:textId="77777777" w:rsidR="00E3363A" w:rsidRDefault="00E3363A" w:rsidP="00E3363A">
      <w:pPr>
        <w:rPr>
          <w:rFonts w:eastAsiaTheme="minorEastAsia"/>
          <w:b/>
          <w:bCs/>
        </w:rPr>
      </w:pPr>
      <w:r w:rsidRPr="00DB7114">
        <w:rPr>
          <w:b/>
          <w:bCs/>
        </w:rPr>
        <w:t xml:space="preserve">Additional file </w:t>
      </w:r>
      <w:r w:rsidRPr="00DB7114">
        <w:rPr>
          <w:rFonts w:eastAsiaTheme="minorEastAsia" w:hint="eastAsia"/>
          <w:b/>
          <w:bCs/>
        </w:rPr>
        <w:t>1</w:t>
      </w:r>
      <w:r w:rsidRPr="00DB7114">
        <w:rPr>
          <w:b/>
          <w:bCs/>
        </w:rPr>
        <w:t xml:space="preserve">, Supplementary Table </w:t>
      </w:r>
      <w:r w:rsidRPr="00DB7114">
        <w:rPr>
          <w:rFonts w:eastAsiaTheme="minorEastAsia" w:hint="eastAsia"/>
          <w:b/>
          <w:bCs/>
        </w:rPr>
        <w:t>S</w:t>
      </w:r>
      <w:r w:rsidRPr="00DB7114">
        <w:rPr>
          <w:b/>
          <w:bCs/>
        </w:rPr>
        <w:t xml:space="preserve">5 </w:t>
      </w:r>
      <w:r w:rsidRPr="00F0284E">
        <w:rPr>
          <w:b/>
          <w:bCs/>
        </w:rPr>
        <w:t>Top Ligand-Receptor Interactions of Butanoate-Stratified Tumor Epithelial Cells With Other Cell Types</w:t>
      </w:r>
    </w:p>
    <w:p w14:paraId="20B4405F" w14:textId="77777777" w:rsidR="00E3363A" w:rsidRPr="00DB7114" w:rsidRDefault="00E3363A" w:rsidP="00E3363A">
      <w:pPr>
        <w:rPr>
          <w:rFonts w:eastAsiaTheme="minorEastAsia"/>
        </w:rPr>
      </w:pPr>
      <w:r w:rsidRPr="00DB7114">
        <w:rPr>
          <w:rFonts w:hint="eastAsia"/>
        </w:rPr>
        <w:t>Description: The top significant ligand–receptor interactions between tumor epithelial cells with high or low butanoate metabolism activity and other cell types in the tumor microenvironment.</w:t>
      </w:r>
    </w:p>
    <w:p w14:paraId="3E163C34" w14:textId="77777777" w:rsidR="00E3363A" w:rsidRPr="00DB7114" w:rsidRDefault="00E3363A" w:rsidP="00E3363A">
      <w:pPr>
        <w:rPr>
          <w:rFonts w:eastAsiaTheme="minorEastAsia"/>
          <w:b/>
          <w:bCs/>
        </w:rPr>
      </w:pPr>
      <w:r w:rsidRPr="00DB7114">
        <w:rPr>
          <w:b/>
          <w:bCs/>
        </w:rPr>
        <w:t xml:space="preserve">Additional file </w:t>
      </w:r>
      <w:r w:rsidRPr="00DB7114">
        <w:rPr>
          <w:rFonts w:eastAsiaTheme="minorEastAsia" w:hint="eastAsia"/>
          <w:b/>
          <w:bCs/>
        </w:rPr>
        <w:t>1</w:t>
      </w:r>
      <w:r w:rsidRPr="00DB7114">
        <w:rPr>
          <w:b/>
          <w:bCs/>
        </w:rPr>
        <w:t xml:space="preserve">, Supplementary Table </w:t>
      </w:r>
      <w:r w:rsidRPr="00DB7114">
        <w:rPr>
          <w:rFonts w:eastAsiaTheme="minorEastAsia" w:hint="eastAsia"/>
          <w:b/>
          <w:bCs/>
        </w:rPr>
        <w:t>S</w:t>
      </w:r>
      <w:r w:rsidRPr="00DB7114">
        <w:rPr>
          <w:b/>
          <w:bCs/>
        </w:rPr>
        <w:t>6 Gene Ontology (GO) and KEGG Pathway Enrichment Analysis of Ligand-Receptor Interactions</w:t>
      </w:r>
    </w:p>
    <w:p w14:paraId="76105980" w14:textId="77777777" w:rsidR="00E3363A" w:rsidRPr="00DB7114" w:rsidRDefault="00E3363A" w:rsidP="00E3363A">
      <w:pPr>
        <w:jc w:val="both"/>
        <w:rPr>
          <w:rFonts w:eastAsiaTheme="minorEastAsia"/>
        </w:rPr>
      </w:pPr>
      <w:r w:rsidRPr="00DB7114">
        <w:rPr>
          <w:rFonts w:hint="eastAsia"/>
        </w:rPr>
        <w:t>Description: Results of Gene Ontology and Kyoto Encyclopedia of Genes and Genomes pathway enrichment analyses based on genes involved in the identified ligand–receptor interactions.</w:t>
      </w:r>
    </w:p>
    <w:p w14:paraId="6C466FB2" w14:textId="77777777" w:rsidR="00E3363A" w:rsidRDefault="00E3363A" w:rsidP="00E3363A">
      <w:pPr>
        <w:rPr>
          <w:rFonts w:eastAsiaTheme="minorEastAsia"/>
          <w:b/>
          <w:bCs/>
        </w:rPr>
      </w:pPr>
      <w:r>
        <w:rPr>
          <w:b/>
          <w:bCs/>
        </w:rPr>
        <w:t>Additional file</w:t>
      </w:r>
      <w:r w:rsidRPr="005C3E0A">
        <w:rPr>
          <w:b/>
          <w:bCs/>
        </w:rPr>
        <w:t xml:space="preserve"> </w:t>
      </w:r>
      <w:r>
        <w:rPr>
          <w:rFonts w:eastAsiaTheme="minorEastAsia" w:hint="eastAsia"/>
          <w:b/>
          <w:bCs/>
        </w:rPr>
        <w:t>1</w:t>
      </w:r>
      <w:r w:rsidRPr="005C3E0A">
        <w:rPr>
          <w:b/>
          <w:bCs/>
        </w:rPr>
        <w:t xml:space="preserve">, </w:t>
      </w:r>
      <w:r w:rsidRPr="00A43F64">
        <w:rPr>
          <w:b/>
          <w:bCs/>
        </w:rPr>
        <w:t xml:space="preserve">Supplementary Table </w:t>
      </w:r>
      <w:r>
        <w:rPr>
          <w:rFonts w:eastAsiaTheme="minorEastAsia" w:hint="eastAsia"/>
          <w:b/>
          <w:bCs/>
        </w:rPr>
        <w:t>S</w:t>
      </w:r>
      <w:r w:rsidRPr="00A43F64">
        <w:rPr>
          <w:b/>
          <w:bCs/>
        </w:rPr>
        <w:t>7</w:t>
      </w:r>
      <w:r>
        <w:rPr>
          <w:rFonts w:eastAsiaTheme="minorEastAsia" w:hint="eastAsia"/>
          <w:b/>
          <w:bCs/>
        </w:rPr>
        <w:t xml:space="preserve"> </w:t>
      </w:r>
      <w:r w:rsidRPr="00F0284E">
        <w:rPr>
          <w:b/>
          <w:bCs/>
        </w:rPr>
        <w:t xml:space="preserve">Univariate Cox Analysis of Low-Butanoate Metabolism Marker </w:t>
      </w:r>
      <w:r w:rsidRPr="00F0284E">
        <w:rPr>
          <w:b/>
          <w:bCs/>
        </w:rPr>
        <w:lastRenderedPageBreak/>
        <w:t>Genes in Tumor Epithelial Cells</w:t>
      </w:r>
    </w:p>
    <w:p w14:paraId="6537E497" w14:textId="77777777" w:rsidR="00E3363A" w:rsidRPr="00DB7114" w:rsidRDefault="00E3363A" w:rsidP="00E3363A">
      <w:pPr>
        <w:jc w:val="both"/>
        <w:rPr>
          <w:rFonts w:eastAsiaTheme="minorEastAsia"/>
        </w:rPr>
      </w:pPr>
      <w:r w:rsidRPr="00DB7114">
        <w:rPr>
          <w:rFonts w:hint="eastAsia"/>
        </w:rPr>
        <w:t>Description: Results of the univariate Cox proportional hazards regression analysis of marker genes associated with low butanoate metabolism activity in tumor epithelial cells identified from the single-cell RNA sequencing data.</w:t>
      </w:r>
    </w:p>
    <w:p w14:paraId="2C496879" w14:textId="77777777" w:rsidR="00E3363A" w:rsidRDefault="00E3363A" w:rsidP="00E3363A">
      <w:pPr>
        <w:rPr>
          <w:rFonts w:eastAsiaTheme="minorEastAsia"/>
          <w:b/>
          <w:bCs/>
        </w:rPr>
      </w:pPr>
      <w:r w:rsidRPr="00DB7114">
        <w:rPr>
          <w:b/>
          <w:bCs/>
        </w:rPr>
        <w:t xml:space="preserve">Additional file </w:t>
      </w:r>
      <w:r w:rsidRPr="00DB7114">
        <w:rPr>
          <w:rFonts w:eastAsiaTheme="minorEastAsia" w:hint="eastAsia"/>
          <w:b/>
          <w:bCs/>
        </w:rPr>
        <w:t>1</w:t>
      </w:r>
      <w:r w:rsidRPr="00DB7114">
        <w:rPr>
          <w:b/>
          <w:bCs/>
        </w:rPr>
        <w:t xml:space="preserve">, Supplementary Table </w:t>
      </w:r>
      <w:r w:rsidRPr="00DB7114">
        <w:rPr>
          <w:rFonts w:eastAsiaTheme="minorEastAsia" w:hint="eastAsia"/>
          <w:b/>
          <w:bCs/>
        </w:rPr>
        <w:t>S</w:t>
      </w:r>
      <w:r w:rsidRPr="00DB7114">
        <w:rPr>
          <w:b/>
          <w:bCs/>
        </w:rPr>
        <w:t xml:space="preserve">8 </w:t>
      </w:r>
      <w:r w:rsidRPr="00F0284E">
        <w:rPr>
          <w:b/>
          <w:bCs/>
        </w:rPr>
        <w:t>Boruta Selection of Prognostic Marker Genes Associated With Low Butanoate Metabolism</w:t>
      </w:r>
    </w:p>
    <w:p w14:paraId="1739A7DA" w14:textId="77777777" w:rsidR="00E3363A" w:rsidRPr="00DB7114" w:rsidRDefault="00E3363A" w:rsidP="00E3363A">
      <w:pPr>
        <w:rPr>
          <w:rFonts w:eastAsiaTheme="minorEastAsia"/>
        </w:rPr>
      </w:pPr>
      <w:r w:rsidRPr="00DB7114">
        <w:rPr>
          <w:rFonts w:hint="eastAsia"/>
        </w:rPr>
        <w:t>Description: Results of Boruta feature selection analysis performed to prioritize prognostically significant marker genes associated with low butanoate metabolism activity in tumor epithelial cells.</w:t>
      </w:r>
    </w:p>
    <w:p w14:paraId="19E90B06" w14:textId="77777777" w:rsidR="00E3363A" w:rsidRPr="00F0284E" w:rsidRDefault="00E3363A" w:rsidP="00E3363A">
      <w:pPr>
        <w:jc w:val="both"/>
        <w:rPr>
          <w:rFonts w:eastAsiaTheme="minorEastAsia"/>
          <w:b/>
          <w:bCs/>
        </w:rPr>
      </w:pPr>
      <w:r>
        <w:rPr>
          <w:b/>
          <w:bCs/>
        </w:rPr>
        <w:t>Additional file</w:t>
      </w:r>
      <w:r w:rsidRPr="005C3E0A">
        <w:rPr>
          <w:b/>
          <w:bCs/>
        </w:rPr>
        <w:t xml:space="preserve"> 2, </w:t>
      </w:r>
      <w:r>
        <w:rPr>
          <w:b/>
          <w:bCs/>
        </w:rPr>
        <w:t>Supplementary Fig. S</w:t>
      </w:r>
      <w:r w:rsidRPr="00BC2F63">
        <w:rPr>
          <w:b/>
          <w:bCs/>
        </w:rPr>
        <w:t>1 Identification and Characterization of Marker Genes</w:t>
      </w:r>
      <w:r>
        <w:rPr>
          <w:rFonts w:eastAsiaTheme="minorEastAsia" w:hint="eastAsia"/>
          <w:b/>
          <w:bCs/>
        </w:rPr>
        <w:t>.</w:t>
      </w:r>
    </w:p>
    <w:p w14:paraId="1C589AD5" w14:textId="77777777" w:rsidR="00E3363A" w:rsidRPr="00517990" w:rsidRDefault="00E3363A" w:rsidP="00E3363A">
      <w:pPr>
        <w:jc w:val="both"/>
      </w:pPr>
      <w:r w:rsidRPr="00517990">
        <w:t>(A) Violin plots displaying the expression distribution of known cell type markers across distinct clusters. The violin plot on the top illustrates cell cycle phase distribution, while the adjacent pie chart represents the proportion of cells in each phase.</w:t>
      </w:r>
    </w:p>
    <w:p w14:paraId="0E3892F5" w14:textId="77777777" w:rsidR="00E3363A" w:rsidRPr="00517990" w:rsidRDefault="00E3363A" w:rsidP="00E3363A">
      <w:pPr>
        <w:jc w:val="both"/>
      </w:pPr>
      <w:r w:rsidRPr="00517990">
        <w:t>(B) Transcriptional Profiling and Functional Characterization of Gene Clusters (C1–C9). The left panel shows line plots depicting expression trends of differentially expressed genes (DEGs) across all clusters, with cluster numbers and gene counts indicated below each plot. The middle panel presents a heatmap illustrating DEG clustering in different conditions, and the right panel highlights significantly enriched terms from GO analysis for each cluster, providing insights into their biological functions.</w:t>
      </w:r>
    </w:p>
    <w:p w14:paraId="2B6A6F9C" w14:textId="77777777" w:rsidR="00E3363A" w:rsidRPr="00F0284E" w:rsidRDefault="00E3363A" w:rsidP="00E3363A">
      <w:pPr>
        <w:jc w:val="both"/>
        <w:rPr>
          <w:rFonts w:eastAsiaTheme="minorEastAsia"/>
          <w:b/>
          <w:bCs/>
        </w:rPr>
      </w:pPr>
      <w:r>
        <w:rPr>
          <w:b/>
          <w:bCs/>
        </w:rPr>
        <w:t>Additional file</w:t>
      </w:r>
      <w:r w:rsidRPr="005C3E0A">
        <w:rPr>
          <w:b/>
          <w:bCs/>
        </w:rPr>
        <w:t xml:space="preserve"> 2, </w:t>
      </w:r>
      <w:r>
        <w:rPr>
          <w:b/>
          <w:bCs/>
        </w:rPr>
        <w:t>Supplementary Fig. S</w:t>
      </w:r>
      <w:r w:rsidRPr="00BC2F63">
        <w:rPr>
          <w:b/>
          <w:bCs/>
        </w:rPr>
        <w:t>2 Tumor Epithelial Cell Heterogeneity and CNV Alterations</w:t>
      </w:r>
      <w:r>
        <w:rPr>
          <w:rFonts w:eastAsiaTheme="minorEastAsia" w:hint="eastAsia"/>
          <w:b/>
          <w:bCs/>
        </w:rPr>
        <w:t>.</w:t>
      </w:r>
    </w:p>
    <w:p w14:paraId="2D488CC3" w14:textId="77777777" w:rsidR="00E3363A" w:rsidRPr="00517990" w:rsidRDefault="00E3363A" w:rsidP="00E3363A">
      <w:pPr>
        <w:jc w:val="both"/>
      </w:pPr>
      <w:r w:rsidRPr="00517990">
        <w:t>(A) UMAP plot showing tumor epithelial cell subpopulations, where each dot represents a single cell color-coded according to its original cluster assignment.</w:t>
      </w:r>
    </w:p>
    <w:p w14:paraId="534CED8E" w14:textId="77777777" w:rsidR="00E3363A" w:rsidRPr="00517990" w:rsidRDefault="00E3363A" w:rsidP="00E3363A">
      <w:pPr>
        <w:jc w:val="both"/>
      </w:pPr>
      <w:r w:rsidRPr="00517990">
        <w:t>(B) Box plot displaying CNV scores across different tumor epithelial cell clusters and reference cells.</w:t>
      </w:r>
    </w:p>
    <w:p w14:paraId="49423CD3" w14:textId="77777777" w:rsidR="00E3363A" w:rsidRDefault="00E3363A" w:rsidP="00E3363A">
      <w:pPr>
        <w:jc w:val="both"/>
      </w:pPr>
      <w:r w:rsidRPr="00517990">
        <w:t>(C) Heatmap illustrating large-scale CNV profiles across tumor epithelial cell and reference cells. Red and blue colors indicate high and low CNV levels, respectively.</w:t>
      </w:r>
    </w:p>
    <w:p w14:paraId="0D243522" w14:textId="77777777" w:rsidR="00E3363A" w:rsidRPr="00F0284E" w:rsidRDefault="00E3363A" w:rsidP="00E3363A">
      <w:pPr>
        <w:jc w:val="both"/>
        <w:rPr>
          <w:rFonts w:eastAsiaTheme="minorEastAsia"/>
          <w:b/>
          <w:bCs/>
        </w:rPr>
      </w:pPr>
      <w:r>
        <w:rPr>
          <w:b/>
          <w:bCs/>
        </w:rPr>
        <w:t>Additional file</w:t>
      </w:r>
      <w:r w:rsidRPr="005C3E0A">
        <w:rPr>
          <w:b/>
          <w:bCs/>
        </w:rPr>
        <w:t xml:space="preserve"> 2, </w:t>
      </w:r>
      <w:r>
        <w:rPr>
          <w:b/>
          <w:bCs/>
        </w:rPr>
        <w:t>Supplementary Fig. S</w:t>
      </w:r>
      <w:r w:rsidRPr="00BC2F63">
        <w:rPr>
          <w:b/>
          <w:bCs/>
        </w:rPr>
        <w:t>3</w:t>
      </w:r>
      <w:r>
        <w:rPr>
          <w:rFonts w:eastAsiaTheme="minorEastAsia" w:hint="eastAsia"/>
          <w:b/>
          <w:bCs/>
        </w:rPr>
        <w:t xml:space="preserve"> </w:t>
      </w:r>
      <w:r w:rsidRPr="00F0284E">
        <w:rPr>
          <w:b/>
          <w:bCs/>
        </w:rPr>
        <w:t>CNV Profiles of Colorectal Cancer Epithelial Cells Inferred by inferCNV</w:t>
      </w:r>
      <w:r>
        <w:rPr>
          <w:rFonts w:eastAsiaTheme="minorEastAsia" w:hint="eastAsia"/>
          <w:b/>
          <w:bCs/>
        </w:rPr>
        <w:t>.</w:t>
      </w:r>
    </w:p>
    <w:p w14:paraId="411721F5" w14:textId="77777777" w:rsidR="00E3363A" w:rsidRDefault="00E3363A" w:rsidP="00E3363A">
      <w:pPr>
        <w:jc w:val="both"/>
      </w:pPr>
      <w:r w:rsidRPr="00517990">
        <w:t>CNV levels were classified by chromosome arm and simplified as either gains or losses in individual cells. The heatmap color indicates the percentage of CNV events occurring in single cells within each patient sample.</w:t>
      </w:r>
    </w:p>
    <w:p w14:paraId="2F7E8E38" w14:textId="77777777" w:rsidR="00E3363A" w:rsidRPr="00BC2F63" w:rsidRDefault="00E3363A" w:rsidP="00E3363A">
      <w:pPr>
        <w:jc w:val="both"/>
        <w:rPr>
          <w:b/>
          <w:bCs/>
        </w:rPr>
      </w:pPr>
      <w:r>
        <w:rPr>
          <w:b/>
          <w:bCs/>
        </w:rPr>
        <w:t>Additional file</w:t>
      </w:r>
      <w:r w:rsidRPr="005C3E0A">
        <w:rPr>
          <w:b/>
          <w:bCs/>
        </w:rPr>
        <w:t xml:space="preserve"> 2, </w:t>
      </w:r>
      <w:r>
        <w:rPr>
          <w:b/>
          <w:bCs/>
        </w:rPr>
        <w:t>Supplementary Fig. S</w:t>
      </w:r>
      <w:r w:rsidRPr="00BC2F63">
        <w:rPr>
          <w:rFonts w:hint="eastAsia"/>
          <w:b/>
          <w:bCs/>
        </w:rPr>
        <w:t>4</w:t>
      </w:r>
      <w:r w:rsidRPr="00BC2F63">
        <w:rPr>
          <w:b/>
          <w:bCs/>
        </w:rPr>
        <w:t xml:space="preserve"> Schematic Representation of Intraview Pathway- Pathway and Pathway‒Cell Interaction Networks Using MISTy. </w:t>
      </w:r>
    </w:p>
    <w:p w14:paraId="2522C87F" w14:textId="77777777" w:rsidR="00E3363A" w:rsidRPr="000959D2" w:rsidRDefault="00E3363A" w:rsidP="00E3363A">
      <w:pPr>
        <w:jc w:val="both"/>
      </w:pPr>
      <w:r w:rsidRPr="000959D2">
        <w:lastRenderedPageBreak/>
        <w:t>(A) PROGENy-inferred pathway activities within individual spots and their surrounding microenvironment, incorporating spatially aware modeling to predict pathway dynamics across co-localized, neighboring, and extended regions.</w:t>
      </w:r>
    </w:p>
    <w:p w14:paraId="427274EC" w14:textId="77777777" w:rsidR="00E3363A" w:rsidRPr="004A0ACA" w:rsidRDefault="00E3363A" w:rsidP="00E3363A">
      <w:pPr>
        <w:jc w:val="both"/>
      </w:pPr>
      <w:r w:rsidRPr="000959D2">
        <w:t>(B) Median standardized importances of cell-type abundances within a spot, neighboring spots</w:t>
      </w:r>
      <w:r>
        <w:rPr>
          <w:rFonts w:eastAsiaTheme="minorEastAsia" w:hint="eastAsia"/>
        </w:rPr>
        <w:t xml:space="preserve"> </w:t>
      </w:r>
      <w:r w:rsidRPr="000959D2">
        <w:t>(10 points) and its extended neighborhood (15 points), illustrating spatial influences on pathway activation.</w:t>
      </w:r>
    </w:p>
    <w:p w14:paraId="3BFC51D5" w14:textId="77777777" w:rsidR="00E3363A" w:rsidRPr="00BC2F63" w:rsidRDefault="00E3363A" w:rsidP="00E3363A">
      <w:pPr>
        <w:jc w:val="both"/>
        <w:rPr>
          <w:b/>
          <w:bCs/>
        </w:rPr>
      </w:pPr>
      <w:r>
        <w:rPr>
          <w:b/>
          <w:bCs/>
        </w:rPr>
        <w:t>Additional file</w:t>
      </w:r>
      <w:r w:rsidRPr="005C3E0A">
        <w:rPr>
          <w:b/>
          <w:bCs/>
        </w:rPr>
        <w:t xml:space="preserve"> 2, </w:t>
      </w:r>
      <w:r>
        <w:rPr>
          <w:b/>
          <w:bCs/>
        </w:rPr>
        <w:t>Supplementary Fig. S</w:t>
      </w:r>
      <w:r>
        <w:rPr>
          <w:rFonts w:eastAsiaTheme="minorEastAsia" w:hint="eastAsia"/>
          <w:b/>
          <w:bCs/>
        </w:rPr>
        <w:t xml:space="preserve">5 </w:t>
      </w:r>
      <w:r w:rsidRPr="00BC2F63">
        <w:rPr>
          <w:b/>
          <w:bCs/>
        </w:rPr>
        <w:t>Spatial Distribution and Differential Analysis of Tumor Pathway Activity</w:t>
      </w:r>
    </w:p>
    <w:p w14:paraId="59DC38E3" w14:textId="77777777" w:rsidR="00E3363A" w:rsidRPr="00517990" w:rsidRDefault="00E3363A" w:rsidP="00E3363A">
      <w:pPr>
        <w:jc w:val="both"/>
      </w:pPr>
      <w:r w:rsidRPr="00517990">
        <w:t>(A) PROGENy-inferred tumor-associated pathway activity scores mapped onto spatial transcriptomic data, illustrating regional variations in signaling within the tumor microenvironment.</w:t>
      </w:r>
    </w:p>
    <w:p w14:paraId="707F3481" w14:textId="77777777" w:rsidR="00E3363A" w:rsidRPr="00CA5868" w:rsidRDefault="00E3363A" w:rsidP="00E3363A">
      <w:pPr>
        <w:jc w:val="both"/>
        <w:rPr>
          <w:rFonts w:eastAsiaTheme="minorEastAsia"/>
        </w:rPr>
      </w:pPr>
      <w:r w:rsidRPr="00517990">
        <w:t>(B) Boxplot comparing pathway activity scores between high and low butanoate metabolism tumor epithelial cells, highlighting metabolic state-dependent pathway regulation.</w:t>
      </w:r>
    </w:p>
    <w:p w14:paraId="5B0E231C" w14:textId="77777777" w:rsidR="00E3363A" w:rsidRPr="00BC2F63" w:rsidRDefault="00E3363A" w:rsidP="00E3363A">
      <w:pPr>
        <w:jc w:val="both"/>
        <w:rPr>
          <w:b/>
          <w:bCs/>
        </w:rPr>
      </w:pPr>
      <w:r>
        <w:rPr>
          <w:b/>
          <w:bCs/>
        </w:rPr>
        <w:t>Additional file</w:t>
      </w:r>
      <w:r w:rsidRPr="005C3E0A">
        <w:rPr>
          <w:b/>
          <w:bCs/>
        </w:rPr>
        <w:t xml:space="preserve"> 2, </w:t>
      </w:r>
      <w:r>
        <w:rPr>
          <w:b/>
          <w:bCs/>
        </w:rPr>
        <w:t>Supplementary Fig. S</w:t>
      </w:r>
      <w:r>
        <w:rPr>
          <w:rFonts w:eastAsiaTheme="minorEastAsia" w:hint="eastAsia"/>
          <w:b/>
          <w:bCs/>
        </w:rPr>
        <w:t>6</w:t>
      </w:r>
      <w:r w:rsidRPr="00BC2F63">
        <w:rPr>
          <w:b/>
          <w:bCs/>
        </w:rPr>
        <w:t xml:space="preserve"> Specific Transcription Factor Activity in Tumor Epithelial Cells With Distinct Butanoate Metabolism Scores</w:t>
      </w:r>
    </w:p>
    <w:p w14:paraId="4865D8E4" w14:textId="77777777" w:rsidR="00E3363A" w:rsidRPr="00517990" w:rsidRDefault="00E3363A" w:rsidP="00E3363A">
      <w:pPr>
        <w:jc w:val="both"/>
      </w:pPr>
      <w:r w:rsidRPr="00517990">
        <w:t>(A-C) Boxplots illustrating the activity scores of key transcription factors in tumor epithelial cells with high and low butanoate metabolism scores: NFE2L2 (A), HOXB8 (B), and NELFE (C).</w:t>
      </w:r>
    </w:p>
    <w:p w14:paraId="063E7601" w14:textId="77777777" w:rsidR="00E3363A" w:rsidRDefault="00E3363A" w:rsidP="00E3363A">
      <w:pPr>
        <w:jc w:val="both"/>
      </w:pPr>
      <w:r w:rsidRPr="00517990">
        <w:t>(D-F) Regulatory networks depicting the interactions between each transcription factor and its corresponding target genes: NFE2L2 (D), HOXB8 (E), and NELFE (F).</w:t>
      </w:r>
    </w:p>
    <w:p w14:paraId="2541A94E" w14:textId="77777777" w:rsidR="00E3363A" w:rsidRPr="00BC2F63" w:rsidRDefault="00E3363A" w:rsidP="00E3363A">
      <w:pPr>
        <w:jc w:val="both"/>
        <w:rPr>
          <w:b/>
          <w:bCs/>
        </w:rPr>
      </w:pPr>
      <w:r>
        <w:rPr>
          <w:b/>
          <w:bCs/>
        </w:rPr>
        <w:t>Additional file</w:t>
      </w:r>
      <w:r w:rsidRPr="005C3E0A">
        <w:rPr>
          <w:b/>
          <w:bCs/>
        </w:rPr>
        <w:t xml:space="preserve"> 2, </w:t>
      </w:r>
      <w:r>
        <w:rPr>
          <w:b/>
          <w:bCs/>
        </w:rPr>
        <w:t xml:space="preserve">Supplementary Fig. </w:t>
      </w:r>
      <w:r>
        <w:rPr>
          <w:rFonts w:hint="eastAsia"/>
          <w:b/>
          <w:bCs/>
        </w:rPr>
        <w:t>S7</w:t>
      </w:r>
      <w:r>
        <w:rPr>
          <w:rFonts w:eastAsiaTheme="minorEastAsia" w:hint="eastAsia"/>
          <w:b/>
          <w:bCs/>
        </w:rPr>
        <w:t xml:space="preserve"> </w:t>
      </w:r>
      <w:r w:rsidRPr="00BC2F63">
        <w:rPr>
          <w:b/>
          <w:bCs/>
        </w:rPr>
        <w:t>Functional Enrichment Analysis of Ligand-Receptor Pairs Identified by stLearn</w:t>
      </w:r>
    </w:p>
    <w:p w14:paraId="6308DDDD" w14:textId="77777777" w:rsidR="00E3363A" w:rsidRPr="00517990" w:rsidRDefault="00E3363A" w:rsidP="00E3363A">
      <w:pPr>
        <w:jc w:val="both"/>
      </w:pPr>
      <w:r w:rsidRPr="00517990">
        <w:t>(A) Gene Ontology (GO) enrichment analysis of genes associated with the top-ranked ligand-receptor pairs, identifying key biological processes linked to intercellular communication. (B) KEGG pathway enrichment analysis highlighting the signaling cascades and molecular pathways enriched in the identified ligand-receptor interactions, shedding light on their functional implications in the tumor microenvironment.</w:t>
      </w:r>
    </w:p>
    <w:p w14:paraId="663460E4" w14:textId="77777777" w:rsidR="00E3363A" w:rsidRPr="00BC2F63" w:rsidRDefault="00E3363A" w:rsidP="00E3363A">
      <w:pPr>
        <w:jc w:val="both"/>
        <w:rPr>
          <w:b/>
          <w:bCs/>
        </w:rPr>
      </w:pPr>
      <w:r>
        <w:rPr>
          <w:b/>
          <w:bCs/>
        </w:rPr>
        <w:t>Additional file</w:t>
      </w:r>
      <w:r w:rsidRPr="005C3E0A">
        <w:rPr>
          <w:b/>
          <w:bCs/>
        </w:rPr>
        <w:t xml:space="preserve"> 2, </w:t>
      </w:r>
      <w:r>
        <w:rPr>
          <w:b/>
          <w:bCs/>
        </w:rPr>
        <w:t>Supplementary Fig. S</w:t>
      </w:r>
      <w:r w:rsidRPr="00BC2F63">
        <w:rPr>
          <w:rFonts w:hint="eastAsia"/>
          <w:b/>
          <w:bCs/>
        </w:rPr>
        <w:t>8</w:t>
      </w:r>
      <w:r w:rsidRPr="00BC2F63">
        <w:rPr>
          <w:b/>
          <w:bCs/>
        </w:rPr>
        <w:t xml:space="preserve"> Immune Landscape Characterization Across Risk Score Groups</w:t>
      </w:r>
    </w:p>
    <w:p w14:paraId="02760377" w14:textId="77777777" w:rsidR="00E3363A" w:rsidRPr="00517990" w:rsidRDefault="00E3363A" w:rsidP="00E3363A">
      <w:pPr>
        <w:jc w:val="both"/>
      </w:pPr>
      <w:r w:rsidRPr="00517990">
        <w:t>(A) Boxplot illustrating the differential expression of immune checkpoint genes across high- and low-risk score groups, shedding light on distinct immune evasion strategies.</w:t>
      </w:r>
    </w:p>
    <w:p w14:paraId="046FB0A5" w14:textId="77777777" w:rsidR="00E3363A" w:rsidRPr="00517990" w:rsidRDefault="00E3363A" w:rsidP="00E3363A">
      <w:pPr>
        <w:jc w:val="both"/>
      </w:pPr>
      <w:r w:rsidRPr="00517990">
        <w:t>(B) Violin plot depicting variations in TIDE scores across varying risk categories, offering insights into potential responsiveness to immunotherapy.</w:t>
      </w:r>
    </w:p>
    <w:p w14:paraId="4BD85733" w14:textId="77777777" w:rsidR="00E3363A" w:rsidRDefault="00E3363A" w:rsidP="00E3363A">
      <w:pPr>
        <w:jc w:val="both"/>
        <w:rPr>
          <w:rFonts w:eastAsiaTheme="minorEastAsia"/>
        </w:rPr>
      </w:pPr>
      <w:r w:rsidRPr="00517990">
        <w:lastRenderedPageBreak/>
        <w:t>(C) Boxplot illustrating the distribution of 29 immune signatures across different risk strata, revealing functional immune landscape heterogeneity</w:t>
      </w:r>
    </w:p>
    <w:p w14:paraId="19BD153E" w14:textId="45962545" w:rsidR="009542D6" w:rsidRDefault="00E3363A" w:rsidP="00E3363A">
      <w:r>
        <w:rPr>
          <w:b/>
          <w:bCs/>
        </w:rPr>
        <w:t>Additional file</w:t>
      </w:r>
      <w:r w:rsidRPr="005C3E0A">
        <w:rPr>
          <w:b/>
          <w:bCs/>
        </w:rPr>
        <w:t xml:space="preserve"> 2, </w:t>
      </w:r>
      <w:r>
        <w:rPr>
          <w:b/>
          <w:bCs/>
        </w:rPr>
        <w:t>Supplementary Fig. S</w:t>
      </w:r>
      <w:r>
        <w:rPr>
          <w:rFonts w:eastAsiaTheme="minorEastAsia" w:hint="eastAsia"/>
          <w:b/>
          <w:bCs/>
        </w:rPr>
        <w:t>9</w:t>
      </w:r>
      <w:r w:rsidRPr="00BC2F63">
        <w:rPr>
          <w:b/>
          <w:bCs/>
        </w:rPr>
        <w:t xml:space="preserve"> </w:t>
      </w:r>
      <w:r w:rsidRPr="00472B10">
        <w:rPr>
          <w:b/>
          <w:bCs/>
        </w:rPr>
        <w:t>Full-Length Uncropped Blots and Gels</w:t>
      </w:r>
    </w:p>
    <w:sectPr w:rsidR="00954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63A"/>
    <w:rsid w:val="00264C10"/>
    <w:rsid w:val="0030545C"/>
    <w:rsid w:val="00470242"/>
    <w:rsid w:val="00726E03"/>
    <w:rsid w:val="00934BC8"/>
    <w:rsid w:val="009542D6"/>
    <w:rsid w:val="00C8679A"/>
    <w:rsid w:val="00E336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7576"/>
  <w15:chartTrackingRefBased/>
  <w15:docId w15:val="{973FCF08-F364-47C9-931E-1D8CBE2B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63A"/>
    <w:pPr>
      <w:widowControl w:val="0"/>
      <w:spacing w:after="0" w:line="480" w:lineRule="auto"/>
    </w:pPr>
    <w:rPr>
      <w:rFonts w:ascii="Times New Roman" w:eastAsia="Times New Roman" w:hAnsi="Times New Roman" w:cs="Times New Roman"/>
      <w:color w:val="000000"/>
      <w:sz w:val="20"/>
      <w:szCs w:val="20"/>
    </w:rPr>
  </w:style>
  <w:style w:type="paragraph" w:styleId="Heading1">
    <w:name w:val="heading 1"/>
    <w:basedOn w:val="Normal"/>
    <w:next w:val="Normal"/>
    <w:link w:val="Heading1Char"/>
    <w:uiPriority w:val="2"/>
    <w:qFormat/>
    <w:rsid w:val="00E336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2"/>
    <w:unhideWhenUsed/>
    <w:qFormat/>
    <w:rsid w:val="00E336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2"/>
    <w:unhideWhenUsed/>
    <w:qFormat/>
    <w:rsid w:val="00E336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36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36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363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36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363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36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qFormat/>
    <w:rsid w:val="00E336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36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36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36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36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36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6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6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63A"/>
    <w:rPr>
      <w:rFonts w:eastAsiaTheme="majorEastAsia" w:cstheme="majorBidi"/>
      <w:color w:val="272727" w:themeColor="text1" w:themeTint="D8"/>
    </w:rPr>
  </w:style>
  <w:style w:type="paragraph" w:styleId="Title">
    <w:name w:val="Title"/>
    <w:basedOn w:val="Normal"/>
    <w:next w:val="Normal"/>
    <w:link w:val="TitleChar"/>
    <w:uiPriority w:val="10"/>
    <w:qFormat/>
    <w:rsid w:val="00E336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6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6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36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63A"/>
    <w:pPr>
      <w:spacing w:before="160"/>
      <w:jc w:val="center"/>
    </w:pPr>
    <w:rPr>
      <w:i/>
      <w:iCs/>
      <w:color w:val="404040" w:themeColor="text1" w:themeTint="BF"/>
    </w:rPr>
  </w:style>
  <w:style w:type="character" w:customStyle="1" w:styleId="QuoteChar">
    <w:name w:val="Quote Char"/>
    <w:basedOn w:val="DefaultParagraphFont"/>
    <w:link w:val="Quote"/>
    <w:uiPriority w:val="29"/>
    <w:rsid w:val="00E3363A"/>
    <w:rPr>
      <w:i/>
      <w:iCs/>
      <w:color w:val="404040" w:themeColor="text1" w:themeTint="BF"/>
    </w:rPr>
  </w:style>
  <w:style w:type="paragraph" w:styleId="ListParagraph">
    <w:name w:val="List Paragraph"/>
    <w:basedOn w:val="Normal"/>
    <w:uiPriority w:val="34"/>
    <w:qFormat/>
    <w:rsid w:val="00E3363A"/>
    <w:pPr>
      <w:ind w:left="720"/>
      <w:contextualSpacing/>
    </w:pPr>
  </w:style>
  <w:style w:type="character" w:styleId="IntenseEmphasis">
    <w:name w:val="Intense Emphasis"/>
    <w:basedOn w:val="DefaultParagraphFont"/>
    <w:uiPriority w:val="21"/>
    <w:qFormat/>
    <w:rsid w:val="00E3363A"/>
    <w:rPr>
      <w:i/>
      <w:iCs/>
      <w:color w:val="0F4761" w:themeColor="accent1" w:themeShade="BF"/>
    </w:rPr>
  </w:style>
  <w:style w:type="paragraph" w:styleId="IntenseQuote">
    <w:name w:val="Intense Quote"/>
    <w:basedOn w:val="Normal"/>
    <w:next w:val="Normal"/>
    <w:link w:val="IntenseQuoteChar"/>
    <w:uiPriority w:val="30"/>
    <w:qFormat/>
    <w:rsid w:val="00E336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363A"/>
    <w:rPr>
      <w:i/>
      <w:iCs/>
      <w:color w:val="0F4761" w:themeColor="accent1" w:themeShade="BF"/>
    </w:rPr>
  </w:style>
  <w:style w:type="character" w:styleId="IntenseReference">
    <w:name w:val="Intense Reference"/>
    <w:basedOn w:val="DefaultParagraphFont"/>
    <w:uiPriority w:val="32"/>
    <w:qFormat/>
    <w:rsid w:val="00E336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1054</Words>
  <Characters>6012</Characters>
  <Application>Microsoft Office Word</Application>
  <DocSecurity>0</DocSecurity>
  <Lines>50</Lines>
  <Paragraphs>14</Paragraphs>
  <ScaleCrop>false</ScaleCrop>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2026-09-08T17:12:00Z</dcterms:created>
  <dcterms:modified xsi:type="dcterms:W3CDTF">2026-09-08T17:13:00Z</dcterms:modified>
</cp:coreProperties>
</file>