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E93" w:rsidRDefault="00EA0E93" w:rsidP="00AE76AE">
      <w:pPr>
        <w:spacing w:line="360" w:lineRule="auto"/>
        <w:jc w:val="center"/>
        <w:rPr>
          <w:rFonts w:ascii="Times New Roman" w:hAnsi="Times New Roman" w:cs="Times New Roman"/>
          <w:b/>
          <w:bCs/>
          <w:sz w:val="36"/>
          <w:szCs w:val="36"/>
        </w:rPr>
      </w:pPr>
      <w:r w:rsidRPr="00AE76AE">
        <w:rPr>
          <w:rFonts w:ascii="Times New Roman" w:hAnsi="Times New Roman" w:cs="Times New Roman"/>
          <w:b/>
          <w:bCs/>
          <w:sz w:val="36"/>
          <w:szCs w:val="36"/>
        </w:rPr>
        <w:t>S</w:t>
      </w:r>
      <w:r w:rsidRPr="00AE76AE">
        <w:rPr>
          <w:rFonts w:ascii="Times New Roman" w:hAnsi="Times New Roman" w:cs="Times New Roman" w:hint="eastAsia"/>
          <w:b/>
          <w:bCs/>
          <w:sz w:val="36"/>
          <w:szCs w:val="36"/>
        </w:rPr>
        <w:t>upple</w:t>
      </w:r>
      <w:r w:rsidRPr="00AE76AE">
        <w:rPr>
          <w:rFonts w:ascii="Times New Roman" w:hAnsi="Times New Roman" w:cs="Times New Roman"/>
          <w:b/>
          <w:bCs/>
          <w:sz w:val="36"/>
          <w:szCs w:val="36"/>
        </w:rPr>
        <w:t>mentary materials</w:t>
      </w:r>
    </w:p>
    <w:p w:rsidR="009247B2" w:rsidRPr="009247B2" w:rsidRDefault="009247B2" w:rsidP="00AE76AE">
      <w:pPr>
        <w:spacing w:line="360" w:lineRule="auto"/>
        <w:jc w:val="center"/>
        <w:rPr>
          <w:rFonts w:ascii="Times New Roman" w:hAnsi="Times New Roman" w:cs="Times New Roman"/>
          <w:bCs/>
          <w:i/>
          <w:szCs w:val="36"/>
        </w:rPr>
      </w:pPr>
      <w:r w:rsidRPr="009247B2">
        <w:rPr>
          <w:rFonts w:ascii="Times New Roman" w:hAnsi="Times New Roman" w:cs="Times New Roman"/>
          <w:bCs/>
          <w:i/>
          <w:szCs w:val="36"/>
        </w:rPr>
        <w:t>f</w:t>
      </w:r>
      <w:r w:rsidRPr="009247B2">
        <w:rPr>
          <w:rFonts w:ascii="Times New Roman" w:hAnsi="Times New Roman" w:cs="Times New Roman" w:hint="eastAsia"/>
          <w:bCs/>
          <w:i/>
          <w:szCs w:val="36"/>
        </w:rPr>
        <w:t>or</w:t>
      </w:r>
    </w:p>
    <w:p w:rsidR="009247B2" w:rsidRPr="00275363" w:rsidRDefault="009247B2" w:rsidP="00275363">
      <w:pPr>
        <w:widowControl w:val="0"/>
        <w:spacing w:line="360" w:lineRule="auto"/>
        <w:jc w:val="center"/>
        <w:rPr>
          <w:rFonts w:ascii="Times New Roman" w:eastAsia="仿宋_GB2312" w:hAnsi="Times New Roman" w:cs="Times New Roman"/>
          <w:b/>
          <w:bCs/>
          <w:color w:val="000000" w:themeColor="text1"/>
        </w:rPr>
      </w:pPr>
      <w:bookmarkStart w:id="0" w:name="OLE_LINK20"/>
      <w:r w:rsidRPr="008A4B66">
        <w:rPr>
          <w:rFonts w:ascii="Times New Roman" w:eastAsia="仿宋_GB2312" w:hAnsi="Times New Roman" w:cs="Times New Roman"/>
          <w:b/>
          <w:bCs/>
          <w:color w:val="000000" w:themeColor="text1"/>
        </w:rPr>
        <w:t>Activation of hepatic USP5 as a novel strategy to ameliorate metabolic dysfunction-associated steatotic liver disease by deubiquitinating CPT-1A</w:t>
      </w:r>
      <w:bookmarkEnd w:id="0"/>
    </w:p>
    <w:p w:rsidR="00275363" w:rsidRPr="00275363" w:rsidRDefault="00275363" w:rsidP="00275363">
      <w:pPr>
        <w:spacing w:line="360" w:lineRule="auto"/>
        <w:jc w:val="both"/>
        <w:rPr>
          <w:rFonts w:ascii="Times New Roman" w:hAnsi="Times New Roman" w:cs="Times New Roman"/>
          <w:color w:val="000000" w:themeColor="text1"/>
          <w:sz w:val="21"/>
          <w:vertAlign w:val="superscript"/>
        </w:rPr>
      </w:pPr>
      <w:r>
        <w:rPr>
          <w:rFonts w:ascii="Times New Roman" w:eastAsia="仿宋_GB2312" w:hAnsi="Times New Roman" w:cs="Times New Roman"/>
          <w:sz w:val="21"/>
        </w:rPr>
        <w:t>Qinmei Sun</w:t>
      </w:r>
      <w:r>
        <w:rPr>
          <w:rFonts w:ascii="Times New Roman" w:hAnsi="Times New Roman" w:cs="Times New Roman"/>
          <w:color w:val="000000" w:themeColor="text1"/>
          <w:sz w:val="21"/>
          <w:vertAlign w:val="superscript"/>
        </w:rPr>
        <w:t xml:space="preserve">1, 2, 3, </w:t>
      </w:r>
      <w:r>
        <w:rPr>
          <w:rFonts w:ascii="Times New Roman" w:hAnsi="Times New Roman" w:cs="Times New Roman" w:hint="eastAsia"/>
          <w:color w:val="000000" w:themeColor="text1"/>
          <w:sz w:val="21"/>
          <w:vertAlign w:val="superscript"/>
        </w:rPr>
        <w:t>9</w:t>
      </w:r>
      <w:r>
        <w:rPr>
          <w:rFonts w:ascii="Times New Roman" w:eastAsia="仿宋_GB2312" w:hAnsi="Times New Roman" w:cs="Times New Roman"/>
          <w:sz w:val="21"/>
        </w:rPr>
        <w:t>, Jiamei Chen</w:t>
      </w:r>
      <w:r>
        <w:rPr>
          <w:rFonts w:ascii="Times New Roman" w:hAnsi="Times New Roman" w:cs="Times New Roman"/>
          <w:color w:val="000000" w:themeColor="text1"/>
          <w:sz w:val="21"/>
          <w:vertAlign w:val="superscript"/>
        </w:rPr>
        <w:t xml:space="preserve">1, 2, </w:t>
      </w:r>
      <w:r>
        <w:rPr>
          <w:rFonts w:ascii="Times New Roman" w:hAnsi="Times New Roman" w:cs="Times New Roman" w:hint="eastAsia"/>
          <w:color w:val="000000" w:themeColor="text1"/>
          <w:sz w:val="21"/>
          <w:vertAlign w:val="superscript"/>
        </w:rPr>
        <w:t>9</w:t>
      </w:r>
      <w:r>
        <w:rPr>
          <w:rFonts w:ascii="Times New Roman" w:eastAsia="仿宋_GB2312" w:hAnsi="Times New Roman" w:cs="Times New Roman"/>
          <w:sz w:val="21"/>
        </w:rPr>
        <w:t>, G</w:t>
      </w:r>
      <w:r>
        <w:rPr>
          <w:rFonts w:ascii="Times New Roman" w:eastAsia="仿宋_GB2312" w:hAnsi="Times New Roman" w:cs="Times New Roman" w:hint="eastAsia"/>
          <w:sz w:val="21"/>
        </w:rPr>
        <w:t>uanghao</w:t>
      </w:r>
      <w:r>
        <w:rPr>
          <w:rFonts w:ascii="Times New Roman" w:eastAsia="仿宋_GB2312" w:hAnsi="Times New Roman" w:cs="Times New Roman"/>
          <w:sz w:val="21"/>
        </w:rPr>
        <w:t xml:space="preserve"> Z</w:t>
      </w:r>
      <w:r>
        <w:rPr>
          <w:rFonts w:ascii="Times New Roman" w:eastAsia="仿宋_GB2312" w:hAnsi="Times New Roman" w:cs="Times New Roman" w:hint="eastAsia"/>
          <w:sz w:val="21"/>
        </w:rPr>
        <w:t>hu</w:t>
      </w:r>
      <w:r>
        <w:rPr>
          <w:rFonts w:ascii="Times New Roman" w:hAnsi="Times New Roman" w:cs="Times New Roman"/>
          <w:color w:val="000000" w:themeColor="text1"/>
          <w:sz w:val="21"/>
          <w:vertAlign w:val="superscript"/>
        </w:rPr>
        <w:t xml:space="preserve">4, 5, </w:t>
      </w:r>
      <w:r>
        <w:rPr>
          <w:rFonts w:ascii="Times New Roman" w:hAnsi="Times New Roman" w:cs="Times New Roman" w:hint="eastAsia"/>
          <w:color w:val="000000" w:themeColor="text1"/>
          <w:sz w:val="21"/>
          <w:vertAlign w:val="superscript"/>
        </w:rPr>
        <w:t>9</w:t>
      </w:r>
      <w:r>
        <w:rPr>
          <w:rFonts w:ascii="Times New Roman" w:eastAsia="仿宋_GB2312" w:hAnsi="Times New Roman" w:cs="Times New Roman"/>
          <w:sz w:val="21"/>
        </w:rPr>
        <w:t>, Siting Gao</w:t>
      </w:r>
      <w:r>
        <w:rPr>
          <w:rFonts w:ascii="Times New Roman" w:hAnsi="Times New Roman" w:cs="Times New Roman"/>
          <w:color w:val="000000" w:themeColor="text1"/>
          <w:sz w:val="21"/>
          <w:vertAlign w:val="superscript"/>
        </w:rPr>
        <w:t>1, 2</w:t>
      </w:r>
      <w:r>
        <w:rPr>
          <w:rFonts w:ascii="Times New Roman" w:eastAsia="仿宋_GB2312" w:hAnsi="Times New Roman" w:cs="Times New Roman"/>
          <w:sz w:val="21"/>
        </w:rPr>
        <w:t>, Yidan Shang</w:t>
      </w:r>
      <w:r>
        <w:rPr>
          <w:rFonts w:ascii="Times New Roman" w:hAnsi="Times New Roman" w:cs="Times New Roman"/>
          <w:color w:val="000000" w:themeColor="text1"/>
          <w:sz w:val="21"/>
          <w:vertAlign w:val="superscript"/>
        </w:rPr>
        <w:t>3</w:t>
      </w:r>
      <w:r>
        <w:rPr>
          <w:rFonts w:ascii="Times New Roman" w:eastAsia="仿宋_GB2312" w:hAnsi="Times New Roman" w:cs="Times New Roman"/>
          <w:sz w:val="21"/>
        </w:rPr>
        <w:t>, Yaoshan Zhou</w:t>
      </w:r>
      <w:r>
        <w:rPr>
          <w:rFonts w:ascii="Times New Roman" w:hAnsi="Times New Roman" w:cs="Times New Roman"/>
          <w:color w:val="000000" w:themeColor="text1"/>
          <w:sz w:val="21"/>
          <w:vertAlign w:val="superscript"/>
        </w:rPr>
        <w:t>1, 2</w:t>
      </w:r>
      <w:r>
        <w:rPr>
          <w:rFonts w:ascii="Times New Roman" w:eastAsia="仿宋_GB2312" w:hAnsi="Times New Roman" w:cs="Times New Roman"/>
          <w:sz w:val="21"/>
        </w:rPr>
        <w:t>, Xin Xin</w:t>
      </w:r>
      <w:r>
        <w:rPr>
          <w:rFonts w:ascii="Times New Roman" w:hAnsi="Times New Roman" w:cs="Times New Roman"/>
          <w:color w:val="000000" w:themeColor="text1"/>
          <w:sz w:val="21"/>
          <w:vertAlign w:val="superscript"/>
        </w:rPr>
        <w:t>1, 2</w:t>
      </w:r>
      <w:r>
        <w:rPr>
          <w:rFonts w:ascii="Times New Roman" w:eastAsia="仿宋_GB2312" w:hAnsi="Times New Roman" w:cs="Times New Roman"/>
          <w:sz w:val="21"/>
        </w:rPr>
        <w:t>, K</w:t>
      </w:r>
      <w:r>
        <w:rPr>
          <w:rFonts w:ascii="Times New Roman" w:eastAsia="仿宋_GB2312" w:hAnsi="Times New Roman" w:cs="Times New Roman" w:hint="eastAsia"/>
          <w:sz w:val="21"/>
        </w:rPr>
        <w:t>ai</w:t>
      </w:r>
      <w:r>
        <w:rPr>
          <w:rFonts w:ascii="Times New Roman" w:eastAsia="仿宋_GB2312" w:hAnsi="Times New Roman" w:cs="Times New Roman"/>
          <w:sz w:val="21"/>
        </w:rPr>
        <w:t xml:space="preserve"> Huang</w:t>
      </w:r>
      <w:r>
        <w:rPr>
          <w:rFonts w:ascii="Times New Roman" w:hAnsi="Times New Roman" w:cs="Times New Roman"/>
          <w:color w:val="000000" w:themeColor="text1"/>
          <w:sz w:val="21"/>
          <w:vertAlign w:val="superscript"/>
        </w:rPr>
        <w:t>1, 2</w:t>
      </w:r>
      <w:r>
        <w:rPr>
          <w:rFonts w:ascii="Times New Roman" w:eastAsia="仿宋_GB2312" w:hAnsi="Times New Roman" w:cs="Times New Roman"/>
          <w:sz w:val="21"/>
        </w:rPr>
        <w:t xml:space="preserve">, </w:t>
      </w:r>
      <w:r>
        <w:rPr>
          <w:rFonts w:ascii="Times New Roman" w:eastAsia="仿宋_GB2312" w:hAnsi="Times New Roman" w:cs="Times New Roman" w:hint="eastAsia"/>
          <w:sz w:val="21"/>
        </w:rPr>
        <w:t>R</w:t>
      </w:r>
      <w:r>
        <w:rPr>
          <w:rFonts w:ascii="Times New Roman" w:eastAsia="仿宋_GB2312" w:hAnsi="Times New Roman" w:cs="Times New Roman"/>
          <w:sz w:val="21"/>
        </w:rPr>
        <w:t>utao Lin</w:t>
      </w:r>
      <w:r>
        <w:rPr>
          <w:rFonts w:ascii="Times New Roman" w:hAnsi="Times New Roman" w:cs="Times New Roman"/>
          <w:color w:val="000000" w:themeColor="text1"/>
          <w:sz w:val="21"/>
          <w:vertAlign w:val="superscript"/>
        </w:rPr>
        <w:t>1, 2</w:t>
      </w:r>
      <w:r>
        <w:rPr>
          <w:rFonts w:ascii="Times New Roman" w:eastAsia="仿宋_GB2312" w:hAnsi="Times New Roman" w:cs="Times New Roman"/>
          <w:sz w:val="21"/>
        </w:rPr>
        <w:t>, F</w:t>
      </w:r>
      <w:r>
        <w:rPr>
          <w:rFonts w:ascii="Times New Roman" w:eastAsia="仿宋_GB2312" w:hAnsi="Times New Roman" w:cs="Times New Roman" w:hint="eastAsia"/>
          <w:sz w:val="21"/>
        </w:rPr>
        <w:t>u</w:t>
      </w:r>
      <w:r>
        <w:rPr>
          <w:rFonts w:ascii="Times New Roman" w:eastAsia="仿宋_GB2312" w:hAnsi="Times New Roman" w:cs="Times New Roman"/>
          <w:sz w:val="21"/>
        </w:rPr>
        <w:t xml:space="preserve"> Li</w:t>
      </w:r>
      <w:r>
        <w:rPr>
          <w:rFonts w:ascii="Times New Roman" w:hAnsi="Times New Roman" w:cs="Times New Roman" w:hint="eastAsia"/>
          <w:color w:val="000000" w:themeColor="text1"/>
          <w:sz w:val="21"/>
          <w:vertAlign w:val="superscript"/>
        </w:rPr>
        <w:t>6</w:t>
      </w:r>
      <w:r>
        <w:rPr>
          <w:rFonts w:ascii="Times New Roman" w:eastAsia="仿宋_GB2312" w:hAnsi="Times New Roman" w:cs="Times New Roman"/>
          <w:sz w:val="21"/>
        </w:rPr>
        <w:t>, Cheng Huang</w:t>
      </w:r>
      <w:r>
        <w:rPr>
          <w:rFonts w:ascii="Times New Roman" w:hAnsi="Times New Roman" w:cs="Times New Roman" w:hint="eastAsia"/>
          <w:color w:val="000000" w:themeColor="text1"/>
          <w:sz w:val="21"/>
          <w:vertAlign w:val="superscript"/>
        </w:rPr>
        <w:t>8</w:t>
      </w:r>
      <w:r>
        <w:rPr>
          <w:rFonts w:ascii="Times New Roman" w:eastAsia="仿宋_GB2312" w:hAnsi="Times New Roman" w:cs="Times New Roman"/>
          <w:sz w:val="21"/>
        </w:rPr>
        <w:t>, Yiyang Hu</w:t>
      </w:r>
      <w:r>
        <w:rPr>
          <w:rFonts w:ascii="Times New Roman" w:hAnsi="Times New Roman" w:cs="Times New Roman"/>
          <w:color w:val="000000" w:themeColor="text1"/>
          <w:sz w:val="21"/>
          <w:vertAlign w:val="superscript"/>
        </w:rPr>
        <w:t>1, 2, *</w:t>
      </w:r>
      <w:r>
        <w:rPr>
          <w:rFonts w:ascii="Times New Roman" w:eastAsia="仿宋_GB2312" w:hAnsi="Times New Roman" w:cs="Times New Roman"/>
          <w:sz w:val="21"/>
        </w:rPr>
        <w:t>,</w:t>
      </w:r>
      <w:r>
        <w:rPr>
          <w:rFonts w:ascii="Times New Roman" w:eastAsia="仿宋_GB2312" w:hAnsi="Times New Roman" w:cs="Times New Roman" w:hint="eastAsia"/>
          <w:sz w:val="21"/>
        </w:rPr>
        <w:t xml:space="preserve"> H</w:t>
      </w:r>
      <w:r>
        <w:rPr>
          <w:rFonts w:ascii="Times New Roman" w:eastAsia="仿宋_GB2312" w:hAnsi="Times New Roman" w:cs="Times New Roman"/>
          <w:sz w:val="21"/>
        </w:rPr>
        <w:t>ongshan Li</w:t>
      </w:r>
      <w:r>
        <w:rPr>
          <w:rFonts w:ascii="Times New Roman" w:hAnsi="Times New Roman" w:cs="Times New Roman"/>
          <w:color w:val="000000" w:themeColor="text1"/>
          <w:sz w:val="21"/>
          <w:vertAlign w:val="superscript"/>
        </w:rPr>
        <w:t>7, *</w:t>
      </w:r>
      <w:r>
        <w:rPr>
          <w:rFonts w:ascii="Times New Roman" w:eastAsia="仿宋_GB2312" w:hAnsi="Times New Roman" w:cs="Times New Roman"/>
          <w:sz w:val="21"/>
        </w:rPr>
        <w:t>, Guangbo Ge</w:t>
      </w:r>
      <w:r>
        <w:rPr>
          <w:rFonts w:ascii="Times New Roman" w:hAnsi="Times New Roman" w:cs="Times New Roman"/>
          <w:color w:val="000000" w:themeColor="text1"/>
          <w:sz w:val="21"/>
          <w:vertAlign w:val="superscript"/>
        </w:rPr>
        <w:t>4, 5,*</w:t>
      </w:r>
      <w:r>
        <w:rPr>
          <w:rFonts w:ascii="Times New Roman" w:eastAsia="仿宋_GB2312" w:hAnsi="Times New Roman" w:cs="Times New Roman"/>
          <w:sz w:val="21"/>
        </w:rPr>
        <w:t>, Ping Liu</w:t>
      </w:r>
      <w:r>
        <w:rPr>
          <w:rFonts w:ascii="Times New Roman" w:hAnsi="Times New Roman" w:cs="Times New Roman"/>
          <w:color w:val="000000" w:themeColor="text1"/>
          <w:sz w:val="21"/>
          <w:vertAlign w:val="superscript"/>
        </w:rPr>
        <w:t>1, 2, 3, *</w:t>
      </w:r>
      <w:r>
        <w:rPr>
          <w:rFonts w:ascii="Times New Roman" w:eastAsia="仿宋_GB2312" w:hAnsi="Times New Roman" w:cs="Times New Roman"/>
          <w:sz w:val="21"/>
        </w:rPr>
        <w:t>, Qin Feng</w:t>
      </w:r>
      <w:r>
        <w:rPr>
          <w:rFonts w:ascii="Times New Roman" w:hAnsi="Times New Roman" w:cs="Times New Roman"/>
          <w:color w:val="000000" w:themeColor="text1"/>
          <w:sz w:val="21"/>
          <w:vertAlign w:val="superscript"/>
        </w:rPr>
        <w:t>1, 2, 4, 10, *</w:t>
      </w:r>
    </w:p>
    <w:p w:rsidR="00275363" w:rsidRDefault="00275363" w:rsidP="00275363">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vertAlign w:val="superscript"/>
        </w:rPr>
        <w:t xml:space="preserve">1 </w:t>
      </w:r>
      <w:r>
        <w:rPr>
          <w:rFonts w:ascii="Times New Roman" w:hAnsi="Times New Roman" w:cs="Times New Roman"/>
          <w:color w:val="000000" w:themeColor="text1"/>
        </w:rPr>
        <w:t>Institute of Liver Diseases, Shuguang Hospital Affiliated to Shanghai University of Traditional Chinese Medicine, Shanghai, China</w:t>
      </w:r>
    </w:p>
    <w:p w:rsidR="00275363" w:rsidRDefault="00275363" w:rsidP="0027536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Regular" w:hAnsi="Times New Roman Regular" w:cs="Times New Roman Regular"/>
          <w:color w:val="000000" w:themeColor="text1"/>
        </w:rPr>
      </w:pPr>
      <w:r>
        <w:rPr>
          <w:rFonts w:ascii="Times New Roman" w:hAnsi="Times New Roman" w:cs="Times New Roman"/>
          <w:color w:val="000000" w:themeColor="text1"/>
          <w:vertAlign w:val="superscript"/>
        </w:rPr>
        <w:t xml:space="preserve">2 </w:t>
      </w:r>
      <w:r>
        <w:rPr>
          <w:rFonts w:ascii="Times New Roman" w:hAnsi="Times New Roman" w:cs="Times New Roman"/>
          <w:color w:val="000000" w:themeColor="text1"/>
        </w:rPr>
        <w:t>Key Laboratory of Liver and Kidney Diseases (Ministry of Education), Shuguang Hospital A</w:t>
      </w:r>
      <w:r>
        <w:rPr>
          <w:rFonts w:ascii="Times New Roman Regular" w:hAnsi="Times New Roman Regular" w:cs="Times New Roman Regular"/>
          <w:color w:val="000000" w:themeColor="text1"/>
        </w:rPr>
        <w:t>ffiliated to Shanghai University of Traditional Chinese Medicine, Shanghai, China</w:t>
      </w:r>
    </w:p>
    <w:p w:rsidR="00275363" w:rsidRDefault="00275363" w:rsidP="0027536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Regular" w:hAnsi="Times New Roman Regular" w:cs="Times New Roman Regular"/>
          <w:color w:val="000000"/>
        </w:rPr>
      </w:pPr>
      <w:r>
        <w:rPr>
          <w:rFonts w:ascii="Times New Roman Regular" w:hAnsi="Times New Roman Regular" w:cs="Times New Roman Regular" w:hint="eastAsia"/>
          <w:color w:val="000000" w:themeColor="text1"/>
          <w:vertAlign w:val="superscript"/>
        </w:rPr>
        <w:t>3</w:t>
      </w:r>
      <w:r>
        <w:rPr>
          <w:rFonts w:ascii="Times New Roman Regular" w:hAnsi="Times New Roman Regular" w:cs="Times New Roman Regular"/>
          <w:color w:val="000000" w:themeColor="text1"/>
          <w:vertAlign w:val="superscript"/>
        </w:rPr>
        <w:t xml:space="preserve"> </w:t>
      </w:r>
      <w:r>
        <w:rPr>
          <w:rFonts w:ascii="Times New Roman Regular" w:hAnsi="Times New Roman Regular" w:cs="Times New Roman Regular"/>
          <w:color w:val="000000" w:themeColor="text1"/>
        </w:rPr>
        <w:t>Institute of Interdisciplinary Integrative Medicine Research, Shanghai University of Traditional Chinese Medicine</w:t>
      </w:r>
      <w:r>
        <w:rPr>
          <w:rFonts w:ascii="Times New Roman Regular" w:hAnsi="Times New Roman Regular" w:cs="Times New Roman Regular"/>
          <w:color w:val="000000"/>
        </w:rPr>
        <w:t>, Shanghai, China.</w:t>
      </w:r>
    </w:p>
    <w:p w:rsidR="00275363" w:rsidRDefault="00275363" w:rsidP="0027536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Regular" w:hAnsi="Times New Roman Regular" w:cs="Times New Roman Regular"/>
          <w:color w:val="000000"/>
        </w:rPr>
      </w:pPr>
      <w:r>
        <w:rPr>
          <w:rFonts w:ascii="Times New Roman Regular" w:hAnsi="Times New Roman Regular" w:cs="Times New Roman Regular"/>
          <w:vertAlign w:val="superscript"/>
        </w:rPr>
        <w:t>4</w:t>
      </w:r>
      <w:r>
        <w:rPr>
          <w:rFonts w:ascii="Times New Roman Regular" w:hAnsi="Times New Roman Regular" w:cs="Times New Roman Regular"/>
        </w:rPr>
        <w:t xml:space="preserve"> State Key Laboratory of Discovery and Utilization of Functional Components in Traditional Chinese Medicine, Shanghai University of Traditional Chinese Medicine</w:t>
      </w:r>
    </w:p>
    <w:p w:rsidR="00275363" w:rsidRDefault="00275363" w:rsidP="0027536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Regular" w:hAnsi="Times New Roman Regular" w:cs="Times New Roman Regular"/>
          <w:color w:val="000000"/>
        </w:rPr>
      </w:pPr>
      <w:r>
        <w:rPr>
          <w:rFonts w:ascii="Times New Roman Regular" w:eastAsia="仿宋_GB2312" w:hAnsi="Times New Roman Regular" w:cs="Times New Roman Regular"/>
          <w:vertAlign w:val="superscript"/>
        </w:rPr>
        <w:t xml:space="preserve">5 </w:t>
      </w:r>
      <w:r>
        <w:rPr>
          <w:rFonts w:ascii="Times New Roman Regular" w:eastAsia="仿宋_GB2312" w:hAnsi="Times New Roman Regular" w:cs="Times New Roman Regular"/>
        </w:rPr>
        <w:t>Shanghai Frontiers Science Center of TCM Chemical Biology, Institute of Interdisciplinary Integrative Medicine Research, Shanghai University of Traditional Chinese Medicine, Shanghai 201203, China.</w:t>
      </w:r>
    </w:p>
    <w:p w:rsidR="00275363" w:rsidRDefault="00275363" w:rsidP="0027536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color w:val="000000"/>
        </w:rPr>
      </w:pPr>
      <w:r>
        <w:rPr>
          <w:rFonts w:ascii="Times New Roman" w:hAnsi="Times New Roman" w:cs="Times New Roman" w:hint="eastAsia"/>
          <w:color w:val="000000"/>
          <w:vertAlign w:val="superscript"/>
        </w:rPr>
        <w:t xml:space="preserve">6 </w:t>
      </w:r>
      <w:r>
        <w:rPr>
          <w:rFonts w:ascii="Times New Roman" w:hAnsi="Times New Roman" w:cs="Times New Roman"/>
          <w:color w:val="000000"/>
        </w:rPr>
        <w:t xml:space="preserve">Hepatobiliary and Pancreatic Surgery, </w:t>
      </w:r>
      <w:r>
        <w:rPr>
          <w:rFonts w:ascii="Times New Roman" w:hAnsi="Times New Roman" w:cs="Times New Roman"/>
          <w:color w:val="000000" w:themeColor="text1"/>
        </w:rPr>
        <w:t>Shuguang Hospital Affiliated to Shanghai University of Traditional Chinese Medicine</w:t>
      </w:r>
      <w:r>
        <w:rPr>
          <w:rFonts w:ascii="Times New Roman" w:hAnsi="Times New Roman" w:cs="Times New Roman"/>
          <w:color w:val="000000"/>
        </w:rPr>
        <w:t>, Shanghai, China.</w:t>
      </w:r>
    </w:p>
    <w:p w:rsidR="00275363" w:rsidRDefault="00275363" w:rsidP="00275363">
      <w:pPr>
        <w:spacing w:line="360" w:lineRule="auto"/>
        <w:jc w:val="both"/>
        <w:rPr>
          <w:rFonts w:ascii="Times New Roman" w:hAnsi="Times New Roman" w:cs="Times New Roman"/>
          <w:color w:val="000000"/>
        </w:rPr>
      </w:pPr>
      <w:r>
        <w:rPr>
          <w:rFonts w:ascii="Times New Roman" w:hAnsi="Times New Roman" w:cs="Times New Roman" w:hint="eastAsia"/>
          <w:color w:val="000000" w:themeColor="text1"/>
          <w:vertAlign w:val="superscript"/>
        </w:rPr>
        <w:t>7</w:t>
      </w:r>
      <w:r>
        <w:rPr>
          <w:rFonts w:ascii="Times New Roman" w:hAnsi="Times New Roman" w:cs="Times New Roman"/>
          <w:color w:val="000000" w:themeColor="text1"/>
          <w:vertAlign w:val="superscript"/>
        </w:rPr>
        <w:t xml:space="preserve"> </w:t>
      </w:r>
      <w:r>
        <w:rPr>
          <w:rFonts w:ascii="Times New Roman" w:hAnsi="Times New Roman" w:cs="Times New Roman"/>
          <w:color w:val="000000"/>
        </w:rPr>
        <w:t>Liver Disease Department of Integrative Medicine, Ningbo No. 2 Hospital, Ningbo, Zhejiang, China.</w:t>
      </w:r>
    </w:p>
    <w:p w:rsidR="00275363" w:rsidRDefault="00275363" w:rsidP="00275363">
      <w:pPr>
        <w:spacing w:line="360" w:lineRule="auto"/>
        <w:jc w:val="both"/>
        <w:rPr>
          <w:rFonts w:ascii="Times New Roman" w:hAnsi="Times New Roman" w:cs="Times New Roman"/>
          <w:color w:val="000000"/>
        </w:rPr>
      </w:pPr>
      <w:r>
        <w:rPr>
          <w:rFonts w:ascii="Times New Roman" w:hAnsi="Times New Roman" w:cs="Times New Roman" w:hint="eastAsia"/>
          <w:color w:val="000000" w:themeColor="text1"/>
          <w:vertAlign w:val="superscript"/>
        </w:rPr>
        <w:t>8</w:t>
      </w:r>
      <w:r>
        <w:rPr>
          <w:rFonts w:ascii="Times New Roman" w:hAnsi="Times New Roman" w:cs="Times New Roman"/>
          <w:color w:val="000000" w:themeColor="text1"/>
          <w:vertAlign w:val="superscript"/>
        </w:rPr>
        <w:t xml:space="preserve"> </w:t>
      </w:r>
      <w:r>
        <w:rPr>
          <w:rFonts w:ascii="Times New Roman" w:hAnsi="Times New Roman" w:cs="Times New Roman"/>
          <w:color w:val="000000"/>
        </w:rPr>
        <w:t>School of Pharmacy, Shanghai University of Traditional Chinese Medicine, Shanghai 201203, China.</w:t>
      </w:r>
    </w:p>
    <w:p w:rsidR="00275363" w:rsidRDefault="00275363" w:rsidP="00275363">
      <w:pPr>
        <w:spacing w:line="360" w:lineRule="auto"/>
        <w:jc w:val="both"/>
        <w:rPr>
          <w:rFonts w:ascii="Times New Roman" w:hAnsi="Times New Roman" w:cs="Times New Roman"/>
          <w:color w:val="000000" w:themeColor="text1"/>
        </w:rPr>
      </w:pPr>
      <w:r>
        <w:rPr>
          <w:rFonts w:ascii="Times New Roman" w:hAnsi="Times New Roman" w:cs="Times New Roman" w:hint="eastAsia"/>
          <w:color w:val="000000" w:themeColor="text1"/>
          <w:vertAlign w:val="superscript"/>
        </w:rPr>
        <w:t>9</w:t>
      </w:r>
      <w:r>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rPr>
        <w:t>These authors contributed equally to this work</w:t>
      </w:r>
    </w:p>
    <w:p w:rsidR="00275363" w:rsidRDefault="00275363" w:rsidP="00275363">
      <w:pPr>
        <w:spacing w:line="360" w:lineRule="auto"/>
        <w:jc w:val="both"/>
        <w:rPr>
          <w:rFonts w:ascii="Times New Roman" w:hAnsi="Times New Roman" w:cs="Times New Roman"/>
          <w:color w:val="000000" w:themeColor="text1"/>
        </w:rPr>
      </w:pPr>
      <w:r>
        <w:rPr>
          <w:rFonts w:ascii="Times New Roman" w:hAnsi="Times New Roman" w:cs="Times New Roman" w:hint="eastAsia"/>
          <w:color w:val="000000" w:themeColor="text1"/>
          <w:vertAlign w:val="superscript"/>
        </w:rPr>
        <w:t xml:space="preserve">10 </w:t>
      </w:r>
      <w:r>
        <w:rPr>
          <w:rFonts w:ascii="Times New Roman" w:hAnsi="Times New Roman" w:cs="Times New Roman"/>
          <w:color w:val="000000" w:themeColor="text1"/>
        </w:rPr>
        <w:t>Lead contact</w:t>
      </w:r>
    </w:p>
    <w:p w:rsidR="009247B2" w:rsidRPr="009247B2" w:rsidRDefault="009247B2" w:rsidP="009247B2">
      <w:pPr>
        <w:spacing w:line="360" w:lineRule="auto"/>
        <w:jc w:val="both"/>
        <w:rPr>
          <w:rFonts w:ascii="Times New Roman" w:hAnsi="Times New Roman" w:cs="Times New Roman"/>
          <w:color w:val="000000" w:themeColor="text1"/>
        </w:rPr>
      </w:pPr>
      <w:r w:rsidRPr="009247B2">
        <w:rPr>
          <w:rFonts w:ascii="Times New Roman" w:hAnsi="Times New Roman" w:cs="Times New Roman"/>
          <w:color w:val="000000" w:themeColor="text1"/>
        </w:rPr>
        <w:t xml:space="preserve">This file contains six supplementary figures, one supplementary table, </w:t>
      </w:r>
      <w:r>
        <w:rPr>
          <w:rFonts w:ascii="Times New Roman" w:hAnsi="Times New Roman" w:cs="Times New Roman"/>
          <w:color w:val="000000" w:themeColor="text1"/>
        </w:rPr>
        <w:t>o</w:t>
      </w:r>
      <w:r w:rsidRPr="009247B2">
        <w:rPr>
          <w:rFonts w:ascii="Times New Roman" w:hAnsi="Times New Roman" w:cs="Times New Roman"/>
          <w:color w:val="000000" w:themeColor="text1"/>
        </w:rPr>
        <w:t>riginal WB images</w:t>
      </w:r>
      <w:r>
        <w:rPr>
          <w:rFonts w:ascii="Times New Roman" w:hAnsi="Times New Roman" w:cs="Times New Roman"/>
          <w:color w:val="000000" w:themeColor="text1"/>
        </w:rPr>
        <w:t xml:space="preserve"> and </w:t>
      </w:r>
      <w:r w:rsidRPr="009247B2">
        <w:rPr>
          <w:rFonts w:ascii="Times New Roman" w:hAnsi="Times New Roman" w:cs="Times New Roman" w:hint="eastAsia"/>
          <w:color w:val="000000" w:themeColor="text1"/>
        </w:rPr>
        <w:t>S</w:t>
      </w:r>
      <w:r w:rsidRPr="009247B2">
        <w:rPr>
          <w:rFonts w:ascii="Times New Roman" w:hAnsi="Times New Roman" w:cs="Times New Roman"/>
          <w:color w:val="000000" w:themeColor="text1"/>
        </w:rPr>
        <w:t>tar Methods</w:t>
      </w:r>
      <w:r>
        <w:rPr>
          <w:rFonts w:ascii="Times New Roman" w:hAnsi="Times New Roman" w:cs="Times New Roman"/>
          <w:color w:val="000000" w:themeColor="text1"/>
        </w:rPr>
        <w:t>.</w:t>
      </w:r>
    </w:p>
    <w:p w:rsidR="009247B2" w:rsidRPr="00AE76AE" w:rsidRDefault="009247B2" w:rsidP="00AE76AE">
      <w:pPr>
        <w:spacing w:line="360" w:lineRule="auto"/>
        <w:jc w:val="center"/>
        <w:rPr>
          <w:rFonts w:ascii="Times New Roman" w:hAnsi="Times New Roman" w:cs="Times New Roman"/>
          <w:b/>
          <w:bCs/>
          <w:sz w:val="36"/>
          <w:szCs w:val="36"/>
        </w:rPr>
      </w:pPr>
    </w:p>
    <w:p w:rsidR="00EA0E93" w:rsidRPr="00BA11CF" w:rsidRDefault="00EA0E93" w:rsidP="00EA0E93">
      <w:pPr>
        <w:pStyle w:val="a3"/>
        <w:numPr>
          <w:ilvl w:val="0"/>
          <w:numId w:val="6"/>
        </w:numPr>
        <w:spacing w:line="360" w:lineRule="auto"/>
        <w:ind w:firstLineChars="0"/>
        <w:rPr>
          <w:rFonts w:ascii="Times New Roman" w:hAnsi="Times New Roman" w:cs="Times New Roman"/>
          <w:b/>
          <w:bCs/>
          <w:sz w:val="24"/>
        </w:rPr>
      </w:pPr>
      <w:r w:rsidRPr="00BA11CF">
        <w:rPr>
          <w:rFonts w:ascii="Times New Roman" w:hAnsi="Times New Roman" w:cs="Times New Roman"/>
          <w:b/>
          <w:bCs/>
          <w:sz w:val="24"/>
        </w:rPr>
        <w:lastRenderedPageBreak/>
        <w:t>S</w:t>
      </w:r>
      <w:r w:rsidRPr="00BA11CF">
        <w:rPr>
          <w:rFonts w:ascii="Times New Roman" w:hAnsi="Times New Roman" w:cs="Times New Roman" w:hint="eastAsia"/>
          <w:b/>
          <w:bCs/>
          <w:sz w:val="24"/>
        </w:rPr>
        <w:t>upple</w:t>
      </w:r>
      <w:r w:rsidRPr="00BA11CF">
        <w:rPr>
          <w:rFonts w:ascii="Times New Roman" w:hAnsi="Times New Roman" w:cs="Times New Roman"/>
          <w:b/>
          <w:bCs/>
          <w:sz w:val="24"/>
        </w:rPr>
        <w:t xml:space="preserve">mentary Figures </w:t>
      </w:r>
      <w:r w:rsidRPr="00BA11CF">
        <w:rPr>
          <w:rFonts w:ascii="Times New Roman" w:hAnsi="Times New Roman" w:cs="Times New Roman" w:hint="eastAsia"/>
          <w:b/>
          <w:bCs/>
          <w:sz w:val="24"/>
        </w:rPr>
        <w:t>a</w:t>
      </w:r>
      <w:r w:rsidRPr="00BA11CF">
        <w:rPr>
          <w:rFonts w:ascii="Times New Roman" w:hAnsi="Times New Roman" w:cs="Times New Roman"/>
          <w:b/>
          <w:bCs/>
          <w:sz w:val="24"/>
        </w:rPr>
        <w:t>nd Figure legends</w:t>
      </w:r>
    </w:p>
    <w:p w:rsidR="00EA0E93" w:rsidRPr="00BA11CF" w:rsidRDefault="00EA0E93" w:rsidP="00EA0E93">
      <w:pPr>
        <w:pStyle w:val="a3"/>
        <w:numPr>
          <w:ilvl w:val="0"/>
          <w:numId w:val="6"/>
        </w:numPr>
        <w:spacing w:line="360" w:lineRule="auto"/>
        <w:ind w:firstLineChars="0"/>
        <w:rPr>
          <w:rFonts w:ascii="Times New Roman" w:hAnsi="Times New Roman" w:cs="Times New Roman"/>
          <w:b/>
          <w:bCs/>
          <w:sz w:val="24"/>
        </w:rPr>
      </w:pPr>
      <w:r w:rsidRPr="00BA11CF">
        <w:rPr>
          <w:rFonts w:ascii="Times New Roman" w:hAnsi="Times New Roman" w:cs="Times New Roman"/>
          <w:b/>
          <w:bCs/>
          <w:sz w:val="24"/>
        </w:rPr>
        <w:t>S</w:t>
      </w:r>
      <w:r w:rsidRPr="00BA11CF">
        <w:rPr>
          <w:rFonts w:ascii="Times New Roman" w:hAnsi="Times New Roman" w:cs="Times New Roman" w:hint="eastAsia"/>
          <w:b/>
          <w:bCs/>
          <w:sz w:val="24"/>
        </w:rPr>
        <w:t>upple</w:t>
      </w:r>
      <w:r w:rsidRPr="00BA11CF">
        <w:rPr>
          <w:rFonts w:ascii="Times New Roman" w:hAnsi="Times New Roman" w:cs="Times New Roman"/>
          <w:b/>
          <w:bCs/>
          <w:sz w:val="24"/>
        </w:rPr>
        <w:t>mentary Tables</w:t>
      </w:r>
    </w:p>
    <w:p w:rsidR="00EA0E93" w:rsidRPr="00BA11CF" w:rsidRDefault="00EA0E93" w:rsidP="00EA0E93">
      <w:pPr>
        <w:pStyle w:val="a3"/>
        <w:numPr>
          <w:ilvl w:val="0"/>
          <w:numId w:val="6"/>
        </w:numPr>
        <w:spacing w:line="360" w:lineRule="auto"/>
        <w:ind w:firstLineChars="0"/>
        <w:rPr>
          <w:rFonts w:ascii="Times New Roman" w:hAnsi="Times New Roman" w:cs="Times New Roman"/>
          <w:b/>
          <w:bCs/>
          <w:sz w:val="24"/>
        </w:rPr>
      </w:pPr>
      <w:r w:rsidRPr="00BA11CF">
        <w:rPr>
          <w:rFonts w:ascii="Times New Roman" w:hAnsi="Times New Roman" w:cs="Times New Roman"/>
          <w:b/>
          <w:bCs/>
          <w:sz w:val="24"/>
        </w:rPr>
        <w:t>Original WB images</w:t>
      </w:r>
    </w:p>
    <w:p w:rsidR="00EA0E93" w:rsidRPr="00BA11CF" w:rsidRDefault="00EA0E93" w:rsidP="00EA0E93">
      <w:pPr>
        <w:pStyle w:val="a3"/>
        <w:numPr>
          <w:ilvl w:val="0"/>
          <w:numId w:val="6"/>
        </w:numPr>
        <w:spacing w:line="360" w:lineRule="auto"/>
        <w:ind w:firstLineChars="0"/>
        <w:rPr>
          <w:rFonts w:ascii="Times New Roman" w:hAnsi="Times New Roman" w:cs="Times New Roman"/>
          <w:b/>
          <w:bCs/>
          <w:sz w:val="24"/>
        </w:rPr>
      </w:pPr>
      <w:r w:rsidRPr="00BA11CF">
        <w:rPr>
          <w:rFonts w:ascii="Times New Roman" w:hAnsi="Times New Roman" w:cs="Times New Roman" w:hint="eastAsia"/>
          <w:b/>
          <w:bCs/>
          <w:sz w:val="24"/>
        </w:rPr>
        <w:t>S</w:t>
      </w:r>
      <w:r w:rsidRPr="00BA11CF">
        <w:rPr>
          <w:rFonts w:ascii="Times New Roman" w:hAnsi="Times New Roman" w:cs="Times New Roman"/>
          <w:b/>
          <w:bCs/>
          <w:sz w:val="24"/>
        </w:rPr>
        <w:t>tar Methods</w:t>
      </w:r>
    </w:p>
    <w:p w:rsidR="00EA0E93" w:rsidRDefault="00EA0E93">
      <w:pPr>
        <w:rPr>
          <w:rFonts w:ascii="Times New Roman" w:hAnsi="Times New Roman" w:cs="Times New Roman"/>
          <w:b/>
          <w:bCs/>
          <w:sz w:val="28"/>
          <w:szCs w:val="28"/>
        </w:rPr>
      </w:pPr>
      <w:r>
        <w:rPr>
          <w:rFonts w:ascii="Times New Roman" w:hAnsi="Times New Roman" w:cs="Times New Roman"/>
          <w:b/>
          <w:bCs/>
          <w:sz w:val="28"/>
          <w:szCs w:val="28"/>
        </w:rPr>
        <w:br w:type="page"/>
      </w:r>
    </w:p>
    <w:p w:rsidR="00635659" w:rsidRPr="00635659" w:rsidRDefault="00635659" w:rsidP="00635659">
      <w:pPr>
        <w:spacing w:line="360" w:lineRule="auto"/>
        <w:jc w:val="center"/>
        <w:rPr>
          <w:rFonts w:ascii="Times New Roman" w:hAnsi="Times New Roman" w:cs="Times New Roman"/>
          <w:b/>
          <w:bCs/>
          <w:sz w:val="32"/>
          <w:szCs w:val="32"/>
        </w:rPr>
      </w:pPr>
      <w:r w:rsidRPr="00635659">
        <w:rPr>
          <w:rFonts w:ascii="Times New Roman" w:hAnsi="Times New Roman" w:cs="Times New Roman"/>
          <w:b/>
          <w:bCs/>
          <w:sz w:val="32"/>
          <w:szCs w:val="32"/>
        </w:rPr>
        <w:lastRenderedPageBreak/>
        <w:t>S</w:t>
      </w:r>
      <w:r w:rsidRPr="00635659">
        <w:rPr>
          <w:rFonts w:ascii="Times New Roman" w:hAnsi="Times New Roman" w:cs="Times New Roman" w:hint="eastAsia"/>
          <w:b/>
          <w:bCs/>
          <w:sz w:val="32"/>
          <w:szCs w:val="32"/>
        </w:rPr>
        <w:t>upple</w:t>
      </w:r>
      <w:r w:rsidRPr="00635659">
        <w:rPr>
          <w:rFonts w:ascii="Times New Roman" w:hAnsi="Times New Roman" w:cs="Times New Roman"/>
          <w:b/>
          <w:bCs/>
          <w:sz w:val="32"/>
          <w:szCs w:val="32"/>
        </w:rPr>
        <w:t xml:space="preserve">mentary Figures </w:t>
      </w:r>
      <w:r w:rsidRPr="00635659">
        <w:rPr>
          <w:rFonts w:ascii="Times New Roman" w:hAnsi="Times New Roman" w:cs="Times New Roman" w:hint="eastAsia"/>
          <w:b/>
          <w:bCs/>
          <w:sz w:val="32"/>
          <w:szCs w:val="32"/>
        </w:rPr>
        <w:t>a</w:t>
      </w:r>
      <w:r w:rsidRPr="00635659">
        <w:rPr>
          <w:rFonts w:ascii="Times New Roman" w:hAnsi="Times New Roman" w:cs="Times New Roman"/>
          <w:b/>
          <w:bCs/>
          <w:sz w:val="32"/>
          <w:szCs w:val="32"/>
        </w:rPr>
        <w:t>nd Figure legends</w:t>
      </w:r>
    </w:p>
    <w:p w:rsidR="00635659" w:rsidRDefault="00635659" w:rsidP="00EA0E93">
      <w:pPr>
        <w:spacing w:line="360" w:lineRule="auto"/>
        <w:jc w:val="both"/>
        <w:rPr>
          <w:rFonts w:ascii="Times New Roman" w:hAnsi="Times New Roman" w:cs="Times New Roman"/>
          <w:b/>
          <w:bCs/>
        </w:rPr>
      </w:pP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b/>
          <w:bCs/>
        </w:rPr>
        <w:t>Figure S1. Identification of USP5 as a key regulator of MASLD.</w:t>
      </w:r>
      <w:r w:rsidRPr="00317B58">
        <w:rPr>
          <w:rFonts w:ascii="Times New Roman" w:hAnsi="Times New Roman" w:cs="Times New Roman"/>
        </w:rPr>
        <w:t xml:space="preserve"> </w:t>
      </w:r>
    </w:p>
    <w:p w:rsidR="00BA11CF"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rPr>
        <w:t>(A-C) Correlation of USP5 expression with clinical indices, including Lobular inflammation, ballooning degeneration and serum TC. (D) Representative oil red O staining in the primary hepatocyte cells; scale bar, 100 μm. (E-F) Immunoblots of USP5 expression. Data are mean ±SD. Unpaired Student’s test between two groups. One-way ANOVA between multiple groups. *</w:t>
      </w:r>
      <w:r w:rsidRPr="00317B58">
        <w:rPr>
          <w:rFonts w:ascii="Times New Roman" w:hAnsi="Times New Roman" w:cs="Times New Roman"/>
          <w:i/>
          <w:iCs/>
        </w:rPr>
        <w:t>P</w:t>
      </w:r>
      <w:r w:rsidRPr="00317B58">
        <w:rPr>
          <w:rFonts w:ascii="Times New Roman" w:hAnsi="Times New Roman" w:cs="Times New Roman"/>
        </w:rPr>
        <w:t xml:space="preserve"> &lt; 0.05, **</w:t>
      </w:r>
      <w:r w:rsidRPr="00317B58">
        <w:rPr>
          <w:rFonts w:ascii="Times New Roman" w:hAnsi="Times New Roman" w:cs="Times New Roman"/>
          <w:i/>
          <w:iCs/>
        </w:rPr>
        <w:t>P</w:t>
      </w:r>
      <w:r w:rsidRPr="00317B58">
        <w:rPr>
          <w:rFonts w:ascii="Times New Roman" w:hAnsi="Times New Roman" w:cs="Times New Roman"/>
        </w:rPr>
        <w:t xml:space="preserve"> &lt; 0.01, ***</w:t>
      </w:r>
      <w:r w:rsidRPr="00317B58">
        <w:rPr>
          <w:rFonts w:ascii="Times New Roman" w:hAnsi="Times New Roman" w:cs="Times New Roman"/>
          <w:i/>
          <w:iCs/>
        </w:rPr>
        <w:t>P</w:t>
      </w:r>
      <w:r w:rsidRPr="00317B58">
        <w:rPr>
          <w:rFonts w:ascii="Times New Roman" w:hAnsi="Times New Roman" w:cs="Times New Roman"/>
        </w:rPr>
        <w:t xml:space="preserve"> &lt; 0.001. </w:t>
      </w:r>
    </w:p>
    <w:p w:rsidR="00EA0E93" w:rsidRPr="00317B58" w:rsidRDefault="00BA11CF" w:rsidP="00BA11CF">
      <w:pPr>
        <w:spacing w:line="360" w:lineRule="auto"/>
        <w:jc w:val="center"/>
        <w:rPr>
          <w:rFonts w:ascii="Times New Roman" w:hAnsi="Times New Roman" w:cs="Times New Roman"/>
        </w:rPr>
      </w:pPr>
      <w:r w:rsidRPr="00317B58">
        <w:rPr>
          <w:rFonts w:ascii="Times New Roman" w:hAnsi="Times New Roman" w:cs="Times New Roman"/>
          <w:b/>
          <w:bCs/>
          <w:noProof/>
        </w:rPr>
        <w:drawing>
          <wp:inline distT="0" distB="0" distL="0" distR="0" wp14:anchorId="023C03F5" wp14:editId="53708347">
            <wp:extent cx="4064371" cy="3611036"/>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1.jp2"/>
                    <pic:cNvPicPr/>
                  </pic:nvPicPr>
                  <pic:blipFill rotWithShape="1">
                    <a:blip r:embed="rId8" cstate="print">
                      <a:extLst>
                        <a:ext uri="{28A0092B-C50C-407E-A947-70E740481C1C}">
                          <a14:useLocalDpi xmlns:a14="http://schemas.microsoft.com/office/drawing/2010/main" val="0"/>
                        </a:ext>
                      </a:extLst>
                    </a:blip>
                    <a:srcRect l="14503" t="14169" r="15012" b="42477"/>
                    <a:stretch/>
                  </pic:blipFill>
                  <pic:spPr bwMode="auto">
                    <a:xfrm>
                      <a:off x="0" y="0"/>
                      <a:ext cx="4081700" cy="3626432"/>
                    </a:xfrm>
                    <a:prstGeom prst="rect">
                      <a:avLst/>
                    </a:prstGeom>
                    <a:ln>
                      <a:noFill/>
                    </a:ln>
                    <a:extLst>
                      <a:ext uri="{53640926-AAD7-44D8-BBD7-CCE9431645EC}">
                        <a14:shadowObscured xmlns:a14="http://schemas.microsoft.com/office/drawing/2010/main"/>
                      </a:ext>
                    </a:extLst>
                  </pic:spPr>
                </pic:pic>
              </a:graphicData>
            </a:graphic>
          </wp:inline>
        </w:drawing>
      </w:r>
    </w:p>
    <w:p w:rsidR="00EA0E93" w:rsidRPr="00317B58" w:rsidRDefault="00EA0E93" w:rsidP="00EA0E93">
      <w:pPr>
        <w:jc w:val="both"/>
        <w:rPr>
          <w:rFonts w:ascii="Times New Roman" w:hAnsi="Times New Roman" w:cs="Times New Roman"/>
        </w:rPr>
      </w:pPr>
      <w:r w:rsidRPr="00317B58">
        <w:rPr>
          <w:rFonts w:ascii="Times New Roman" w:hAnsi="Times New Roman" w:cs="Times New Roman"/>
        </w:rPr>
        <w:br w:type="page"/>
      </w: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b/>
          <w:bCs/>
        </w:rPr>
        <w:lastRenderedPageBreak/>
        <w:t>Figure S2. Hepatocyte-specific USP5 knockout exaggerates MASLD in mice</w:t>
      </w:r>
      <w:r w:rsidR="00317B58" w:rsidRPr="00317B58">
        <w:rPr>
          <w:rFonts w:ascii="Times New Roman" w:hAnsi="Times New Roman" w:cs="Times New Roman"/>
          <w:b/>
          <w:bCs/>
        </w:rPr>
        <w:t>.</w:t>
      </w: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rPr>
        <w:t>(A) Immunoblots of hepatic USP5 expression in mice liver (</w:t>
      </w:r>
      <w:r w:rsidRPr="00317B58">
        <w:rPr>
          <w:rFonts w:ascii="Times New Roman" w:hAnsi="Times New Roman" w:cs="Times New Roman"/>
          <w:i/>
          <w:iCs/>
        </w:rPr>
        <w:t>n=</w:t>
      </w:r>
      <w:r w:rsidRPr="00317B58">
        <w:rPr>
          <w:rFonts w:ascii="Times New Roman" w:hAnsi="Times New Roman" w:cs="Times New Roman"/>
        </w:rPr>
        <w:t xml:space="preserve">5/group). </w:t>
      </w:r>
      <w:r w:rsidRPr="00317B58">
        <w:rPr>
          <w:rFonts w:ascii="Times New Roman" w:eastAsia="仿宋_GB2312" w:hAnsi="Times New Roman" w:cs="Times New Roman"/>
        </w:rPr>
        <w:t>(B) Body weights. (C) Liver weights. (D) Liver/Body weights. (E) Representative F4/80 IHC, and a-SMA IHC staining in the liver sections; scale bar, 25 μm. (F-G) Qualification of F4/80 IHC, and a-SMA IHC staining. (H) Relative mRNA levels of genes (</w:t>
      </w:r>
      <w:r w:rsidRPr="00317B58">
        <w:rPr>
          <w:rFonts w:ascii="Times New Roman" w:eastAsia="仿宋_GB2312" w:hAnsi="Times New Roman" w:cs="Times New Roman"/>
          <w:i/>
          <w:iCs/>
        </w:rPr>
        <w:t xml:space="preserve">n </w:t>
      </w:r>
      <w:r w:rsidRPr="00317B58">
        <w:rPr>
          <w:rFonts w:ascii="Times New Roman" w:eastAsia="仿宋_GB2312" w:hAnsi="Times New Roman" w:cs="Times New Roman"/>
        </w:rPr>
        <w:t xml:space="preserve">= 6/group). </w:t>
      </w:r>
      <w:r w:rsidRPr="00317B58">
        <w:rPr>
          <w:rFonts w:ascii="Times New Roman" w:hAnsi="Times New Roman" w:cs="Times New Roman"/>
        </w:rPr>
        <w:t>(I) immunofluorescence (IF) for GFP (Green) was performed in WT THLE2 cells, scale bar, 10 μm. (J) Immunoblots of hepatic USP5 expression (</w:t>
      </w:r>
      <w:r w:rsidRPr="00317B58">
        <w:rPr>
          <w:rFonts w:ascii="Times New Roman" w:hAnsi="Times New Roman" w:cs="Times New Roman"/>
          <w:i/>
          <w:iCs/>
        </w:rPr>
        <w:t>n=</w:t>
      </w:r>
      <w:r w:rsidRPr="00317B58">
        <w:rPr>
          <w:rFonts w:ascii="Times New Roman" w:hAnsi="Times New Roman" w:cs="Times New Roman"/>
        </w:rPr>
        <w:t>5/group). Data are mean ±SD. Unpaired Student’s test between two groups. One-way ANOVA between multiple groups. *</w:t>
      </w:r>
      <w:r w:rsidRPr="00317B58">
        <w:rPr>
          <w:rFonts w:ascii="Times New Roman" w:hAnsi="Times New Roman" w:cs="Times New Roman"/>
          <w:i/>
          <w:iCs/>
        </w:rPr>
        <w:t>P</w:t>
      </w:r>
      <w:r w:rsidRPr="00317B58">
        <w:rPr>
          <w:rFonts w:ascii="Times New Roman" w:hAnsi="Times New Roman" w:cs="Times New Roman"/>
        </w:rPr>
        <w:t xml:space="preserve"> &lt; 0.05, **</w:t>
      </w:r>
      <w:r w:rsidRPr="00317B58">
        <w:rPr>
          <w:rFonts w:ascii="Times New Roman" w:hAnsi="Times New Roman" w:cs="Times New Roman"/>
          <w:i/>
          <w:iCs/>
        </w:rPr>
        <w:t>P</w:t>
      </w:r>
      <w:r w:rsidRPr="00317B58">
        <w:rPr>
          <w:rFonts w:ascii="Times New Roman" w:hAnsi="Times New Roman" w:cs="Times New Roman"/>
        </w:rPr>
        <w:t xml:space="preserve"> &lt; 0.01, ***</w:t>
      </w:r>
      <w:r w:rsidRPr="00317B58">
        <w:rPr>
          <w:rFonts w:ascii="Times New Roman" w:hAnsi="Times New Roman" w:cs="Times New Roman"/>
          <w:i/>
          <w:iCs/>
        </w:rPr>
        <w:t>P</w:t>
      </w:r>
      <w:r w:rsidRPr="00317B58">
        <w:rPr>
          <w:rFonts w:ascii="Times New Roman" w:hAnsi="Times New Roman" w:cs="Times New Roman"/>
        </w:rPr>
        <w:t xml:space="preserve"> &lt; 0.001. </w:t>
      </w:r>
    </w:p>
    <w:p w:rsidR="00EA0E93" w:rsidRPr="00317B58" w:rsidRDefault="00BA11CF" w:rsidP="00EA0E93">
      <w:pPr>
        <w:spacing w:line="360" w:lineRule="auto"/>
        <w:jc w:val="both"/>
        <w:rPr>
          <w:rFonts w:ascii="Times New Roman" w:hAnsi="Times New Roman" w:cs="Times New Roman"/>
        </w:rPr>
      </w:pPr>
      <w:r w:rsidRPr="00317B58">
        <w:rPr>
          <w:rFonts w:ascii="Times New Roman" w:hAnsi="Times New Roman" w:cs="Times New Roman" w:hint="eastAsia"/>
          <w:noProof/>
        </w:rPr>
        <w:drawing>
          <wp:inline distT="0" distB="0" distL="0" distR="0">
            <wp:extent cx="5270358" cy="5679122"/>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2.jp2"/>
                    <pic:cNvPicPr/>
                  </pic:nvPicPr>
                  <pic:blipFill rotWithShape="1">
                    <a:blip r:embed="rId9" cstate="print">
                      <a:extLst>
                        <a:ext uri="{28A0092B-C50C-407E-A947-70E740481C1C}">
                          <a14:useLocalDpi xmlns:a14="http://schemas.microsoft.com/office/drawing/2010/main" val="0"/>
                        </a:ext>
                      </a:extLst>
                    </a:blip>
                    <a:srcRect t="2815" b="22585"/>
                    <a:stretch/>
                  </pic:blipFill>
                  <pic:spPr bwMode="auto">
                    <a:xfrm>
                      <a:off x="0" y="0"/>
                      <a:ext cx="5270500" cy="5679275"/>
                    </a:xfrm>
                    <a:prstGeom prst="rect">
                      <a:avLst/>
                    </a:prstGeom>
                    <a:ln>
                      <a:noFill/>
                    </a:ln>
                    <a:extLst>
                      <a:ext uri="{53640926-AAD7-44D8-BBD7-CCE9431645EC}">
                        <a14:shadowObscured xmlns:a14="http://schemas.microsoft.com/office/drawing/2010/main"/>
                      </a:ext>
                    </a:extLst>
                  </pic:spPr>
                </pic:pic>
              </a:graphicData>
            </a:graphic>
          </wp:inline>
        </w:drawing>
      </w: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rPr>
        <w:br w:type="page"/>
      </w: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b/>
          <w:bCs/>
        </w:rPr>
        <w:lastRenderedPageBreak/>
        <w:t>Figure S3. Hepatocyte-specific USP5 overexpression alleviates hepatic lipid accumulation and inflammation in MASLD mice</w:t>
      </w:r>
      <w:r w:rsidR="00317B58" w:rsidRPr="00317B58">
        <w:rPr>
          <w:rFonts w:ascii="Times New Roman" w:hAnsi="Times New Roman" w:cs="Times New Roman"/>
          <w:b/>
          <w:bCs/>
        </w:rPr>
        <w:t>.</w:t>
      </w: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rPr>
        <w:t>(A) Immunoblots of hepatic USP5 expression in mice liver (</w:t>
      </w:r>
      <w:r w:rsidRPr="00317B58">
        <w:rPr>
          <w:rFonts w:ascii="Times New Roman" w:hAnsi="Times New Roman" w:cs="Times New Roman"/>
          <w:i/>
          <w:iCs/>
        </w:rPr>
        <w:t>n=</w:t>
      </w:r>
      <w:r w:rsidRPr="00317B58">
        <w:rPr>
          <w:rFonts w:ascii="Times New Roman" w:hAnsi="Times New Roman" w:cs="Times New Roman"/>
        </w:rPr>
        <w:t xml:space="preserve">5/group). (B-E) Serum TG, TC, LDL-C, and fasting serum insulin. </w:t>
      </w:r>
      <w:r w:rsidRPr="00317B58">
        <w:rPr>
          <w:rFonts w:ascii="Times New Roman" w:eastAsia="仿宋_GB2312" w:hAnsi="Times New Roman" w:cs="Times New Roman"/>
        </w:rPr>
        <w:t>(F) Representative F4/80 IHC and a-SMA IHC staining in the liver sections; scale bar, 25 μm. (G-H) Qualification of F4/80 IHC and a-SMA IHC staining. (I) Relative mRNA levels of genes (</w:t>
      </w:r>
      <w:r w:rsidRPr="00317B58">
        <w:rPr>
          <w:rFonts w:ascii="Times New Roman" w:eastAsia="仿宋_GB2312" w:hAnsi="Times New Roman" w:cs="Times New Roman"/>
          <w:i/>
          <w:iCs/>
        </w:rPr>
        <w:t xml:space="preserve">n </w:t>
      </w:r>
      <w:r w:rsidRPr="00317B58">
        <w:rPr>
          <w:rFonts w:ascii="Times New Roman" w:eastAsia="仿宋_GB2312" w:hAnsi="Times New Roman" w:cs="Times New Roman"/>
        </w:rPr>
        <w:t xml:space="preserve">= 6/group). </w:t>
      </w:r>
      <w:r w:rsidRPr="00317B58">
        <w:rPr>
          <w:rFonts w:ascii="Times New Roman" w:hAnsi="Times New Roman" w:cs="Times New Roman"/>
        </w:rPr>
        <w:t>(J) immunofluorescence (IF) for GFP (Green) was performed in WT THLE2 cells, scale bar, 10 μm. (K) Immunoblots of hepatic USP5 expression (</w:t>
      </w:r>
      <w:r w:rsidRPr="00317B58">
        <w:rPr>
          <w:rFonts w:ascii="Times New Roman" w:hAnsi="Times New Roman" w:cs="Times New Roman"/>
          <w:i/>
          <w:iCs/>
        </w:rPr>
        <w:t>n=</w:t>
      </w:r>
      <w:r w:rsidRPr="00317B58">
        <w:rPr>
          <w:rFonts w:ascii="Times New Roman" w:hAnsi="Times New Roman" w:cs="Times New Roman"/>
        </w:rPr>
        <w:t>5/group). Data are mean ±SD. Unpaired Student’s test between two groups. One-way ANOVA between multiple groups. *</w:t>
      </w:r>
      <w:r w:rsidRPr="00317B58">
        <w:rPr>
          <w:rFonts w:ascii="Times New Roman" w:hAnsi="Times New Roman" w:cs="Times New Roman"/>
          <w:i/>
          <w:iCs/>
        </w:rPr>
        <w:t>P</w:t>
      </w:r>
      <w:r w:rsidRPr="00317B58">
        <w:rPr>
          <w:rFonts w:ascii="Times New Roman" w:hAnsi="Times New Roman" w:cs="Times New Roman"/>
        </w:rPr>
        <w:t xml:space="preserve"> &lt; 0.05, **</w:t>
      </w:r>
      <w:r w:rsidRPr="00317B58">
        <w:rPr>
          <w:rFonts w:ascii="Times New Roman" w:hAnsi="Times New Roman" w:cs="Times New Roman"/>
          <w:i/>
          <w:iCs/>
        </w:rPr>
        <w:t>P</w:t>
      </w:r>
      <w:r w:rsidRPr="00317B58">
        <w:rPr>
          <w:rFonts w:ascii="Times New Roman" w:hAnsi="Times New Roman" w:cs="Times New Roman"/>
        </w:rPr>
        <w:t xml:space="preserve"> &lt; 0.01, ***</w:t>
      </w:r>
      <w:r w:rsidRPr="00317B58">
        <w:rPr>
          <w:rFonts w:ascii="Times New Roman" w:hAnsi="Times New Roman" w:cs="Times New Roman"/>
          <w:i/>
          <w:iCs/>
        </w:rPr>
        <w:t>P</w:t>
      </w:r>
      <w:r w:rsidRPr="00317B58">
        <w:rPr>
          <w:rFonts w:ascii="Times New Roman" w:hAnsi="Times New Roman" w:cs="Times New Roman"/>
        </w:rPr>
        <w:t xml:space="preserve"> &lt; 0.001. </w:t>
      </w:r>
    </w:p>
    <w:p w:rsidR="00BA11CF" w:rsidRPr="00317B58" w:rsidRDefault="00BA11CF" w:rsidP="00EA0E93">
      <w:pPr>
        <w:spacing w:line="360" w:lineRule="auto"/>
        <w:jc w:val="both"/>
        <w:rPr>
          <w:rFonts w:ascii="Times New Roman" w:hAnsi="Times New Roman" w:cs="Times New Roman"/>
        </w:rPr>
      </w:pPr>
      <w:r w:rsidRPr="00317B58">
        <w:rPr>
          <w:rFonts w:ascii="Times New Roman" w:hAnsi="Times New Roman" w:cs="Times New Roman"/>
          <w:noProof/>
        </w:rPr>
        <w:drawing>
          <wp:inline distT="0" distB="0" distL="0" distR="0">
            <wp:extent cx="5004770" cy="5379726"/>
            <wp:effectExtent l="0" t="0" r="0" b="508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3.jp2"/>
                    <pic:cNvPicPr/>
                  </pic:nvPicPr>
                  <pic:blipFill rotWithShape="1">
                    <a:blip r:embed="rId10" cstate="print">
                      <a:extLst>
                        <a:ext uri="{28A0092B-C50C-407E-A947-70E740481C1C}">
                          <a14:useLocalDpi xmlns:a14="http://schemas.microsoft.com/office/drawing/2010/main" val="0"/>
                        </a:ext>
                      </a:extLst>
                    </a:blip>
                    <a:srcRect t="4599" b="20985"/>
                    <a:stretch/>
                  </pic:blipFill>
                  <pic:spPr bwMode="auto">
                    <a:xfrm>
                      <a:off x="0" y="0"/>
                      <a:ext cx="5009958" cy="5385303"/>
                    </a:xfrm>
                    <a:prstGeom prst="rect">
                      <a:avLst/>
                    </a:prstGeom>
                    <a:ln>
                      <a:noFill/>
                    </a:ln>
                    <a:extLst>
                      <a:ext uri="{53640926-AAD7-44D8-BBD7-CCE9431645EC}">
                        <a14:shadowObscured xmlns:a14="http://schemas.microsoft.com/office/drawing/2010/main"/>
                      </a:ext>
                    </a:extLst>
                  </pic:spPr>
                </pic:pic>
              </a:graphicData>
            </a:graphic>
          </wp:inline>
        </w:drawing>
      </w: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rPr>
        <w:br w:type="page"/>
      </w:r>
    </w:p>
    <w:p w:rsidR="00EA0E93" w:rsidRPr="00317B58" w:rsidRDefault="00EA0E93" w:rsidP="00EA0E93">
      <w:pPr>
        <w:spacing w:line="360" w:lineRule="auto"/>
        <w:jc w:val="both"/>
        <w:rPr>
          <w:rFonts w:ascii="Times New Roman" w:eastAsia="仿宋_GB2312" w:hAnsi="Times New Roman" w:cs="Times New Roman"/>
        </w:rPr>
      </w:pPr>
      <w:r w:rsidRPr="00317B58">
        <w:rPr>
          <w:rFonts w:ascii="Times New Roman" w:eastAsia="仿宋_GB2312" w:hAnsi="Times New Roman" w:cs="Times New Roman"/>
          <w:b/>
          <w:bCs/>
        </w:rPr>
        <w:lastRenderedPageBreak/>
        <w:t>Figure S4. Identification of CPT-1A as a USP5 bonding partner.</w:t>
      </w:r>
      <w:r w:rsidRPr="00317B58">
        <w:rPr>
          <w:rFonts w:ascii="Times New Roman" w:eastAsia="仿宋_GB2312" w:hAnsi="Times New Roman" w:cs="Times New Roman"/>
        </w:rPr>
        <w:t xml:space="preserve"> </w:t>
      </w:r>
    </w:p>
    <w:p w:rsidR="00EA0E93" w:rsidRPr="00317B58" w:rsidRDefault="00EA0E93" w:rsidP="00EA0E93">
      <w:pPr>
        <w:spacing w:line="360" w:lineRule="auto"/>
        <w:jc w:val="both"/>
        <w:rPr>
          <w:rFonts w:ascii="Times New Roman" w:eastAsia="仿宋_GB2312" w:hAnsi="Times New Roman" w:cs="Times New Roman"/>
        </w:rPr>
      </w:pPr>
      <w:r w:rsidRPr="00317B58">
        <w:rPr>
          <w:rFonts w:ascii="Times New Roman" w:eastAsia="仿宋_GB2312" w:hAnsi="Times New Roman" w:cs="Times New Roman"/>
        </w:rPr>
        <w:t xml:space="preserve">(A) </w:t>
      </w:r>
      <w:r w:rsidRPr="00317B58">
        <w:rPr>
          <w:rFonts w:ascii="Times New Roman" w:eastAsia="仿宋_GB2312" w:hAnsi="Times New Roman" w:cs="Times New Roman"/>
          <w:color w:val="000000"/>
        </w:rPr>
        <w:t>coIP assays were performed to examine the i</w:t>
      </w:r>
      <w:r w:rsidRPr="00317B58">
        <w:rPr>
          <w:rFonts w:ascii="Times New Roman" w:eastAsia="仿宋_GB2312" w:hAnsi="Times New Roman" w:cs="Times New Roman"/>
        </w:rPr>
        <w:t>nteraction of USP5 and IκBα in THLE2 cells. (B) IP-MS of CPT-1A. Data are mean ±SD. Unpaired Student’s test between two groups. One-way ANOVA between multiple groups. *</w:t>
      </w:r>
      <w:r w:rsidRPr="00317B58">
        <w:rPr>
          <w:rFonts w:ascii="Times New Roman" w:eastAsia="仿宋_GB2312" w:hAnsi="Times New Roman" w:cs="Times New Roman"/>
          <w:i/>
          <w:iCs/>
        </w:rPr>
        <w:t>P</w:t>
      </w:r>
      <w:r w:rsidRPr="00317B58">
        <w:rPr>
          <w:rFonts w:ascii="Times New Roman" w:eastAsia="仿宋_GB2312" w:hAnsi="Times New Roman" w:cs="Times New Roman"/>
        </w:rPr>
        <w:t xml:space="preserve"> &lt; 0.05, **</w:t>
      </w:r>
      <w:r w:rsidRPr="00317B58">
        <w:rPr>
          <w:rFonts w:ascii="Times New Roman" w:eastAsia="仿宋_GB2312" w:hAnsi="Times New Roman" w:cs="Times New Roman"/>
          <w:i/>
          <w:iCs/>
        </w:rPr>
        <w:t>P</w:t>
      </w:r>
      <w:r w:rsidRPr="00317B58">
        <w:rPr>
          <w:rFonts w:ascii="Times New Roman" w:eastAsia="仿宋_GB2312" w:hAnsi="Times New Roman" w:cs="Times New Roman"/>
        </w:rPr>
        <w:t xml:space="preserve"> &lt; 0.01, ***</w:t>
      </w:r>
      <w:r w:rsidRPr="00317B58">
        <w:rPr>
          <w:rFonts w:ascii="Times New Roman" w:eastAsia="仿宋_GB2312" w:hAnsi="Times New Roman" w:cs="Times New Roman"/>
          <w:i/>
          <w:iCs/>
        </w:rPr>
        <w:t>P</w:t>
      </w:r>
      <w:r w:rsidRPr="00317B58">
        <w:rPr>
          <w:rFonts w:ascii="Times New Roman" w:eastAsia="仿宋_GB2312" w:hAnsi="Times New Roman" w:cs="Times New Roman"/>
        </w:rPr>
        <w:t xml:space="preserve"> &lt; 0.001. </w:t>
      </w:r>
    </w:p>
    <w:p w:rsidR="00BA11CF" w:rsidRPr="00317B58" w:rsidRDefault="00BA11CF" w:rsidP="005464CA">
      <w:pPr>
        <w:jc w:val="center"/>
        <w:rPr>
          <w:rFonts w:ascii="Times New Roman" w:hAnsi="Times New Roman" w:cs="Times New Roman"/>
        </w:rPr>
      </w:pPr>
      <w:r w:rsidRPr="00317B58">
        <w:rPr>
          <w:rFonts w:ascii="Times New Roman" w:hAnsi="Times New Roman" w:cs="Times New Roman"/>
          <w:noProof/>
        </w:rPr>
        <w:drawing>
          <wp:inline distT="0" distB="0" distL="0" distR="0">
            <wp:extent cx="3971109" cy="1175990"/>
            <wp:effectExtent l="0" t="0" r="4445" b="571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4.jp2"/>
                    <pic:cNvPicPr/>
                  </pic:nvPicPr>
                  <pic:blipFill rotWithShape="1">
                    <a:blip r:embed="rId11" cstate="print">
                      <a:extLst>
                        <a:ext uri="{28A0092B-C50C-407E-A947-70E740481C1C}">
                          <a14:useLocalDpi xmlns:a14="http://schemas.microsoft.com/office/drawing/2010/main" val="0"/>
                        </a:ext>
                      </a:extLst>
                    </a:blip>
                    <a:srcRect l="9162" t="17172" r="9364" b="66125"/>
                    <a:stretch/>
                  </pic:blipFill>
                  <pic:spPr bwMode="auto">
                    <a:xfrm>
                      <a:off x="0" y="0"/>
                      <a:ext cx="4050921" cy="1199625"/>
                    </a:xfrm>
                    <a:prstGeom prst="rect">
                      <a:avLst/>
                    </a:prstGeom>
                    <a:ln>
                      <a:noFill/>
                    </a:ln>
                    <a:extLst>
                      <a:ext uri="{53640926-AAD7-44D8-BBD7-CCE9431645EC}">
                        <a14:shadowObscured xmlns:a14="http://schemas.microsoft.com/office/drawing/2010/main"/>
                      </a:ext>
                    </a:extLst>
                  </pic:spPr>
                </pic:pic>
              </a:graphicData>
            </a:graphic>
          </wp:inline>
        </w:drawing>
      </w:r>
    </w:p>
    <w:p w:rsidR="00BA11CF" w:rsidRPr="00317B58" w:rsidRDefault="00BA11CF">
      <w:pPr>
        <w:rPr>
          <w:rFonts w:ascii="Times New Roman" w:hAnsi="Times New Roman" w:cs="Times New Roman"/>
        </w:rPr>
      </w:pPr>
      <w:r w:rsidRPr="00317B58">
        <w:rPr>
          <w:rFonts w:ascii="Times New Roman" w:hAnsi="Times New Roman" w:cs="Times New Roman"/>
        </w:rPr>
        <w:br w:type="page"/>
      </w: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b/>
          <w:bCs/>
        </w:rPr>
        <w:lastRenderedPageBreak/>
        <w:t>Figure S5. Rescue of CPT-1A could reverse the effect of USP5-ablation on lipid accumulation.</w:t>
      </w:r>
      <w:r w:rsidRPr="00317B58">
        <w:rPr>
          <w:rFonts w:ascii="Times New Roman" w:hAnsi="Times New Roman" w:cs="Times New Roman"/>
        </w:rPr>
        <w:t xml:space="preserve"> </w:t>
      </w:r>
    </w:p>
    <w:p w:rsidR="00EA0E93" w:rsidRPr="00317B58" w:rsidRDefault="00EA0E93" w:rsidP="00EA0E93">
      <w:pPr>
        <w:spacing w:line="360" w:lineRule="auto"/>
        <w:jc w:val="both"/>
        <w:rPr>
          <w:rFonts w:ascii="Times New Roman" w:hAnsi="Times New Roman" w:cs="Times New Roman"/>
        </w:rPr>
      </w:pPr>
      <w:r w:rsidRPr="00317B58">
        <w:rPr>
          <w:rFonts w:ascii="Times New Roman" w:eastAsia="仿宋_GB2312" w:hAnsi="Times New Roman" w:cs="Times New Roman"/>
        </w:rPr>
        <w:t xml:space="preserve">(A) OCR analysis of </w:t>
      </w:r>
      <w:r w:rsidRPr="00317B58">
        <w:rPr>
          <w:rFonts w:ascii="Times New Roman" w:eastAsia="仿宋_GB2312" w:hAnsi="Times New Roman" w:cs="Times New Roman"/>
          <w:color w:val="141413"/>
        </w:rPr>
        <w:t xml:space="preserve">Si USP5 </w:t>
      </w:r>
      <w:r w:rsidRPr="00317B58">
        <w:rPr>
          <w:rFonts w:ascii="Times New Roman" w:eastAsia="仿宋_GB2312" w:hAnsi="Times New Roman" w:cs="Times New Roman"/>
        </w:rPr>
        <w:t>THLE2 cells treated with or without FFA (</w:t>
      </w:r>
      <w:r w:rsidRPr="00317B58">
        <w:rPr>
          <w:rFonts w:ascii="Times New Roman" w:eastAsia="仿宋_GB2312" w:hAnsi="Times New Roman" w:cs="Times New Roman"/>
          <w:i/>
          <w:iCs/>
        </w:rPr>
        <w:t xml:space="preserve">n </w:t>
      </w:r>
      <w:r w:rsidRPr="00317B58">
        <w:rPr>
          <w:rFonts w:ascii="Times New Roman" w:eastAsia="仿宋_GB2312" w:hAnsi="Times New Roman" w:cs="Times New Roman"/>
        </w:rPr>
        <w:t>= 5/group).</w:t>
      </w:r>
      <w:r w:rsidRPr="00317B58">
        <w:rPr>
          <w:rFonts w:ascii="Times New Roman" w:hAnsi="Times New Roman" w:cs="Times New Roman"/>
        </w:rPr>
        <w:t xml:space="preserve"> </w:t>
      </w:r>
      <w:r w:rsidRPr="00317B58">
        <w:rPr>
          <w:rFonts w:ascii="Times New Roman" w:eastAsia="仿宋_GB2312" w:hAnsi="Times New Roman" w:cs="Times New Roman"/>
        </w:rPr>
        <w:t xml:space="preserve">(B) OCR analysis of </w:t>
      </w:r>
      <w:r w:rsidRPr="00317B58">
        <w:rPr>
          <w:rFonts w:ascii="Times New Roman" w:eastAsia="仿宋_GB2312" w:hAnsi="Times New Roman" w:cs="Times New Roman"/>
          <w:color w:val="141413"/>
        </w:rPr>
        <w:t xml:space="preserve">Ad USP5 </w:t>
      </w:r>
      <w:r w:rsidRPr="00317B58">
        <w:rPr>
          <w:rFonts w:ascii="Times New Roman" w:eastAsia="仿宋_GB2312" w:hAnsi="Times New Roman" w:cs="Times New Roman"/>
        </w:rPr>
        <w:t>THLE2 cells treated with or without FFA (</w:t>
      </w:r>
      <w:r w:rsidRPr="00317B58">
        <w:rPr>
          <w:rFonts w:ascii="Times New Roman" w:eastAsia="仿宋_GB2312" w:hAnsi="Times New Roman" w:cs="Times New Roman"/>
          <w:i/>
          <w:iCs/>
        </w:rPr>
        <w:t xml:space="preserve">n </w:t>
      </w:r>
      <w:r w:rsidRPr="00317B58">
        <w:rPr>
          <w:rFonts w:ascii="Times New Roman" w:eastAsia="仿宋_GB2312" w:hAnsi="Times New Roman" w:cs="Times New Roman"/>
        </w:rPr>
        <w:t>= 5/group). (C) Illustration of mice. (D) Body weights and liver weights.</w:t>
      </w:r>
      <w:r w:rsidRPr="00317B58">
        <w:rPr>
          <w:rFonts w:ascii="Times New Roman" w:hAnsi="Times New Roman" w:cs="Times New Roman"/>
        </w:rPr>
        <w:t xml:space="preserve"> Data are mean ±SD. Unpaired Student’s test between two groups. One-way ANOVA between multiple groups. *</w:t>
      </w:r>
      <w:r w:rsidRPr="00317B58">
        <w:rPr>
          <w:rFonts w:ascii="Times New Roman" w:hAnsi="Times New Roman" w:cs="Times New Roman"/>
          <w:i/>
          <w:iCs/>
        </w:rPr>
        <w:t>P</w:t>
      </w:r>
      <w:r w:rsidRPr="00317B58">
        <w:rPr>
          <w:rFonts w:ascii="Times New Roman" w:hAnsi="Times New Roman" w:cs="Times New Roman"/>
        </w:rPr>
        <w:t xml:space="preserve"> &lt; 0.05, **</w:t>
      </w:r>
      <w:r w:rsidRPr="00317B58">
        <w:rPr>
          <w:rFonts w:ascii="Times New Roman" w:hAnsi="Times New Roman" w:cs="Times New Roman"/>
          <w:i/>
          <w:iCs/>
        </w:rPr>
        <w:t>P</w:t>
      </w:r>
      <w:r w:rsidRPr="00317B58">
        <w:rPr>
          <w:rFonts w:ascii="Times New Roman" w:hAnsi="Times New Roman" w:cs="Times New Roman"/>
        </w:rPr>
        <w:t xml:space="preserve"> &lt; 0.01, ***</w:t>
      </w:r>
      <w:r w:rsidRPr="00317B58">
        <w:rPr>
          <w:rFonts w:ascii="Times New Roman" w:hAnsi="Times New Roman" w:cs="Times New Roman"/>
          <w:i/>
          <w:iCs/>
        </w:rPr>
        <w:t>P</w:t>
      </w:r>
      <w:r w:rsidRPr="00317B58">
        <w:rPr>
          <w:rFonts w:ascii="Times New Roman" w:hAnsi="Times New Roman" w:cs="Times New Roman"/>
        </w:rPr>
        <w:t xml:space="preserve"> &lt; 0.001.</w:t>
      </w:r>
    </w:p>
    <w:p w:rsidR="00BA11CF" w:rsidRDefault="00BA11CF" w:rsidP="005464CA">
      <w:pPr>
        <w:spacing w:line="360" w:lineRule="auto"/>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extent cx="3802745" cy="302314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5.jp2"/>
                    <pic:cNvPicPr/>
                  </pic:nvPicPr>
                  <pic:blipFill rotWithShape="1">
                    <a:blip r:embed="rId12" cstate="print">
                      <a:extLst>
                        <a:ext uri="{28A0092B-C50C-407E-A947-70E740481C1C}">
                          <a14:useLocalDpi xmlns:a14="http://schemas.microsoft.com/office/drawing/2010/main" val="0"/>
                        </a:ext>
                      </a:extLst>
                    </a:blip>
                    <a:srcRect l="9353" t="13981" r="32053" b="53771"/>
                    <a:stretch/>
                  </pic:blipFill>
                  <pic:spPr bwMode="auto">
                    <a:xfrm>
                      <a:off x="0" y="0"/>
                      <a:ext cx="3835896" cy="3049500"/>
                    </a:xfrm>
                    <a:prstGeom prst="rect">
                      <a:avLst/>
                    </a:prstGeom>
                    <a:ln>
                      <a:noFill/>
                    </a:ln>
                    <a:extLst>
                      <a:ext uri="{53640926-AAD7-44D8-BBD7-CCE9431645EC}">
                        <a14:shadowObscured xmlns:a14="http://schemas.microsoft.com/office/drawing/2010/main"/>
                      </a:ext>
                    </a:extLst>
                  </pic:spPr>
                </pic:pic>
              </a:graphicData>
            </a:graphic>
          </wp:inline>
        </w:drawing>
      </w:r>
    </w:p>
    <w:p w:rsidR="00EA0E93" w:rsidRPr="003E0CB6" w:rsidRDefault="00EA0E93" w:rsidP="00EA0E93">
      <w:pPr>
        <w:spacing w:line="360" w:lineRule="auto"/>
        <w:jc w:val="both"/>
        <w:rPr>
          <w:rFonts w:ascii="Times New Roman" w:hAnsi="Times New Roman" w:cs="Times New Roman"/>
          <w:sz w:val="21"/>
          <w:szCs w:val="21"/>
        </w:rPr>
      </w:pPr>
      <w:r w:rsidRPr="003E0CB6">
        <w:rPr>
          <w:rFonts w:ascii="Times New Roman" w:hAnsi="Times New Roman" w:cs="Times New Roman"/>
          <w:sz w:val="21"/>
          <w:szCs w:val="21"/>
        </w:rPr>
        <w:br w:type="page"/>
      </w: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b/>
          <w:bCs/>
        </w:rPr>
        <w:lastRenderedPageBreak/>
        <w:t>Figure S6. Ligustroflavone was identified as an activator of USP5 to alleviates MASLD.</w:t>
      </w:r>
      <w:r w:rsidRPr="00317B58">
        <w:rPr>
          <w:rFonts w:ascii="Times New Roman" w:hAnsi="Times New Roman" w:cs="Times New Roman"/>
        </w:rPr>
        <w:t xml:space="preserve"> </w:t>
      </w:r>
    </w:p>
    <w:p w:rsidR="00EA0E93" w:rsidRPr="00317B58" w:rsidRDefault="00EA0E93" w:rsidP="00EA0E93">
      <w:pPr>
        <w:spacing w:line="360" w:lineRule="auto"/>
        <w:jc w:val="both"/>
        <w:rPr>
          <w:rFonts w:ascii="Times New Roman" w:hAnsi="Times New Roman" w:cs="Times New Roman"/>
        </w:rPr>
      </w:pPr>
      <w:r w:rsidRPr="00317B58">
        <w:rPr>
          <w:rFonts w:ascii="Times New Roman" w:hAnsi="Times New Roman" w:cs="Times New Roman"/>
        </w:rPr>
        <w:t xml:space="preserve">(A) Schematic illustration of USP5 </w:t>
      </w:r>
      <w:r w:rsidR="00154365">
        <w:rPr>
          <w:rFonts w:ascii="Times New Roman" w:hAnsi="Times New Roman" w:cs="Times New Roman" w:hint="eastAsia"/>
        </w:rPr>
        <w:t>allo</w:t>
      </w:r>
      <w:r w:rsidR="00154365">
        <w:rPr>
          <w:rFonts w:ascii="Times New Roman" w:hAnsi="Times New Roman" w:cs="Times New Roman"/>
        </w:rPr>
        <w:t>steric</w:t>
      </w:r>
      <w:r w:rsidRPr="00317B58">
        <w:rPr>
          <w:rFonts w:ascii="Times New Roman" w:hAnsi="Times New Roman" w:cs="Times New Roman"/>
        </w:rPr>
        <w:t xml:space="preserve"> site. </w:t>
      </w:r>
      <w:r w:rsidRPr="00317B58">
        <w:rPr>
          <w:rFonts w:ascii="Times New Roman" w:eastAsia="仿宋_GB2312" w:hAnsi="Times New Roman" w:cs="Times New Roman"/>
        </w:rPr>
        <w:t xml:space="preserve">(B) </w:t>
      </w:r>
      <w:r w:rsidRPr="00317B58">
        <w:rPr>
          <w:rFonts w:ascii="Times New Roman" w:hAnsi="Times New Roman" w:cs="Times New Roman"/>
        </w:rPr>
        <w:t>Intracellular TG levels of 16 drugs (</w:t>
      </w:r>
      <w:r w:rsidR="00154365">
        <w:rPr>
          <w:rFonts w:ascii="Times New Roman" w:hAnsi="Times New Roman" w:cs="Times New Roman"/>
        </w:rPr>
        <w:t>2</w:t>
      </w:r>
      <w:r w:rsidRPr="00317B58">
        <w:rPr>
          <w:rFonts w:ascii="Times New Roman" w:hAnsi="Times New Roman" w:cs="Times New Roman"/>
        </w:rPr>
        <w:t xml:space="preserve"> μM) were determined in FFA-induced AML-12 cells (</w:t>
      </w:r>
      <w:r w:rsidRPr="00317B58">
        <w:rPr>
          <w:rFonts w:ascii="Times New Roman" w:hAnsi="Times New Roman" w:cs="Times New Roman"/>
          <w:i/>
          <w:iCs/>
        </w:rPr>
        <w:t xml:space="preserve">n </w:t>
      </w:r>
      <w:r w:rsidRPr="00317B58">
        <w:rPr>
          <w:rFonts w:ascii="Times New Roman" w:hAnsi="Times New Roman" w:cs="Times New Roman"/>
        </w:rPr>
        <w:t xml:space="preserve">= </w:t>
      </w:r>
      <w:r w:rsidR="00154365">
        <w:rPr>
          <w:rFonts w:ascii="Times New Roman" w:hAnsi="Times New Roman" w:cs="Times New Roman"/>
        </w:rPr>
        <w:t>4</w:t>
      </w:r>
      <w:r w:rsidRPr="00317B58">
        <w:rPr>
          <w:rFonts w:ascii="Times New Roman" w:hAnsi="Times New Roman" w:cs="Times New Roman"/>
        </w:rPr>
        <w:t>/group). Data are mean ±SD. Unpaired Student’s test between two groups. One-way ANOVA between multiple groups. *</w:t>
      </w:r>
      <w:r w:rsidRPr="00317B58">
        <w:rPr>
          <w:rFonts w:ascii="Times New Roman" w:hAnsi="Times New Roman" w:cs="Times New Roman"/>
          <w:i/>
          <w:iCs/>
        </w:rPr>
        <w:t>P</w:t>
      </w:r>
      <w:r w:rsidRPr="00317B58">
        <w:rPr>
          <w:rFonts w:ascii="Times New Roman" w:hAnsi="Times New Roman" w:cs="Times New Roman"/>
        </w:rPr>
        <w:t xml:space="preserve"> &lt; 0.05, **</w:t>
      </w:r>
      <w:r w:rsidRPr="00317B58">
        <w:rPr>
          <w:rFonts w:ascii="Times New Roman" w:hAnsi="Times New Roman" w:cs="Times New Roman"/>
          <w:i/>
          <w:iCs/>
        </w:rPr>
        <w:t>P</w:t>
      </w:r>
      <w:r w:rsidRPr="00317B58">
        <w:rPr>
          <w:rFonts w:ascii="Times New Roman" w:hAnsi="Times New Roman" w:cs="Times New Roman"/>
        </w:rPr>
        <w:t xml:space="preserve"> &lt; 0.01, ***</w:t>
      </w:r>
      <w:r w:rsidRPr="00317B58">
        <w:rPr>
          <w:rFonts w:ascii="Times New Roman" w:hAnsi="Times New Roman" w:cs="Times New Roman"/>
          <w:i/>
          <w:iCs/>
        </w:rPr>
        <w:t>P</w:t>
      </w:r>
      <w:r w:rsidRPr="00317B58">
        <w:rPr>
          <w:rFonts w:ascii="Times New Roman" w:hAnsi="Times New Roman" w:cs="Times New Roman"/>
        </w:rPr>
        <w:t xml:space="preserve"> &lt; 0.001. </w:t>
      </w:r>
    </w:p>
    <w:p w:rsidR="00BA11CF" w:rsidRPr="00154365" w:rsidRDefault="00154365" w:rsidP="00EA0E93">
      <w:pPr>
        <w:rPr>
          <w:rFonts w:ascii="Times New Roman" w:hAnsi="Times New Roman" w:cs="Times New Roman"/>
        </w:rPr>
      </w:pPr>
      <w:r w:rsidRPr="00154365">
        <w:rPr>
          <w:rFonts w:ascii="Times New Roman" w:hAnsi="Times New Roman" w:cs="Times New Roman"/>
          <w:noProof/>
        </w:rPr>
        <w:drawing>
          <wp:inline distT="0" distB="0" distL="0" distR="0" wp14:anchorId="0FF76635" wp14:editId="7E72D3AA">
            <wp:extent cx="5727700" cy="2132965"/>
            <wp:effectExtent l="0" t="0" r="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7700" cy="2132965"/>
                    </a:xfrm>
                    <a:prstGeom prst="rect">
                      <a:avLst/>
                    </a:prstGeom>
                  </pic:spPr>
                </pic:pic>
              </a:graphicData>
            </a:graphic>
          </wp:inline>
        </w:drawing>
      </w:r>
    </w:p>
    <w:p w:rsidR="00EA0E93" w:rsidRPr="00662CF3" w:rsidRDefault="00EA0E93" w:rsidP="00EA0E93">
      <w:pPr>
        <w:rPr>
          <w:rFonts w:ascii="Times New Roman" w:hAnsi="Times New Roman" w:cs="Times New Roman"/>
        </w:rPr>
      </w:pPr>
      <w:r w:rsidRPr="00662CF3">
        <w:rPr>
          <w:rFonts w:ascii="Times New Roman" w:hAnsi="Times New Roman" w:cs="Times New Roman"/>
        </w:rPr>
        <w:br w:type="page"/>
      </w:r>
    </w:p>
    <w:p w:rsidR="00635659" w:rsidRPr="00635659" w:rsidRDefault="00635659" w:rsidP="00635659">
      <w:pPr>
        <w:spacing w:line="360" w:lineRule="auto"/>
        <w:jc w:val="center"/>
        <w:rPr>
          <w:rFonts w:ascii="Times New Roman" w:hAnsi="Times New Roman" w:cs="Times New Roman"/>
          <w:b/>
          <w:bCs/>
          <w:sz w:val="32"/>
          <w:szCs w:val="32"/>
        </w:rPr>
      </w:pPr>
      <w:r w:rsidRPr="00635659">
        <w:rPr>
          <w:rFonts w:ascii="Times New Roman" w:hAnsi="Times New Roman" w:cs="Times New Roman"/>
          <w:b/>
          <w:bCs/>
          <w:sz w:val="32"/>
          <w:szCs w:val="32"/>
        </w:rPr>
        <w:lastRenderedPageBreak/>
        <w:t>S</w:t>
      </w:r>
      <w:r w:rsidRPr="00635659">
        <w:rPr>
          <w:rFonts w:ascii="Times New Roman" w:hAnsi="Times New Roman" w:cs="Times New Roman" w:hint="eastAsia"/>
          <w:b/>
          <w:bCs/>
          <w:sz w:val="32"/>
          <w:szCs w:val="32"/>
        </w:rPr>
        <w:t>upple</w:t>
      </w:r>
      <w:r w:rsidRPr="00635659">
        <w:rPr>
          <w:rFonts w:ascii="Times New Roman" w:hAnsi="Times New Roman" w:cs="Times New Roman"/>
          <w:b/>
          <w:bCs/>
          <w:sz w:val="32"/>
          <w:szCs w:val="32"/>
        </w:rPr>
        <w:t>mentary Tables</w:t>
      </w:r>
    </w:p>
    <w:p w:rsidR="00635659" w:rsidRDefault="00635659" w:rsidP="00EA0E93">
      <w:pPr>
        <w:spacing w:line="360" w:lineRule="auto"/>
        <w:jc w:val="center"/>
        <w:rPr>
          <w:rFonts w:ascii="Times New Roman" w:hAnsi="Times New Roman" w:cs="Times New Roman"/>
          <w:b/>
          <w:bCs/>
          <w:color w:val="000000" w:themeColor="text1"/>
          <w:sz w:val="28"/>
          <w:szCs w:val="28"/>
        </w:rPr>
      </w:pPr>
    </w:p>
    <w:p w:rsidR="00635659" w:rsidRDefault="00635659" w:rsidP="00EA0E93">
      <w:pPr>
        <w:spacing w:line="360" w:lineRule="auto"/>
        <w:jc w:val="center"/>
        <w:rPr>
          <w:rFonts w:ascii="Times New Roman" w:hAnsi="Times New Roman" w:cs="Times New Roman"/>
          <w:b/>
          <w:bCs/>
          <w:color w:val="000000" w:themeColor="text1"/>
          <w:sz w:val="28"/>
          <w:szCs w:val="28"/>
        </w:rPr>
      </w:pPr>
    </w:p>
    <w:p w:rsidR="00EA0E93" w:rsidRPr="00635659" w:rsidRDefault="00EA0E93" w:rsidP="00635659">
      <w:pPr>
        <w:spacing w:line="360" w:lineRule="auto"/>
        <w:rPr>
          <w:rFonts w:ascii="Times New Roman" w:hAnsi="Times New Roman" w:cs="Times New Roman"/>
          <w:color w:val="000000" w:themeColor="text1"/>
        </w:rPr>
      </w:pPr>
      <w:r w:rsidRPr="00635659">
        <w:rPr>
          <w:rFonts w:ascii="Times New Roman" w:hAnsi="Times New Roman" w:cs="Times New Roman"/>
          <w:b/>
          <w:bCs/>
          <w:color w:val="000000" w:themeColor="text1"/>
        </w:rPr>
        <w:t xml:space="preserve">Table S1. </w:t>
      </w:r>
      <w:r w:rsidRPr="00635659">
        <w:rPr>
          <w:rFonts w:ascii="Times New Roman" w:hAnsi="Times New Roman" w:cs="Times New Roman"/>
          <w:color w:val="000000" w:themeColor="text1"/>
        </w:rPr>
        <w:t>A list of primer sequences</w:t>
      </w:r>
    </w:p>
    <w:tbl>
      <w:tblPr>
        <w:tblStyle w:val="a9"/>
        <w:tblW w:w="921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846"/>
        <w:gridCol w:w="3690"/>
        <w:gridCol w:w="3544"/>
      </w:tblGrid>
      <w:tr w:rsidR="00EA0E93" w:rsidRPr="00BA11CF" w:rsidTr="00004BD8">
        <w:tc>
          <w:tcPr>
            <w:tcW w:w="1134" w:type="dxa"/>
            <w:tcBorders>
              <w:top w:val="single" w:sz="4" w:space="0" w:color="auto"/>
              <w:bottom w:val="single" w:sz="4" w:space="0" w:color="auto"/>
            </w:tcBorders>
          </w:tcPr>
          <w:p w:rsidR="00EA0E93" w:rsidRPr="00BA11CF" w:rsidRDefault="00EA0E93" w:rsidP="00004BD8">
            <w:pPr>
              <w:spacing w:line="360" w:lineRule="auto"/>
              <w:rPr>
                <w:rFonts w:ascii="Times New Roman" w:hAnsi="Times New Roman" w:cs="Times New Roman"/>
                <w:b/>
                <w:bCs/>
                <w:color w:val="000000" w:themeColor="text1"/>
                <w:sz w:val="18"/>
                <w:szCs w:val="18"/>
              </w:rPr>
            </w:pPr>
            <w:r w:rsidRPr="00BA11CF">
              <w:rPr>
                <w:rFonts w:ascii="Times New Roman" w:hAnsi="Times New Roman" w:cs="Times New Roman"/>
                <w:b/>
                <w:bCs/>
                <w:color w:val="000000" w:themeColor="text1"/>
                <w:sz w:val="18"/>
                <w:szCs w:val="18"/>
              </w:rPr>
              <w:t>Genes</w:t>
            </w:r>
          </w:p>
        </w:tc>
        <w:tc>
          <w:tcPr>
            <w:tcW w:w="846" w:type="dxa"/>
            <w:tcBorders>
              <w:top w:val="single" w:sz="4" w:space="0" w:color="auto"/>
              <w:bottom w:val="single" w:sz="4" w:space="0" w:color="auto"/>
            </w:tcBorders>
          </w:tcPr>
          <w:p w:rsidR="00EA0E93" w:rsidRPr="00BA11CF" w:rsidRDefault="00EA0E93" w:rsidP="00004BD8">
            <w:pPr>
              <w:spacing w:line="360" w:lineRule="auto"/>
              <w:rPr>
                <w:rFonts w:ascii="Times New Roman" w:hAnsi="Times New Roman" w:cs="Times New Roman"/>
                <w:b/>
                <w:bCs/>
                <w:color w:val="000000" w:themeColor="text1"/>
                <w:sz w:val="18"/>
                <w:szCs w:val="18"/>
              </w:rPr>
            </w:pPr>
            <w:r w:rsidRPr="00BA11CF">
              <w:rPr>
                <w:rFonts w:ascii="Times New Roman" w:hAnsi="Times New Roman" w:cs="Times New Roman"/>
                <w:b/>
                <w:bCs/>
                <w:color w:val="000000" w:themeColor="text1"/>
                <w:sz w:val="18"/>
                <w:szCs w:val="18"/>
              </w:rPr>
              <w:t>Species</w:t>
            </w:r>
          </w:p>
        </w:tc>
        <w:tc>
          <w:tcPr>
            <w:tcW w:w="3690" w:type="dxa"/>
            <w:tcBorders>
              <w:top w:val="single" w:sz="4" w:space="0" w:color="auto"/>
              <w:bottom w:val="single" w:sz="4" w:space="0" w:color="auto"/>
            </w:tcBorders>
          </w:tcPr>
          <w:p w:rsidR="00EA0E93" w:rsidRPr="00BA11CF" w:rsidRDefault="00EA0E93" w:rsidP="00004BD8">
            <w:pPr>
              <w:spacing w:line="360" w:lineRule="auto"/>
              <w:rPr>
                <w:rFonts w:ascii="Times New Roman" w:hAnsi="Times New Roman" w:cs="Times New Roman"/>
                <w:b/>
                <w:bCs/>
                <w:color w:val="000000" w:themeColor="text1"/>
                <w:sz w:val="18"/>
                <w:szCs w:val="18"/>
              </w:rPr>
            </w:pPr>
            <w:r w:rsidRPr="00BA11CF">
              <w:rPr>
                <w:rFonts w:ascii="Times New Roman" w:hAnsi="Times New Roman" w:cs="Times New Roman"/>
                <w:b/>
                <w:bCs/>
                <w:color w:val="000000" w:themeColor="text1"/>
                <w:sz w:val="18"/>
                <w:szCs w:val="18"/>
              </w:rPr>
              <w:t>Forward Prime</w:t>
            </w:r>
          </w:p>
        </w:tc>
        <w:tc>
          <w:tcPr>
            <w:tcW w:w="3544" w:type="dxa"/>
            <w:tcBorders>
              <w:top w:val="single" w:sz="4" w:space="0" w:color="auto"/>
              <w:bottom w:val="single" w:sz="4" w:space="0" w:color="auto"/>
            </w:tcBorders>
          </w:tcPr>
          <w:p w:rsidR="00EA0E93" w:rsidRPr="00BA11CF" w:rsidRDefault="00EA0E93" w:rsidP="00004BD8">
            <w:pPr>
              <w:spacing w:line="360" w:lineRule="auto"/>
              <w:rPr>
                <w:rFonts w:ascii="Times New Roman" w:hAnsi="Times New Roman" w:cs="Times New Roman"/>
                <w:b/>
                <w:bCs/>
                <w:color w:val="000000" w:themeColor="text1"/>
                <w:sz w:val="18"/>
                <w:szCs w:val="18"/>
              </w:rPr>
            </w:pPr>
            <w:r w:rsidRPr="00BA11CF">
              <w:rPr>
                <w:rFonts w:ascii="Times New Roman" w:hAnsi="Times New Roman" w:cs="Times New Roman"/>
                <w:b/>
                <w:bCs/>
                <w:color w:val="000000" w:themeColor="text1"/>
                <w:sz w:val="18"/>
                <w:szCs w:val="18"/>
              </w:rPr>
              <w:t>Reverse primer</w:t>
            </w:r>
          </w:p>
        </w:tc>
      </w:tr>
      <w:tr w:rsidR="00EA0E93" w:rsidRPr="00BA11CF" w:rsidTr="00004BD8">
        <w:tc>
          <w:tcPr>
            <w:tcW w:w="1134" w:type="dxa"/>
            <w:tcBorders>
              <w:top w:val="single" w:sz="4" w:space="0" w:color="auto"/>
            </w:tcBorders>
          </w:tcPr>
          <w:p w:rsidR="00EA0E93" w:rsidRPr="00BA11CF" w:rsidRDefault="00EA0E93" w:rsidP="00004BD8">
            <w:pPr>
              <w:spacing w:line="360" w:lineRule="auto"/>
              <w:rPr>
                <w:rFonts w:ascii="Times New Roman" w:hAnsi="Times New Roman" w:cs="Times New Roman"/>
                <w:i/>
                <w:iCs/>
                <w:color w:val="000000" w:themeColor="text1"/>
                <w:sz w:val="18"/>
                <w:szCs w:val="18"/>
              </w:rPr>
            </w:pPr>
            <w:r w:rsidRPr="00BA11CF">
              <w:rPr>
                <w:rFonts w:ascii="Times New Roman" w:hAnsi="Times New Roman" w:cs="Times New Roman"/>
                <w:i/>
                <w:iCs/>
                <w:color w:val="000000" w:themeColor="text1"/>
                <w:sz w:val="18"/>
                <w:szCs w:val="18"/>
              </w:rPr>
              <w:t>Srebf1</w:t>
            </w:r>
          </w:p>
        </w:tc>
        <w:tc>
          <w:tcPr>
            <w:tcW w:w="846" w:type="dxa"/>
            <w:tcBorders>
              <w:top w:val="single" w:sz="4" w:space="0" w:color="auto"/>
            </w:tcBorders>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mouse</w:t>
            </w:r>
          </w:p>
        </w:tc>
        <w:tc>
          <w:tcPr>
            <w:tcW w:w="3690" w:type="dxa"/>
            <w:tcBorders>
              <w:top w:val="single" w:sz="4" w:space="0" w:color="auto"/>
            </w:tcBorders>
            <w:vAlign w:val="center"/>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5'GGCTTGGTGATGCTATGTTGA3'</w:t>
            </w:r>
          </w:p>
        </w:tc>
        <w:tc>
          <w:tcPr>
            <w:tcW w:w="3544" w:type="dxa"/>
            <w:tcBorders>
              <w:top w:val="single" w:sz="4" w:space="0" w:color="auto"/>
            </w:tcBorders>
            <w:vAlign w:val="center"/>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5'GGCAAAGGAACAACTGAGACC3'</w:t>
            </w:r>
          </w:p>
        </w:tc>
      </w:tr>
      <w:tr w:rsidR="00EA0E93" w:rsidRPr="00BA11CF" w:rsidTr="00004BD8">
        <w:tc>
          <w:tcPr>
            <w:tcW w:w="1134" w:type="dxa"/>
            <w:tcBorders>
              <w:bottom w:val="nil"/>
            </w:tcBorders>
          </w:tcPr>
          <w:p w:rsidR="00EA0E93" w:rsidRPr="00BA11CF" w:rsidRDefault="00EA0E93" w:rsidP="00004BD8">
            <w:pPr>
              <w:spacing w:line="360" w:lineRule="auto"/>
              <w:rPr>
                <w:rFonts w:ascii="Times New Roman" w:hAnsi="Times New Roman" w:cs="Times New Roman"/>
                <w:i/>
                <w:iCs/>
                <w:color w:val="000000" w:themeColor="text1"/>
                <w:sz w:val="18"/>
                <w:szCs w:val="18"/>
              </w:rPr>
            </w:pPr>
            <w:r w:rsidRPr="00BA11CF">
              <w:rPr>
                <w:rFonts w:ascii="Times New Roman" w:hAnsi="Times New Roman" w:cs="Times New Roman"/>
                <w:i/>
                <w:iCs/>
                <w:color w:val="000000" w:themeColor="text1"/>
                <w:sz w:val="18"/>
                <w:szCs w:val="18"/>
              </w:rPr>
              <w:t>Scd-1</w:t>
            </w:r>
          </w:p>
        </w:tc>
        <w:tc>
          <w:tcPr>
            <w:tcW w:w="846" w:type="dxa"/>
            <w:tcBorders>
              <w:bottom w:val="nil"/>
            </w:tcBorders>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mouse</w:t>
            </w:r>
          </w:p>
        </w:tc>
        <w:tc>
          <w:tcPr>
            <w:tcW w:w="3690" w:type="dxa"/>
            <w:tcBorders>
              <w:bottom w:val="nil"/>
            </w:tcBorders>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5′TGAGGGGCAGTGTCTGTAA3′</w:t>
            </w:r>
          </w:p>
        </w:tc>
        <w:tc>
          <w:tcPr>
            <w:tcW w:w="3544" w:type="dxa"/>
            <w:tcBorders>
              <w:bottom w:val="nil"/>
            </w:tcBorders>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5′GGAAACTAAAGCAATGGATGG3′</w:t>
            </w:r>
          </w:p>
        </w:tc>
      </w:tr>
      <w:tr w:rsidR="00EA0E93" w:rsidRPr="00BA11CF" w:rsidTr="00004BD8">
        <w:tc>
          <w:tcPr>
            <w:tcW w:w="1134" w:type="dxa"/>
            <w:tcBorders>
              <w:top w:val="nil"/>
              <w:bottom w:val="nil"/>
            </w:tcBorders>
          </w:tcPr>
          <w:p w:rsidR="00EA0E93" w:rsidRPr="00BA11CF" w:rsidRDefault="00EA0E93" w:rsidP="00004BD8">
            <w:pPr>
              <w:spacing w:line="360" w:lineRule="auto"/>
              <w:rPr>
                <w:rFonts w:ascii="Times New Roman" w:hAnsi="Times New Roman" w:cs="Times New Roman"/>
                <w:i/>
                <w:iCs/>
                <w:color w:val="000000" w:themeColor="text1"/>
                <w:sz w:val="18"/>
                <w:szCs w:val="18"/>
              </w:rPr>
            </w:pPr>
            <w:r w:rsidRPr="00BA11CF">
              <w:rPr>
                <w:rFonts w:ascii="Times New Roman" w:hAnsi="Times New Roman" w:cs="Times New Roman"/>
                <w:i/>
                <w:iCs/>
                <w:color w:val="000000" w:themeColor="text1"/>
                <w:sz w:val="18"/>
                <w:szCs w:val="18"/>
              </w:rPr>
              <w:t>Fabp-1</w:t>
            </w:r>
          </w:p>
        </w:tc>
        <w:tc>
          <w:tcPr>
            <w:tcW w:w="846" w:type="dxa"/>
            <w:tcBorders>
              <w:top w:val="nil"/>
              <w:bottom w:val="nil"/>
            </w:tcBorders>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mouse</w:t>
            </w:r>
          </w:p>
        </w:tc>
        <w:tc>
          <w:tcPr>
            <w:tcW w:w="3690" w:type="dxa"/>
            <w:tcBorders>
              <w:top w:val="nil"/>
              <w:bottom w:val="nil"/>
            </w:tcBorders>
            <w:vAlign w:val="center"/>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5'AAAGTCAAGGCAGTCGTCAAG3'</w:t>
            </w:r>
          </w:p>
        </w:tc>
        <w:tc>
          <w:tcPr>
            <w:tcW w:w="3544" w:type="dxa"/>
            <w:tcBorders>
              <w:top w:val="nil"/>
              <w:bottom w:val="nil"/>
            </w:tcBorders>
            <w:vAlign w:val="center"/>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5'TGGTGATTGTGTCTCCATTGA3'</w:t>
            </w:r>
          </w:p>
        </w:tc>
      </w:tr>
      <w:tr w:rsidR="00EA0E93" w:rsidRPr="00BA11CF" w:rsidTr="00004BD8">
        <w:tc>
          <w:tcPr>
            <w:tcW w:w="1134" w:type="dxa"/>
            <w:tcBorders>
              <w:top w:val="nil"/>
              <w:bottom w:val="nil"/>
            </w:tcBorders>
          </w:tcPr>
          <w:p w:rsidR="00EA0E93" w:rsidRPr="00BA11CF" w:rsidRDefault="00EA0E93" w:rsidP="00004BD8">
            <w:pPr>
              <w:spacing w:line="360" w:lineRule="auto"/>
              <w:rPr>
                <w:rFonts w:ascii="Times New Roman" w:hAnsi="Times New Roman" w:cs="Times New Roman"/>
                <w:i/>
                <w:iCs/>
                <w:color w:val="000000" w:themeColor="text1"/>
                <w:sz w:val="18"/>
                <w:szCs w:val="18"/>
              </w:rPr>
            </w:pPr>
            <w:r w:rsidRPr="00BA11CF">
              <w:rPr>
                <w:rFonts w:ascii="Times New Roman" w:hAnsi="Times New Roman" w:cs="Times New Roman"/>
                <w:i/>
                <w:iCs/>
                <w:color w:val="000000" w:themeColor="text1"/>
                <w:sz w:val="18"/>
                <w:szCs w:val="18"/>
              </w:rPr>
              <w:t>Ccl2</w:t>
            </w:r>
          </w:p>
        </w:tc>
        <w:tc>
          <w:tcPr>
            <w:tcW w:w="846" w:type="dxa"/>
            <w:tcBorders>
              <w:top w:val="nil"/>
              <w:bottom w:val="nil"/>
            </w:tcBorders>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mouse</w:t>
            </w:r>
          </w:p>
        </w:tc>
        <w:tc>
          <w:tcPr>
            <w:tcW w:w="3690" w:type="dxa"/>
            <w:tcBorders>
              <w:top w:val="nil"/>
              <w:bottom w:val="nil"/>
            </w:tcBorders>
            <w:vAlign w:val="center"/>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5'ATCGGAACCAAATGAGATCAG3'</w:t>
            </w:r>
          </w:p>
        </w:tc>
        <w:tc>
          <w:tcPr>
            <w:tcW w:w="3544" w:type="dxa"/>
            <w:tcBorders>
              <w:top w:val="nil"/>
              <w:bottom w:val="nil"/>
            </w:tcBorders>
            <w:vAlign w:val="center"/>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5'GCTTCAGATTTACGGGTCAAC3'</w:t>
            </w:r>
          </w:p>
        </w:tc>
      </w:tr>
      <w:tr w:rsidR="00EA0E93" w:rsidRPr="00BA11CF" w:rsidTr="00004BD8">
        <w:tc>
          <w:tcPr>
            <w:tcW w:w="1134" w:type="dxa"/>
            <w:tcBorders>
              <w:top w:val="nil"/>
              <w:bottom w:val="single" w:sz="4" w:space="0" w:color="auto"/>
            </w:tcBorders>
          </w:tcPr>
          <w:p w:rsidR="00EA0E93" w:rsidRPr="00BA11CF" w:rsidRDefault="00EA0E93" w:rsidP="00004BD8">
            <w:pPr>
              <w:spacing w:line="360" w:lineRule="auto"/>
              <w:rPr>
                <w:rFonts w:ascii="Times New Roman" w:hAnsi="Times New Roman" w:cs="Times New Roman"/>
                <w:i/>
                <w:iCs/>
                <w:color w:val="000000" w:themeColor="text1"/>
                <w:sz w:val="18"/>
                <w:szCs w:val="18"/>
              </w:rPr>
            </w:pPr>
            <w:r w:rsidRPr="00BA11CF">
              <w:rPr>
                <w:rFonts w:ascii="Times New Roman" w:hAnsi="Times New Roman" w:cs="Times New Roman"/>
                <w:i/>
                <w:iCs/>
                <w:color w:val="000000" w:themeColor="text1"/>
                <w:sz w:val="18"/>
                <w:szCs w:val="18"/>
              </w:rPr>
              <w:t>Col3a1</w:t>
            </w:r>
          </w:p>
        </w:tc>
        <w:tc>
          <w:tcPr>
            <w:tcW w:w="846" w:type="dxa"/>
            <w:tcBorders>
              <w:top w:val="nil"/>
              <w:bottom w:val="single" w:sz="4" w:space="0" w:color="auto"/>
            </w:tcBorders>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mouse</w:t>
            </w:r>
          </w:p>
        </w:tc>
        <w:tc>
          <w:tcPr>
            <w:tcW w:w="3690" w:type="dxa"/>
            <w:tcBorders>
              <w:top w:val="nil"/>
              <w:bottom w:val="single" w:sz="4" w:space="0" w:color="auto"/>
            </w:tcBorders>
            <w:vAlign w:val="center"/>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5'CCTGGAGCCCCTGGACTAATA3'</w:t>
            </w:r>
          </w:p>
        </w:tc>
        <w:tc>
          <w:tcPr>
            <w:tcW w:w="3544" w:type="dxa"/>
            <w:tcBorders>
              <w:top w:val="nil"/>
              <w:bottom w:val="single" w:sz="4" w:space="0" w:color="auto"/>
            </w:tcBorders>
            <w:vAlign w:val="center"/>
          </w:tcPr>
          <w:p w:rsidR="00EA0E93" w:rsidRPr="00BA11CF" w:rsidRDefault="00EA0E93" w:rsidP="00004BD8">
            <w:pPr>
              <w:spacing w:line="360" w:lineRule="auto"/>
              <w:rPr>
                <w:rFonts w:ascii="Times New Roman" w:hAnsi="Times New Roman" w:cs="Times New Roman"/>
                <w:color w:val="000000" w:themeColor="text1"/>
                <w:sz w:val="18"/>
                <w:szCs w:val="18"/>
              </w:rPr>
            </w:pPr>
            <w:r w:rsidRPr="00BA11CF">
              <w:rPr>
                <w:rFonts w:ascii="Times New Roman" w:hAnsi="Times New Roman" w:cs="Times New Roman"/>
                <w:color w:val="000000" w:themeColor="text1"/>
                <w:sz w:val="18"/>
                <w:szCs w:val="18"/>
              </w:rPr>
              <w:t>5'TCACCTGAAGGACCTCGTGTT3'</w:t>
            </w:r>
          </w:p>
        </w:tc>
      </w:tr>
    </w:tbl>
    <w:p w:rsidR="00EA0E93" w:rsidRPr="00662CF3" w:rsidRDefault="00EA0E93" w:rsidP="00EA0E93">
      <w:pPr>
        <w:spacing w:line="360" w:lineRule="auto"/>
        <w:rPr>
          <w:rFonts w:ascii="Times New Roman" w:hAnsi="Times New Roman" w:cs="Times New Roman"/>
        </w:rPr>
      </w:pPr>
    </w:p>
    <w:p w:rsidR="00EA0E93" w:rsidRPr="00662CF3" w:rsidRDefault="00EA0E93" w:rsidP="00EA0E93">
      <w:pPr>
        <w:spacing w:line="360" w:lineRule="auto"/>
        <w:rPr>
          <w:rFonts w:ascii="Times New Roman" w:hAnsi="Times New Roman" w:cs="Times New Roman"/>
        </w:rPr>
      </w:pPr>
    </w:p>
    <w:p w:rsidR="00EA0E93" w:rsidRDefault="00EA0E93">
      <w:pPr>
        <w:rPr>
          <w:rFonts w:ascii="Times New Roman" w:eastAsia="仿宋_GB2312" w:hAnsi="Times New Roman" w:cs="Times New Roman"/>
        </w:rPr>
      </w:pPr>
    </w:p>
    <w:p w:rsidR="00EA0E93" w:rsidRDefault="00EA0E93">
      <w:pPr>
        <w:rPr>
          <w:rFonts w:ascii="Times New Roman" w:eastAsia="仿宋_GB2312" w:hAnsi="Times New Roman" w:cs="Times New Roman"/>
        </w:rPr>
      </w:pPr>
    </w:p>
    <w:p w:rsidR="00EA0E93" w:rsidRDefault="00EA0E93">
      <w:pPr>
        <w:rPr>
          <w:rFonts w:ascii="Times New Roman" w:eastAsia="仿宋_GB2312" w:hAnsi="Times New Roman" w:cs="Times New Roman"/>
        </w:rPr>
      </w:pPr>
      <w:r>
        <w:rPr>
          <w:rFonts w:ascii="Times New Roman" w:eastAsia="仿宋_GB2312" w:hAnsi="Times New Roman" w:cs="Times New Roman"/>
        </w:rPr>
        <w:br w:type="page"/>
      </w:r>
    </w:p>
    <w:p w:rsidR="00BA11CF" w:rsidRPr="00635659" w:rsidRDefault="00BA11CF" w:rsidP="00BA11CF">
      <w:pPr>
        <w:jc w:val="center"/>
        <w:rPr>
          <w:rFonts w:ascii="Times New Roman" w:eastAsia="仿宋_GB2312" w:hAnsi="Times New Roman" w:cs="Times New Roman"/>
          <w:b/>
          <w:bCs/>
          <w:sz w:val="32"/>
          <w:szCs w:val="32"/>
        </w:rPr>
      </w:pPr>
      <w:r w:rsidRPr="00635659">
        <w:rPr>
          <w:rFonts w:ascii="Times New Roman" w:eastAsia="仿宋_GB2312" w:hAnsi="Times New Roman" w:cs="Times New Roman" w:hint="eastAsia"/>
          <w:b/>
          <w:bCs/>
          <w:sz w:val="32"/>
          <w:szCs w:val="32"/>
        </w:rPr>
        <w:lastRenderedPageBreak/>
        <w:t>O</w:t>
      </w:r>
      <w:r w:rsidRPr="00635659">
        <w:rPr>
          <w:rFonts w:ascii="Times New Roman" w:eastAsia="仿宋_GB2312" w:hAnsi="Times New Roman" w:cs="Times New Roman"/>
          <w:b/>
          <w:bCs/>
          <w:sz w:val="32"/>
          <w:szCs w:val="32"/>
        </w:rPr>
        <w:t>riginal WB images</w:t>
      </w:r>
    </w:p>
    <w:p w:rsidR="00635659" w:rsidRPr="00BA11CF" w:rsidRDefault="00635659" w:rsidP="00BA11CF">
      <w:pPr>
        <w:jc w:val="center"/>
        <w:rPr>
          <w:rFonts w:ascii="Times New Roman" w:eastAsia="仿宋_GB2312" w:hAnsi="Times New Roman" w:cs="Times New Roman"/>
          <w:b/>
          <w:bCs/>
          <w:sz w:val="28"/>
          <w:szCs w:val="28"/>
        </w:rPr>
      </w:pPr>
    </w:p>
    <w:p w:rsidR="00BA11CF" w:rsidRDefault="005A57E7">
      <w:pPr>
        <w:rPr>
          <w:rFonts w:ascii="Times New Roman" w:eastAsia="仿宋_GB2312" w:hAnsi="Times New Roman" w:cs="Times New Roman"/>
          <w:b/>
          <w:bCs/>
          <w:sz w:val="28"/>
          <w:szCs w:val="28"/>
        </w:rPr>
      </w:pPr>
      <w:r>
        <w:rPr>
          <w:rFonts w:ascii="Times New Roman" w:eastAsia="仿宋_GB2312" w:hAnsi="Times New Roman" w:cs="Times New Roman"/>
          <w:b/>
          <w:bCs/>
          <w:noProof/>
          <w:sz w:val="28"/>
          <w:szCs w:val="28"/>
        </w:rPr>
        <w:drawing>
          <wp:inline distT="0" distB="0" distL="0" distR="0">
            <wp:extent cx="5214174" cy="3851822"/>
            <wp:effectExtent l="0" t="0" r="571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jp2"/>
                    <pic:cNvPicPr/>
                  </pic:nvPicPr>
                  <pic:blipFill rotWithShape="1">
                    <a:blip r:embed="rId14" cstate="print">
                      <a:extLst>
                        <a:ext uri="{28A0092B-C50C-407E-A947-70E740481C1C}">
                          <a14:useLocalDpi xmlns:a14="http://schemas.microsoft.com/office/drawing/2010/main" val="0"/>
                        </a:ext>
                      </a:extLst>
                    </a:blip>
                    <a:srcRect l="9668" t="4225" r="7685" b="56030"/>
                    <a:stretch/>
                  </pic:blipFill>
                  <pic:spPr bwMode="auto">
                    <a:xfrm>
                      <a:off x="0" y="0"/>
                      <a:ext cx="5222477" cy="3857956"/>
                    </a:xfrm>
                    <a:prstGeom prst="rect">
                      <a:avLst/>
                    </a:prstGeom>
                    <a:ln>
                      <a:noFill/>
                    </a:ln>
                    <a:extLst>
                      <a:ext uri="{53640926-AAD7-44D8-BBD7-CCE9431645EC}">
                        <a14:shadowObscured xmlns:a14="http://schemas.microsoft.com/office/drawing/2010/main"/>
                      </a:ext>
                    </a:extLst>
                  </pic:spPr>
                </pic:pic>
              </a:graphicData>
            </a:graphic>
          </wp:inline>
        </w:drawing>
      </w:r>
    </w:p>
    <w:p w:rsidR="005A57E7" w:rsidRDefault="005A57E7">
      <w:pPr>
        <w:rPr>
          <w:rFonts w:ascii="Times New Roman" w:eastAsia="仿宋_GB2312" w:hAnsi="Times New Roman" w:cs="Times New Roman"/>
          <w:b/>
          <w:bCs/>
          <w:sz w:val="28"/>
          <w:szCs w:val="28"/>
        </w:rPr>
      </w:pPr>
      <w:r>
        <w:rPr>
          <w:rFonts w:ascii="Times New Roman" w:eastAsia="仿宋_GB2312" w:hAnsi="Times New Roman" w:cs="Times New Roman" w:hint="eastAsia"/>
          <w:b/>
          <w:bCs/>
          <w:noProof/>
          <w:sz w:val="28"/>
          <w:szCs w:val="28"/>
        </w:rPr>
        <w:lastRenderedPageBreak/>
        <w:drawing>
          <wp:inline distT="0" distB="0" distL="0" distR="0">
            <wp:extent cx="5214174" cy="8632955"/>
            <wp:effectExtent l="0" t="0" r="5715" b="317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jp2"/>
                    <pic:cNvPicPr/>
                  </pic:nvPicPr>
                  <pic:blipFill rotWithShape="1">
                    <a:blip r:embed="rId15" cstate="print">
                      <a:extLst>
                        <a:ext uri="{28A0092B-C50C-407E-A947-70E740481C1C}">
                          <a14:useLocalDpi xmlns:a14="http://schemas.microsoft.com/office/drawing/2010/main" val="0"/>
                        </a:ext>
                      </a:extLst>
                    </a:blip>
                    <a:srcRect l="5033" t="1638" r="3707" b="-1"/>
                    <a:stretch/>
                  </pic:blipFill>
                  <pic:spPr bwMode="auto">
                    <a:xfrm>
                      <a:off x="0" y="0"/>
                      <a:ext cx="5221368" cy="8644866"/>
                    </a:xfrm>
                    <a:prstGeom prst="rect">
                      <a:avLst/>
                    </a:prstGeom>
                    <a:ln>
                      <a:noFill/>
                    </a:ln>
                    <a:extLst>
                      <a:ext uri="{53640926-AAD7-44D8-BBD7-CCE9431645EC}">
                        <a14:shadowObscured xmlns:a14="http://schemas.microsoft.com/office/drawing/2010/main"/>
                      </a:ext>
                    </a:extLst>
                  </pic:spPr>
                </pic:pic>
              </a:graphicData>
            </a:graphic>
          </wp:inline>
        </w:drawing>
      </w:r>
    </w:p>
    <w:p w:rsidR="00A8712B" w:rsidRDefault="00BA11CF">
      <w:pPr>
        <w:rPr>
          <w:rFonts w:ascii="Times New Roman" w:eastAsia="仿宋_GB2312" w:hAnsi="Times New Roman" w:cs="Times New Roman"/>
          <w:b/>
          <w:bCs/>
          <w:sz w:val="28"/>
          <w:szCs w:val="28"/>
        </w:rPr>
      </w:pPr>
      <w:r>
        <w:rPr>
          <w:rFonts w:ascii="Times New Roman" w:eastAsia="仿宋_GB2312" w:hAnsi="Times New Roman" w:cs="Times New Roman"/>
          <w:b/>
          <w:bCs/>
          <w:noProof/>
          <w:sz w:val="28"/>
          <w:szCs w:val="28"/>
        </w:rPr>
        <w:lastRenderedPageBreak/>
        <w:drawing>
          <wp:inline distT="0" distB="0" distL="0" distR="0">
            <wp:extent cx="5270500" cy="8096250"/>
            <wp:effectExtent l="0" t="0" r="0" b="63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original WB.jp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0500" cy="8096250"/>
                    </a:xfrm>
                    <a:prstGeom prst="rect">
                      <a:avLst/>
                    </a:prstGeom>
                  </pic:spPr>
                </pic:pic>
              </a:graphicData>
            </a:graphic>
          </wp:inline>
        </w:drawing>
      </w:r>
      <w:r>
        <w:rPr>
          <w:rFonts w:ascii="Times New Roman" w:eastAsia="仿宋_GB2312" w:hAnsi="Times New Roman" w:cs="Times New Roman"/>
          <w:b/>
          <w:bCs/>
          <w:noProof/>
          <w:sz w:val="28"/>
          <w:szCs w:val="28"/>
        </w:rPr>
        <w:lastRenderedPageBreak/>
        <w:drawing>
          <wp:inline distT="0" distB="0" distL="0" distR="0">
            <wp:extent cx="5270500" cy="8096250"/>
            <wp:effectExtent l="0" t="0" r="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original WB.jp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0500" cy="8096250"/>
                    </a:xfrm>
                    <a:prstGeom prst="rect">
                      <a:avLst/>
                    </a:prstGeom>
                  </pic:spPr>
                </pic:pic>
              </a:graphicData>
            </a:graphic>
          </wp:inline>
        </w:drawing>
      </w:r>
    </w:p>
    <w:p w:rsidR="00A8712B" w:rsidRDefault="00A8712B">
      <w:pPr>
        <w:rPr>
          <w:rFonts w:ascii="Times New Roman" w:eastAsia="仿宋_GB2312" w:hAnsi="Times New Roman" w:cs="Times New Roman"/>
          <w:b/>
          <w:bCs/>
          <w:sz w:val="28"/>
          <w:szCs w:val="28"/>
        </w:rPr>
      </w:pPr>
      <w:r>
        <w:rPr>
          <w:rFonts w:ascii="Times New Roman" w:eastAsia="仿宋_GB2312" w:hAnsi="Times New Roman" w:cs="Times New Roman"/>
          <w:b/>
          <w:bCs/>
          <w:sz w:val="28"/>
          <w:szCs w:val="28"/>
        </w:rPr>
        <w:br w:type="page"/>
      </w:r>
    </w:p>
    <w:p w:rsidR="00BA11CF" w:rsidRDefault="00A8712B">
      <w:pPr>
        <w:rPr>
          <w:rFonts w:ascii="Times New Roman" w:eastAsia="仿宋_GB2312" w:hAnsi="Times New Roman" w:cs="Times New Roman"/>
          <w:b/>
          <w:bCs/>
          <w:sz w:val="28"/>
          <w:szCs w:val="28"/>
        </w:rPr>
      </w:pPr>
      <w:r>
        <w:rPr>
          <w:rFonts w:ascii="Times New Roman" w:eastAsia="仿宋_GB2312" w:hAnsi="Times New Roman" w:cs="Times New Roman"/>
          <w:b/>
          <w:bCs/>
          <w:noProof/>
          <w:sz w:val="28"/>
          <w:szCs w:val="28"/>
        </w:rPr>
        <w:lastRenderedPageBreak/>
        <w:drawing>
          <wp:inline distT="0" distB="0" distL="0" distR="0">
            <wp:extent cx="5727700" cy="399010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original WB.jp2"/>
                    <pic:cNvPicPr/>
                  </pic:nvPicPr>
                  <pic:blipFill rotWithShape="1">
                    <a:blip r:embed="rId18" cstate="print">
                      <a:extLst>
                        <a:ext uri="{28A0092B-C50C-407E-A947-70E740481C1C}">
                          <a14:useLocalDpi xmlns:a14="http://schemas.microsoft.com/office/drawing/2010/main" val="0"/>
                        </a:ext>
                      </a:extLst>
                    </a:blip>
                    <a:srcRect b="54651"/>
                    <a:stretch/>
                  </pic:blipFill>
                  <pic:spPr bwMode="auto">
                    <a:xfrm>
                      <a:off x="0" y="0"/>
                      <a:ext cx="5727700" cy="3990109"/>
                    </a:xfrm>
                    <a:prstGeom prst="rect">
                      <a:avLst/>
                    </a:prstGeom>
                    <a:ln>
                      <a:noFill/>
                    </a:ln>
                    <a:extLst>
                      <a:ext uri="{53640926-AAD7-44D8-BBD7-CCE9431645EC}">
                        <a14:shadowObscured xmlns:a14="http://schemas.microsoft.com/office/drawing/2010/main"/>
                      </a:ext>
                    </a:extLst>
                  </pic:spPr>
                </pic:pic>
              </a:graphicData>
            </a:graphic>
          </wp:inline>
        </w:drawing>
      </w:r>
    </w:p>
    <w:p w:rsidR="00BA11CF" w:rsidRDefault="00BA11CF">
      <w:pPr>
        <w:rPr>
          <w:rFonts w:ascii="Times New Roman" w:eastAsia="仿宋_GB2312" w:hAnsi="Times New Roman" w:cs="Times New Roman"/>
          <w:b/>
          <w:bCs/>
          <w:sz w:val="28"/>
          <w:szCs w:val="28"/>
        </w:rPr>
      </w:pPr>
      <w:r>
        <w:rPr>
          <w:rFonts w:ascii="Times New Roman" w:eastAsia="仿宋_GB2312" w:hAnsi="Times New Roman" w:cs="Times New Roman"/>
          <w:b/>
          <w:bCs/>
          <w:sz w:val="28"/>
          <w:szCs w:val="28"/>
        </w:rPr>
        <w:br w:type="page"/>
      </w:r>
    </w:p>
    <w:p w:rsidR="00F873D2" w:rsidRPr="00635659" w:rsidRDefault="00EA0E93" w:rsidP="00EA0E93">
      <w:pPr>
        <w:jc w:val="center"/>
        <w:rPr>
          <w:rFonts w:ascii="Times New Roman" w:eastAsia="仿宋_GB2312" w:hAnsi="Times New Roman" w:cs="Times New Roman"/>
          <w:b/>
          <w:bCs/>
          <w:sz w:val="32"/>
          <w:szCs w:val="32"/>
        </w:rPr>
      </w:pPr>
      <w:r w:rsidRPr="00635659">
        <w:rPr>
          <w:rFonts w:ascii="Times New Roman" w:eastAsia="仿宋_GB2312" w:hAnsi="Times New Roman" w:cs="Times New Roman" w:hint="eastAsia"/>
          <w:b/>
          <w:bCs/>
          <w:sz w:val="32"/>
          <w:szCs w:val="32"/>
        </w:rPr>
        <w:lastRenderedPageBreak/>
        <w:t>S</w:t>
      </w:r>
      <w:r w:rsidRPr="00635659">
        <w:rPr>
          <w:rFonts w:ascii="Times New Roman" w:eastAsia="仿宋_GB2312" w:hAnsi="Times New Roman" w:cs="Times New Roman"/>
          <w:b/>
          <w:bCs/>
          <w:sz w:val="32"/>
          <w:szCs w:val="32"/>
        </w:rPr>
        <w:t>tar Methods</w:t>
      </w:r>
    </w:p>
    <w:tbl>
      <w:tblPr>
        <w:tblStyle w:val="a9"/>
        <w:tblW w:w="0" w:type="auto"/>
        <w:tblLook w:val="04A0" w:firstRow="1" w:lastRow="0" w:firstColumn="1" w:lastColumn="0" w:noHBand="0" w:noVBand="1"/>
      </w:tblPr>
      <w:tblGrid>
        <w:gridCol w:w="3634"/>
        <w:gridCol w:w="1730"/>
        <w:gridCol w:w="3646"/>
      </w:tblGrid>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REAGEBT or RESOURCE</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SOURCE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IDENTIFIER</w:t>
            </w:r>
          </w:p>
        </w:tc>
      </w:tr>
      <w:tr w:rsidR="008D0EB6" w:rsidRPr="00261E87" w:rsidTr="0072440E">
        <w:tc>
          <w:tcPr>
            <w:tcW w:w="9010" w:type="dxa"/>
            <w:gridSpan w:val="3"/>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Antibodies</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Rabbit anti His-Tag pAb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AE068</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Recombinant Human IkB-alpha/NFKBIA Protein</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RP00032</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CREB Rabbit mAb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A10826</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TEAD4 Rabbit pAb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A4151</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c-Jun Rabbit mAb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A25329</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C/EBPB Rabbit pAb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A0711</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SQSTM1/p62 Rabbit mAb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A19700</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FGF2 Rabbit mAb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A22330</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Frataxin/FXN Rabbit mAb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A25507</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NF-κB2 Rabbit pAb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A5567</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ACAA2 Rabbit mAb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ABclonal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A0664</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USP5 Rabbit pAb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Proteintech</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10473-1-AP</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 xml:space="preserve">CPT-1a </w:t>
            </w:r>
            <w:r w:rsidRPr="00261E87">
              <w:rPr>
                <w:rFonts w:ascii="Times New Roman" w:eastAsia="仿宋_GB2312" w:hAnsi="Times New Roman" w:cs="Times New Roman"/>
                <w:color w:val="000000"/>
                <w:sz w:val="18"/>
                <w:szCs w:val="18"/>
              </w:rPr>
              <w:t>Rabbit mAb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Proteintech</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15184-1-AP</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 xml:space="preserve">UB </w:t>
            </w:r>
            <w:r w:rsidRPr="00261E87">
              <w:rPr>
                <w:rFonts w:ascii="Times New Roman" w:eastAsia="仿宋_GB2312" w:hAnsi="Times New Roman" w:cs="Times New Roman"/>
                <w:color w:val="000000"/>
                <w:sz w:val="18"/>
                <w:szCs w:val="18"/>
              </w:rPr>
              <w:t>Rabbit mAb</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Proteintech</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10201-2-AP</w:t>
            </w:r>
          </w:p>
        </w:tc>
      </w:tr>
      <w:tr w:rsidR="008D0EB6" w:rsidRPr="00261E87" w:rsidTr="0072440E">
        <w:tc>
          <w:tcPr>
            <w:tcW w:w="9010" w:type="dxa"/>
            <w:gridSpan w:val="3"/>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Bacterial and virus strains</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sz w:val="18"/>
                <w:szCs w:val="18"/>
              </w:rPr>
              <w:t>CMV-MCS-3Flag-WPRE-BGH polyA/CMV-MCS-3Flag-WPRE-BGH polyA-</w:t>
            </w:r>
            <w:r w:rsidRPr="00261E87">
              <w:rPr>
                <w:rFonts w:ascii="Times New Roman" w:eastAsia="仿宋_GB2312" w:hAnsi="Times New Roman" w:cs="Times New Roman"/>
                <w:i/>
                <w:iCs/>
                <w:sz w:val="18"/>
                <w:szCs w:val="18"/>
              </w:rPr>
              <w:t>USP5</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Genechem Biotechnology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hint="eastAsia"/>
                <w:sz w:val="18"/>
                <w:szCs w:val="18"/>
              </w:rPr>
              <w:t>N</w:t>
            </w:r>
            <w:r w:rsidRPr="00261E87">
              <w:rPr>
                <w:rFonts w:ascii="Times New Roman" w:eastAsia="仿宋_GB2312" w:hAnsi="Times New Roman" w:cs="Times New Roman"/>
                <w:sz w:val="18"/>
                <w:szCs w:val="18"/>
              </w:rPr>
              <w:t>/A</w:t>
            </w:r>
          </w:p>
        </w:tc>
      </w:tr>
      <w:tr w:rsidR="008D0EB6" w:rsidRPr="00261E87" w:rsidTr="0072440E">
        <w:tc>
          <w:tcPr>
            <w:tcW w:w="9010" w:type="dxa"/>
            <w:gridSpan w:val="3"/>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Biological samples</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Human liver biopsies see Data S1</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NingBo Secondary Hospital</w:t>
            </w:r>
          </w:p>
        </w:tc>
        <w:tc>
          <w:tcPr>
            <w:tcW w:w="3646" w:type="dxa"/>
          </w:tcPr>
          <w:p w:rsidR="008D0EB6" w:rsidRPr="00D006D3" w:rsidRDefault="008D0EB6" w:rsidP="00004BD8">
            <w:pPr>
              <w:jc w:val="both"/>
              <w:rPr>
                <w:rFonts w:ascii="Times New Roman" w:eastAsia="仿宋_GB2312" w:hAnsi="Times New Roman" w:cs="Times New Roman"/>
                <w:b/>
                <w:bCs/>
                <w:sz w:val="18"/>
                <w:szCs w:val="18"/>
              </w:rPr>
            </w:pPr>
            <w:r w:rsidRPr="00D006D3">
              <w:rPr>
                <w:rFonts w:ascii="Times New Roman" w:eastAsia="仿宋_GB2312" w:hAnsi="Times New Roman" w:cs="Times New Roman"/>
                <w:sz w:val="18"/>
                <w:szCs w:val="18"/>
              </w:rPr>
              <w:t>https://data.mendeley.com/preview/yc9h9r5rsw</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Chemicals, peptides, and recombinant proteins</w:t>
            </w:r>
          </w:p>
        </w:tc>
        <w:tc>
          <w:tcPr>
            <w:tcW w:w="1730" w:type="dxa"/>
          </w:tcPr>
          <w:p w:rsidR="008D0EB6" w:rsidRPr="00261E87" w:rsidRDefault="008D0EB6" w:rsidP="00004BD8">
            <w:pPr>
              <w:jc w:val="both"/>
              <w:rPr>
                <w:rFonts w:ascii="Times New Roman" w:eastAsia="仿宋_GB2312" w:hAnsi="Times New Roman" w:cs="Times New Roman"/>
                <w:b/>
                <w:bCs/>
                <w:sz w:val="18"/>
                <w:szCs w:val="18"/>
              </w:rPr>
            </w:pPr>
          </w:p>
        </w:tc>
        <w:tc>
          <w:tcPr>
            <w:tcW w:w="3646" w:type="dxa"/>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3634"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仿宋_GB2312" w:hAnsi="Times New Roman" w:cs="Times New Roman"/>
                <w:sz w:val="18"/>
                <w:szCs w:val="18"/>
              </w:rPr>
              <w:t>Drugs 1-</w:t>
            </w:r>
            <w:r w:rsidR="00154365">
              <w:rPr>
                <w:rFonts w:ascii="Times New Roman" w:eastAsia="仿宋_GB2312" w:hAnsi="Times New Roman" w:cs="Times New Roman"/>
                <w:sz w:val="18"/>
                <w:szCs w:val="18"/>
              </w:rPr>
              <w:t>16</w:t>
            </w:r>
          </w:p>
        </w:tc>
        <w:tc>
          <w:tcPr>
            <w:tcW w:w="1730" w:type="dxa"/>
          </w:tcPr>
          <w:p w:rsidR="008D0EB6" w:rsidRPr="00E96A70" w:rsidRDefault="008D0EB6" w:rsidP="00004BD8">
            <w:pPr>
              <w:jc w:val="both"/>
              <w:rPr>
                <w:rFonts w:ascii="Times New Roman" w:eastAsia="仿宋_GB2312" w:hAnsi="Times New Roman" w:cs="Times New Roman"/>
                <w:sz w:val="18"/>
                <w:szCs w:val="18"/>
              </w:rPr>
            </w:pPr>
            <w:r>
              <w:rPr>
                <w:rFonts w:ascii="Times New Roman" w:eastAsia="仿宋_GB2312" w:hAnsi="Times New Roman" w:cs="Times New Roman"/>
                <w:sz w:val="18"/>
                <w:szCs w:val="18"/>
              </w:rPr>
              <w:t xml:space="preserve">Abphyto </w:t>
            </w:r>
            <w:r w:rsidRPr="00E96A70">
              <w:rPr>
                <w:rFonts w:ascii="Times New Roman" w:eastAsia="仿宋_GB2312" w:hAnsi="Times New Roman" w:cs="Times New Roman"/>
                <w:sz w:val="18"/>
                <w:szCs w:val="18"/>
              </w:rPr>
              <w:t>Biotechnology</w:t>
            </w:r>
          </w:p>
        </w:tc>
        <w:tc>
          <w:tcPr>
            <w:tcW w:w="3646" w:type="dxa"/>
          </w:tcPr>
          <w:p w:rsidR="008D0EB6" w:rsidRPr="00E96A70" w:rsidRDefault="008D0EB6" w:rsidP="00004BD8">
            <w:pPr>
              <w:jc w:val="both"/>
              <w:rPr>
                <w:rFonts w:ascii="Times New Roman" w:eastAsia="仿宋_GB2312" w:hAnsi="Times New Roman" w:cs="Times New Roman"/>
                <w:sz w:val="18"/>
                <w:szCs w:val="18"/>
              </w:rPr>
            </w:pPr>
            <w:r>
              <w:rPr>
                <w:rFonts w:ascii="Times New Roman" w:eastAsia="仿宋_GB2312" w:hAnsi="Times New Roman" w:cs="Times New Roman" w:hint="eastAsia"/>
                <w:sz w:val="18"/>
                <w:szCs w:val="18"/>
              </w:rPr>
              <w:t>N</w:t>
            </w:r>
            <w:r>
              <w:rPr>
                <w:rFonts w:ascii="Times New Roman" w:eastAsia="仿宋_GB2312" w:hAnsi="Times New Roman" w:cs="Times New Roman"/>
                <w:sz w:val="18"/>
                <w:szCs w:val="18"/>
              </w:rPr>
              <w:t>/A</w:t>
            </w:r>
          </w:p>
        </w:tc>
      </w:tr>
      <w:tr w:rsidR="008D0EB6" w:rsidRPr="00261E87" w:rsidTr="0072440E">
        <w:tc>
          <w:tcPr>
            <w:tcW w:w="3634"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仿宋_GB2312" w:hAnsi="Times New Roman" w:cs="Times New Roman"/>
                <w:sz w:val="18"/>
                <w:szCs w:val="18"/>
              </w:rPr>
              <w:t>Ligustroflavone</w:t>
            </w:r>
          </w:p>
        </w:tc>
        <w:tc>
          <w:tcPr>
            <w:tcW w:w="1730" w:type="dxa"/>
          </w:tcPr>
          <w:p w:rsidR="008D0EB6" w:rsidRPr="00E96A70" w:rsidRDefault="008D0EB6" w:rsidP="00004BD8">
            <w:pPr>
              <w:jc w:val="both"/>
              <w:rPr>
                <w:rFonts w:ascii="Times New Roman" w:eastAsia="仿宋_GB2312" w:hAnsi="Times New Roman" w:cs="Times New Roman"/>
                <w:sz w:val="18"/>
                <w:szCs w:val="18"/>
              </w:rPr>
            </w:pPr>
            <w:r>
              <w:rPr>
                <w:rFonts w:ascii="Times New Roman" w:eastAsia="仿宋_GB2312" w:hAnsi="Times New Roman" w:cs="Times New Roman"/>
                <w:sz w:val="18"/>
                <w:szCs w:val="18"/>
              </w:rPr>
              <w:t>Abphyto</w:t>
            </w:r>
            <w:r w:rsidRPr="00E96A70">
              <w:rPr>
                <w:rFonts w:ascii="Times New Roman" w:eastAsia="仿宋_GB2312" w:hAnsi="Times New Roman" w:cs="Times New Roman"/>
                <w:sz w:val="18"/>
                <w:szCs w:val="18"/>
              </w:rPr>
              <w:t xml:space="preserve"> Biotechnology</w:t>
            </w:r>
          </w:p>
        </w:tc>
        <w:tc>
          <w:tcPr>
            <w:tcW w:w="3646"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Theme="minorEastAsia" w:hAnsi="Times New Roman" w:cs="Times New Roman"/>
                <w:color w:val="000000"/>
                <w:sz w:val="18"/>
                <w:szCs w:val="18"/>
              </w:rPr>
              <w:t xml:space="preserve">Cat: </w:t>
            </w:r>
            <w:r>
              <w:rPr>
                <w:rFonts w:ascii="Times New Roman" w:eastAsia="仿宋_GB2312" w:hAnsi="Times New Roman" w:cs="Times New Roman" w:hint="eastAsia"/>
                <w:sz w:val="18"/>
                <w:szCs w:val="18"/>
              </w:rPr>
              <w:t>2</w:t>
            </w:r>
            <w:r>
              <w:rPr>
                <w:rFonts w:ascii="Times New Roman" w:eastAsia="仿宋_GB2312" w:hAnsi="Times New Roman" w:cs="Times New Roman"/>
                <w:sz w:val="18"/>
                <w:szCs w:val="18"/>
              </w:rPr>
              <w:t>60413-62-5</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BSA, Fatty Acid Free</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Beyotime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ST023</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Protease inhibitor cocktail</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Beyotime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P1005</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lastRenderedPageBreak/>
              <w:t>PMSF (100mM)</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Beyotime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ST506</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RIPA Lysis Buffer</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Beyotime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P0013B</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Tween-20</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Beyotime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ST825</w:t>
            </w:r>
          </w:p>
        </w:tc>
      </w:tr>
      <w:tr w:rsidR="008D0EB6" w:rsidRPr="00261E87" w:rsidTr="0072440E">
        <w:tc>
          <w:tcPr>
            <w:tcW w:w="3634" w:type="dxa"/>
          </w:tcPr>
          <w:p w:rsidR="008D0EB6" w:rsidRPr="00E96A70" w:rsidRDefault="008D0EB6" w:rsidP="00004BD8">
            <w:pPr>
              <w:jc w:val="both"/>
              <w:rPr>
                <w:rFonts w:ascii="Times New Roman" w:eastAsia="仿宋_GB2312" w:hAnsi="Times New Roman" w:cs="Times New Roman"/>
                <w:color w:val="000000"/>
                <w:sz w:val="18"/>
                <w:szCs w:val="18"/>
              </w:rPr>
            </w:pPr>
            <w:r w:rsidRPr="00E96A70">
              <w:rPr>
                <w:rFonts w:ascii="Times New Roman" w:eastAsia="仿宋_GB2312" w:hAnsi="Times New Roman" w:cs="Times New Roman"/>
                <w:color w:val="000000"/>
                <w:sz w:val="18"/>
                <w:szCs w:val="18"/>
              </w:rPr>
              <w:t>GMTrans liposomal transfection reagent</w:t>
            </w:r>
          </w:p>
        </w:tc>
        <w:tc>
          <w:tcPr>
            <w:tcW w:w="1730"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仿宋_GB2312" w:hAnsi="Times New Roman" w:cs="Times New Roman"/>
                <w:sz w:val="18"/>
                <w:szCs w:val="18"/>
              </w:rPr>
              <w:t>Genomeditech</w:t>
            </w:r>
          </w:p>
        </w:tc>
        <w:tc>
          <w:tcPr>
            <w:tcW w:w="3646"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仿宋_GB2312" w:hAnsi="Times New Roman" w:cs="Times New Roman"/>
                <w:sz w:val="18"/>
                <w:szCs w:val="18"/>
              </w:rPr>
              <w:t>Cat: TG-10015-2</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Percoll</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GE Healthcare Bio-Sciences AB</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 17-0891-09</w:t>
            </w:r>
          </w:p>
        </w:tc>
      </w:tr>
      <w:tr w:rsidR="008D0EB6" w:rsidRPr="00261E87" w:rsidTr="0072440E">
        <w:tc>
          <w:tcPr>
            <w:tcW w:w="3634" w:type="dxa"/>
          </w:tcPr>
          <w:p w:rsidR="008D0EB6" w:rsidRPr="00E96A70" w:rsidRDefault="008D0EB6" w:rsidP="00004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heme="minorEastAsia" w:hAnsi="Times New Roman" w:cs="Times New Roman"/>
                <w:color w:val="000000"/>
                <w:sz w:val="18"/>
                <w:szCs w:val="18"/>
              </w:rPr>
            </w:pPr>
            <w:r w:rsidRPr="00E96A70">
              <w:rPr>
                <w:rFonts w:ascii="Times New Roman" w:eastAsiaTheme="minorEastAsia" w:hAnsi="Times New Roman" w:cs="Times New Roman"/>
                <w:color w:val="000000"/>
                <w:sz w:val="18"/>
                <w:szCs w:val="18"/>
              </w:rPr>
              <w:t xml:space="preserve">DMEM, High glucose, Pyruvate </w:t>
            </w:r>
          </w:p>
        </w:tc>
        <w:tc>
          <w:tcPr>
            <w:tcW w:w="1730"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Theme="minorEastAsia" w:hAnsi="Times New Roman" w:cs="Times New Roman"/>
                <w:color w:val="000000"/>
                <w:sz w:val="18"/>
                <w:szCs w:val="18"/>
              </w:rPr>
              <w:t xml:space="preserve">Gibco </w:t>
            </w:r>
          </w:p>
        </w:tc>
        <w:tc>
          <w:tcPr>
            <w:tcW w:w="3646"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Theme="minorEastAsia" w:hAnsi="Times New Roman" w:cs="Times New Roman"/>
                <w:color w:val="000000"/>
                <w:sz w:val="18"/>
                <w:szCs w:val="18"/>
              </w:rPr>
              <w:t>Cat: 11995073</w:t>
            </w:r>
          </w:p>
        </w:tc>
      </w:tr>
      <w:tr w:rsidR="008D0EB6" w:rsidRPr="00261E87" w:rsidTr="0072440E">
        <w:tc>
          <w:tcPr>
            <w:tcW w:w="3634"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Theme="minorEastAsia" w:hAnsi="Times New Roman" w:cs="Times New Roman"/>
                <w:color w:val="000000"/>
                <w:sz w:val="18"/>
                <w:szCs w:val="18"/>
              </w:rPr>
              <w:t xml:space="preserve">DMEM/F-12, HEPES </w:t>
            </w:r>
          </w:p>
        </w:tc>
        <w:tc>
          <w:tcPr>
            <w:tcW w:w="1730"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Theme="minorEastAsia" w:hAnsi="Times New Roman" w:cs="Times New Roman"/>
                <w:color w:val="000000"/>
                <w:sz w:val="18"/>
                <w:szCs w:val="18"/>
              </w:rPr>
              <w:t xml:space="preserve">Gibco </w:t>
            </w:r>
          </w:p>
        </w:tc>
        <w:tc>
          <w:tcPr>
            <w:tcW w:w="3646"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Theme="minorEastAsia" w:hAnsi="Times New Roman" w:cs="Times New Roman"/>
                <w:color w:val="000000"/>
                <w:sz w:val="18"/>
                <w:szCs w:val="18"/>
              </w:rPr>
              <w:t>Cat: 11330032</w:t>
            </w:r>
          </w:p>
        </w:tc>
      </w:tr>
      <w:tr w:rsidR="008D0EB6" w:rsidRPr="00261E87" w:rsidTr="0072440E">
        <w:tc>
          <w:tcPr>
            <w:tcW w:w="3634" w:type="dxa"/>
          </w:tcPr>
          <w:p w:rsidR="008D0EB6" w:rsidRPr="00E96A70" w:rsidRDefault="008D0EB6" w:rsidP="00004BD8">
            <w:pPr>
              <w:jc w:val="both"/>
              <w:rPr>
                <w:rFonts w:ascii="Times New Roman" w:eastAsia="仿宋_GB2312" w:hAnsi="Times New Roman" w:cs="Times New Roman"/>
                <w:color w:val="000000"/>
                <w:sz w:val="18"/>
                <w:szCs w:val="18"/>
              </w:rPr>
            </w:pPr>
            <w:r w:rsidRPr="00E96A70">
              <w:rPr>
                <w:rFonts w:ascii="Times New Roman" w:eastAsia="仿宋_GB2312" w:hAnsi="Times New Roman" w:cs="Times New Roman"/>
                <w:sz w:val="18"/>
                <w:szCs w:val="18"/>
              </w:rPr>
              <w:t xml:space="preserve">Fetal Bovine Serum </w:t>
            </w:r>
          </w:p>
        </w:tc>
        <w:tc>
          <w:tcPr>
            <w:tcW w:w="1730"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仿宋_GB2312" w:hAnsi="Times New Roman" w:cs="Times New Roman"/>
                <w:sz w:val="18"/>
                <w:szCs w:val="18"/>
              </w:rPr>
              <w:t>Gibco</w:t>
            </w:r>
          </w:p>
        </w:tc>
        <w:tc>
          <w:tcPr>
            <w:tcW w:w="3646"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仿宋_GB2312" w:hAnsi="Times New Roman" w:cs="Times New Roman"/>
                <w:sz w:val="18"/>
                <w:szCs w:val="18"/>
              </w:rPr>
              <w:t>Cat: 10091148</w:t>
            </w:r>
          </w:p>
        </w:tc>
      </w:tr>
      <w:tr w:rsidR="008D0EB6" w:rsidRPr="00261E87" w:rsidTr="0072440E">
        <w:tc>
          <w:tcPr>
            <w:tcW w:w="3634" w:type="dxa"/>
          </w:tcPr>
          <w:p w:rsidR="008D0EB6" w:rsidRPr="00E96A70" w:rsidRDefault="008D0EB6" w:rsidP="00004BD8">
            <w:pPr>
              <w:jc w:val="both"/>
              <w:rPr>
                <w:rFonts w:ascii="Times New Roman" w:eastAsia="仿宋_GB2312" w:hAnsi="Times New Roman" w:cs="Times New Roman"/>
                <w:color w:val="000000"/>
                <w:sz w:val="18"/>
                <w:szCs w:val="18"/>
              </w:rPr>
            </w:pPr>
            <w:r w:rsidRPr="00E96A70">
              <w:rPr>
                <w:rFonts w:ascii="Times New Roman" w:eastAsia="仿宋_GB2312" w:hAnsi="Times New Roman" w:cs="Times New Roman"/>
                <w:sz w:val="18"/>
                <w:szCs w:val="18"/>
              </w:rPr>
              <w:t>opti-MEM</w:t>
            </w:r>
          </w:p>
        </w:tc>
        <w:tc>
          <w:tcPr>
            <w:tcW w:w="1730"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Theme="minorEastAsia" w:hAnsi="Times New Roman" w:cs="Times New Roman"/>
                <w:color w:val="000000"/>
                <w:sz w:val="18"/>
                <w:szCs w:val="18"/>
              </w:rPr>
              <w:t>Gibco</w:t>
            </w:r>
          </w:p>
        </w:tc>
        <w:tc>
          <w:tcPr>
            <w:tcW w:w="3646"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Theme="minorEastAsia" w:hAnsi="Times New Roman" w:cs="Times New Roman"/>
                <w:color w:val="000000"/>
                <w:sz w:val="18"/>
                <w:szCs w:val="18"/>
              </w:rPr>
              <w:t xml:space="preserve">Cat: </w:t>
            </w:r>
            <w:r w:rsidRPr="00E96A70">
              <w:rPr>
                <w:rFonts w:ascii="Times New Roman" w:eastAsia="仿宋_GB2312" w:hAnsi="Times New Roman" w:cs="Times New Roman"/>
                <w:sz w:val="18"/>
                <w:szCs w:val="18"/>
              </w:rPr>
              <w:t>31985070</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Oleic acid</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MeilunBio</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PWL220-2</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Palmitic acid</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MeilunBio</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PWL222-2</w:t>
            </w:r>
          </w:p>
        </w:tc>
      </w:tr>
      <w:tr w:rsidR="008D0EB6" w:rsidRPr="00261E87" w:rsidTr="0072440E">
        <w:tc>
          <w:tcPr>
            <w:tcW w:w="3634" w:type="dxa"/>
          </w:tcPr>
          <w:p w:rsidR="008D0EB6" w:rsidRPr="00E96A70" w:rsidRDefault="008D0EB6" w:rsidP="00004BD8">
            <w:pPr>
              <w:jc w:val="both"/>
              <w:rPr>
                <w:rFonts w:ascii="Times New Roman" w:eastAsia="仿宋_GB2312" w:hAnsi="Times New Roman" w:cs="Times New Roman"/>
                <w:color w:val="000000"/>
                <w:sz w:val="18"/>
                <w:szCs w:val="18"/>
              </w:rPr>
            </w:pPr>
            <w:r w:rsidRPr="00E96A70">
              <w:rPr>
                <w:rFonts w:ascii="Times New Roman" w:eastAsia="仿宋_GB2312" w:hAnsi="Times New Roman" w:cs="Times New Roman"/>
                <w:sz w:val="18"/>
                <w:szCs w:val="18"/>
              </w:rPr>
              <w:t>penicillin</w:t>
            </w:r>
          </w:p>
        </w:tc>
        <w:tc>
          <w:tcPr>
            <w:tcW w:w="1730"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仿宋_GB2312" w:hAnsi="Times New Roman" w:cs="Times New Roman"/>
                <w:sz w:val="18"/>
                <w:szCs w:val="18"/>
              </w:rPr>
              <w:t>MeilunBio</w:t>
            </w:r>
          </w:p>
        </w:tc>
        <w:tc>
          <w:tcPr>
            <w:tcW w:w="3646" w:type="dxa"/>
          </w:tcPr>
          <w:p w:rsidR="008D0EB6" w:rsidRPr="00E96A70" w:rsidRDefault="008D0EB6" w:rsidP="00004BD8">
            <w:pPr>
              <w:jc w:val="both"/>
              <w:rPr>
                <w:rFonts w:ascii="Times New Roman" w:eastAsia="仿宋_GB2312" w:hAnsi="Times New Roman" w:cs="Times New Roman"/>
                <w:sz w:val="18"/>
                <w:szCs w:val="18"/>
              </w:rPr>
            </w:pPr>
            <w:r w:rsidRPr="00E96A70">
              <w:rPr>
                <w:rFonts w:ascii="Times New Roman" w:eastAsia="仿宋_GB2312" w:hAnsi="Times New Roman" w:cs="Times New Roman"/>
                <w:sz w:val="18"/>
                <w:szCs w:val="18"/>
              </w:rPr>
              <w:t>SKU: PWL062-1</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Hematoxylin-eosin</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Nanjing Jiancheng Bioengineering Institute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Pr>
                <w:rFonts w:ascii="Times New Roman" w:eastAsia="仿宋_GB2312" w:hAnsi="Times New Roman" w:cs="Times New Roman" w:hint="eastAsia"/>
                <w:sz w:val="18"/>
                <w:szCs w:val="18"/>
              </w:rPr>
              <w:t>D</w:t>
            </w:r>
            <w:r>
              <w:rPr>
                <w:rFonts w:ascii="Times New Roman" w:eastAsia="仿宋_GB2312" w:hAnsi="Times New Roman" w:cs="Times New Roman"/>
                <w:sz w:val="18"/>
                <w:szCs w:val="18"/>
              </w:rPr>
              <w:t>006-1-4</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Oil Red O</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Nanjing Jiancheng Bioengineering Institute</w:t>
            </w:r>
          </w:p>
        </w:tc>
        <w:tc>
          <w:tcPr>
            <w:tcW w:w="3646" w:type="dxa"/>
          </w:tcPr>
          <w:p w:rsidR="008D0EB6" w:rsidRPr="00261E87" w:rsidRDefault="008D0EB6" w:rsidP="00004BD8">
            <w:pPr>
              <w:jc w:val="both"/>
              <w:rPr>
                <w:rFonts w:ascii="Times New Roman" w:eastAsia="仿宋_GB2312" w:hAnsi="Times New Roman" w:cs="Times New Roman"/>
                <w:color w:val="000000"/>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Pr>
                <w:rFonts w:ascii="Times New Roman" w:eastAsia="仿宋_GB2312" w:hAnsi="Times New Roman" w:cs="Times New Roman" w:hint="eastAsia"/>
                <w:sz w:val="18"/>
                <w:szCs w:val="18"/>
              </w:rPr>
              <w:t>D</w:t>
            </w:r>
            <w:r>
              <w:rPr>
                <w:rFonts w:ascii="Times New Roman" w:eastAsia="仿宋_GB2312" w:hAnsi="Times New Roman" w:cs="Times New Roman"/>
                <w:sz w:val="18"/>
                <w:szCs w:val="18"/>
              </w:rPr>
              <w:t>027-1-4</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Glycine</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Shanghai Siding Biotechnology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SD6237</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Methanol</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Theme="minorEastAsia" w:hAnsi="Times New Roman" w:cs="Times New Roman"/>
                <w:color w:val="000000"/>
                <w:sz w:val="18"/>
                <w:szCs w:val="18"/>
              </w:rPr>
              <w:t>Sinopharm Chemical Reagent</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 xml:space="preserve">Cat: </w:t>
            </w:r>
            <w:r w:rsidRPr="00261E87">
              <w:rPr>
                <w:rFonts w:ascii="Times New Roman" w:eastAsiaTheme="minorEastAsia" w:hAnsi="Times New Roman" w:cs="Times New Roman"/>
                <w:color w:val="000000"/>
                <w:sz w:val="18"/>
                <w:szCs w:val="18"/>
              </w:rPr>
              <w:t>100141190</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Sodium dodecyl sulfate</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Shanghai Si</w:t>
            </w:r>
            <w:r>
              <w:rPr>
                <w:rFonts w:ascii="Times New Roman" w:eastAsia="仿宋_GB2312" w:hAnsi="Times New Roman" w:cs="Times New Roman"/>
                <w:sz w:val="18"/>
                <w:szCs w:val="18"/>
              </w:rPr>
              <w:t>D</w:t>
            </w:r>
            <w:r w:rsidRPr="00261E87">
              <w:rPr>
                <w:rFonts w:ascii="Times New Roman" w:eastAsia="仿宋_GB2312" w:hAnsi="Times New Roman" w:cs="Times New Roman"/>
                <w:sz w:val="18"/>
                <w:szCs w:val="18"/>
              </w:rPr>
              <w:t>ing Biotechnology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SD6236</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Trizma base</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Shanghai Siding Biotechnology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SD6262</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Critical commercial assays</w:t>
            </w:r>
          </w:p>
        </w:tc>
        <w:tc>
          <w:tcPr>
            <w:tcW w:w="1730" w:type="dxa"/>
          </w:tcPr>
          <w:p w:rsidR="008D0EB6" w:rsidRPr="00261E87" w:rsidRDefault="008D0EB6" w:rsidP="00004BD8">
            <w:pPr>
              <w:jc w:val="both"/>
              <w:rPr>
                <w:rFonts w:ascii="Times New Roman" w:eastAsia="仿宋_GB2312" w:hAnsi="Times New Roman" w:cs="Times New Roman"/>
                <w:b/>
                <w:bCs/>
                <w:sz w:val="18"/>
                <w:szCs w:val="18"/>
              </w:rPr>
            </w:pPr>
          </w:p>
        </w:tc>
        <w:tc>
          <w:tcPr>
            <w:tcW w:w="3646" w:type="dxa"/>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Nonesterified Free fatty acids assay kit</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Beyotime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sz w:val="18"/>
                <w:szCs w:val="18"/>
              </w:rPr>
              <w:t>S0215S</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Alanine aminotransferase Assay Kit</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Nanjing Jiancheng Bioengineering Institute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C009-3-1</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Aspartate aminotransferase Assay Kit</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Nanjing Jiancheng Bioengineering Institute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C010-3-1</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Triglyceride assay kit</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Nanjing Jiancheng Bioengineering Institute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A110-2-1</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Total cholesterol assay kit</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Nanjing Jiancheng Bioengineering Institute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A111-2-1</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lastRenderedPageBreak/>
              <w:t>High-density lipoprotein cholesterol assay kit</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Nanjing Jiancheng Bioengineering Institute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A112-2</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Low-density lipoprotein cholesterol assay kit</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Nanjing Jiancheng Bioengineering Institute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A113-2</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Hydroxyproline assay kit</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Nanjing Jiancheng Bioengineering Institute</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A030-2-1</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PAGE Gel Fast Preparation Kit (10%)</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Shanghai Epizyme Biomedical Technology</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Cat:</w:t>
            </w:r>
            <w:r>
              <w:rPr>
                <w:rFonts w:ascii="Times New Roman" w:eastAsia="仿宋_GB2312" w:hAnsi="Times New Roman" w:cs="Times New Roman"/>
                <w:color w:val="000000"/>
                <w:sz w:val="18"/>
                <w:szCs w:val="18"/>
              </w:rPr>
              <w:t xml:space="preserve"> </w:t>
            </w:r>
            <w:r w:rsidRPr="00261E87">
              <w:rPr>
                <w:rFonts w:ascii="Times New Roman" w:eastAsia="仿宋_GB2312" w:hAnsi="Times New Roman" w:cs="Times New Roman"/>
                <w:color w:val="000000"/>
                <w:sz w:val="18"/>
                <w:szCs w:val="18"/>
              </w:rPr>
              <w:t>PG112</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BCA Protein Assay Kit</w:t>
            </w:r>
          </w:p>
        </w:tc>
        <w:tc>
          <w:tcPr>
            <w:tcW w:w="1730" w:type="dxa"/>
          </w:tcPr>
          <w:p w:rsidR="008D0EB6" w:rsidRPr="00261E87" w:rsidRDefault="008D0EB6" w:rsidP="00004BD8">
            <w:pPr>
              <w:jc w:val="both"/>
              <w:rPr>
                <w:rFonts w:ascii="Times New Roman" w:eastAsia="仿宋_GB2312" w:hAnsi="Times New Roman" w:cs="Times New Roman"/>
                <w:sz w:val="18"/>
                <w:szCs w:val="18"/>
              </w:rPr>
            </w:pPr>
            <w:r>
              <w:rPr>
                <w:rFonts w:ascii="Times New Roman" w:eastAsia="仿宋_GB2312" w:hAnsi="Times New Roman" w:cs="Times New Roman" w:hint="eastAsia"/>
                <w:sz w:val="18"/>
                <w:szCs w:val="18"/>
              </w:rPr>
              <w:t>Thermo</w:t>
            </w:r>
            <w:r>
              <w:rPr>
                <w:rFonts w:ascii="Times New Roman" w:eastAsia="仿宋_GB2312" w:hAnsi="Times New Roman" w:cs="Times New Roman"/>
                <w:sz w:val="18"/>
                <w:szCs w:val="18"/>
              </w:rPr>
              <w:t xml:space="preserve"> F</w:t>
            </w:r>
            <w:r>
              <w:rPr>
                <w:rFonts w:ascii="Times New Roman" w:eastAsia="仿宋_GB2312" w:hAnsi="Times New Roman" w:cs="Times New Roman" w:hint="eastAsia"/>
                <w:sz w:val="18"/>
                <w:szCs w:val="18"/>
              </w:rPr>
              <w:t>isher</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Cat:</w:t>
            </w:r>
            <w:r>
              <w:rPr>
                <w:rFonts w:ascii="Times New Roman" w:eastAsia="仿宋_GB2312" w:hAnsi="Times New Roman" w:cs="Times New Roman"/>
                <w:sz w:val="18"/>
                <w:szCs w:val="18"/>
              </w:rPr>
              <w:t xml:space="preserve"> 23227</w:t>
            </w:r>
          </w:p>
        </w:tc>
      </w:tr>
      <w:tr w:rsidR="008D0EB6" w:rsidRPr="00261E87" w:rsidTr="0072440E">
        <w:tc>
          <w:tcPr>
            <w:tcW w:w="9010" w:type="dxa"/>
            <w:gridSpan w:val="3"/>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Deposited data</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The raw data of RNA-seq generated</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This paper</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GEO: GSE126848</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Source data and Weatern blot, see Data S1</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This paper</w:t>
            </w:r>
          </w:p>
        </w:tc>
        <w:tc>
          <w:tcPr>
            <w:tcW w:w="3646" w:type="dxa"/>
          </w:tcPr>
          <w:p w:rsidR="008D0EB6" w:rsidRPr="00261E87" w:rsidRDefault="008D0EB6" w:rsidP="00004BD8">
            <w:pPr>
              <w:jc w:val="both"/>
              <w:rPr>
                <w:rFonts w:ascii="Times New Roman" w:eastAsia="仿宋_GB2312" w:hAnsi="Times New Roman" w:cs="Times New Roman"/>
                <w:sz w:val="18"/>
                <w:szCs w:val="18"/>
              </w:rPr>
            </w:pPr>
            <w:r w:rsidRPr="00F60650">
              <w:rPr>
                <w:rFonts w:ascii="Times New Roman" w:eastAsia="仿宋_GB2312" w:hAnsi="Times New Roman" w:cs="Times New Roman" w:hint="eastAsia"/>
                <w:sz w:val="18"/>
                <w:szCs w:val="18"/>
              </w:rPr>
              <w:t>DOI:10.17632/yc9h9r5rsw.1</w:t>
            </w:r>
          </w:p>
        </w:tc>
      </w:tr>
      <w:tr w:rsidR="008D0EB6" w:rsidRPr="00261E87" w:rsidTr="0072440E">
        <w:tc>
          <w:tcPr>
            <w:tcW w:w="9010" w:type="dxa"/>
            <w:gridSpan w:val="3"/>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Experimental models: Organisms/strains</w:t>
            </w:r>
          </w:p>
        </w:tc>
      </w:tr>
      <w:tr w:rsidR="008D0EB6" w:rsidRPr="00261E87" w:rsidTr="0072440E">
        <w:tc>
          <w:tcPr>
            <w:tcW w:w="3634" w:type="dxa"/>
          </w:tcPr>
          <w:p w:rsidR="008D0EB6" w:rsidRPr="00E541E7" w:rsidRDefault="008D0EB6" w:rsidP="00004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heme="minorEastAsia" w:hAnsi="Times New Roman" w:cs="Times New Roman"/>
                <w:color w:val="000000"/>
                <w:sz w:val="18"/>
                <w:szCs w:val="18"/>
              </w:rPr>
            </w:pPr>
            <w:r w:rsidRPr="00E541E7">
              <w:rPr>
                <w:rFonts w:ascii="Times New Roman" w:eastAsiaTheme="minorEastAsia" w:hAnsi="Times New Roman" w:cs="Times New Roman"/>
                <w:color w:val="000000"/>
                <w:sz w:val="18"/>
                <w:szCs w:val="18"/>
              </w:rPr>
              <w:t>Mouse: C57BL/6J, 6 weeks old for BMDM isolation</w:t>
            </w:r>
          </w:p>
        </w:tc>
        <w:tc>
          <w:tcPr>
            <w:tcW w:w="1730" w:type="dxa"/>
          </w:tcPr>
          <w:p w:rsidR="008D0EB6" w:rsidRPr="00E541E7" w:rsidRDefault="008D0EB6" w:rsidP="00004BD8">
            <w:pPr>
              <w:jc w:val="both"/>
              <w:rPr>
                <w:rFonts w:ascii="Times New Roman" w:eastAsia="仿宋_GB2312" w:hAnsi="Times New Roman" w:cs="Times New Roman"/>
                <w:b/>
                <w:bCs/>
                <w:sz w:val="18"/>
                <w:szCs w:val="18"/>
              </w:rPr>
            </w:pPr>
            <w:r w:rsidRPr="00E541E7">
              <w:rPr>
                <w:rFonts w:ascii="Times New Roman" w:eastAsia="仿宋_GB2312" w:hAnsi="Times New Roman" w:cs="Times New Roman"/>
                <w:sz w:val="18"/>
                <w:szCs w:val="18"/>
              </w:rPr>
              <w:t>Sippr-Bikai</w:t>
            </w:r>
          </w:p>
        </w:tc>
        <w:tc>
          <w:tcPr>
            <w:tcW w:w="3646" w:type="dxa"/>
          </w:tcPr>
          <w:p w:rsidR="008D0EB6" w:rsidRPr="00E541E7" w:rsidRDefault="008D0EB6" w:rsidP="00004BD8">
            <w:pPr>
              <w:jc w:val="both"/>
              <w:rPr>
                <w:rFonts w:ascii="Times New Roman" w:eastAsia="仿宋_GB2312" w:hAnsi="Times New Roman" w:cs="Times New Roman"/>
                <w:b/>
                <w:bCs/>
                <w:sz w:val="18"/>
                <w:szCs w:val="18"/>
              </w:rPr>
            </w:pPr>
            <w:r w:rsidRPr="00E541E7">
              <w:rPr>
                <w:rFonts w:ascii="Times New Roman" w:eastAsia="仿宋_GB2312" w:hAnsi="Times New Roman" w:cs="Times New Roman"/>
                <w:sz w:val="18"/>
                <w:szCs w:val="18"/>
              </w:rPr>
              <w:t>N/A</w:t>
            </w:r>
          </w:p>
        </w:tc>
      </w:tr>
      <w:tr w:rsidR="008D0EB6" w:rsidRPr="00261E87" w:rsidTr="0072440E">
        <w:tc>
          <w:tcPr>
            <w:tcW w:w="3634" w:type="dxa"/>
          </w:tcPr>
          <w:p w:rsidR="008D0EB6" w:rsidRPr="00E541E7" w:rsidRDefault="008D0EB6" w:rsidP="00004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heme="minorEastAsia" w:hAnsi="Times New Roman" w:cs="Times New Roman"/>
                <w:color w:val="000000"/>
                <w:sz w:val="18"/>
                <w:szCs w:val="18"/>
              </w:rPr>
            </w:pPr>
            <w:r w:rsidRPr="00E541E7">
              <w:rPr>
                <w:rFonts w:ascii="Times New Roman" w:eastAsiaTheme="minorEastAsia" w:hAnsi="Times New Roman" w:cs="Times New Roman"/>
                <w:color w:val="000000"/>
                <w:sz w:val="18"/>
                <w:szCs w:val="18"/>
              </w:rPr>
              <w:t>Mouse: C57BL/6J, 8 weeks old for NASH model and primary hepatocyte isolation</w:t>
            </w:r>
          </w:p>
        </w:tc>
        <w:tc>
          <w:tcPr>
            <w:tcW w:w="1730" w:type="dxa"/>
          </w:tcPr>
          <w:p w:rsidR="008D0EB6" w:rsidRPr="00E541E7" w:rsidRDefault="008D0EB6" w:rsidP="00004BD8">
            <w:pPr>
              <w:jc w:val="both"/>
              <w:rPr>
                <w:rFonts w:ascii="Times New Roman" w:eastAsia="仿宋_GB2312" w:hAnsi="Times New Roman" w:cs="Times New Roman"/>
                <w:b/>
                <w:bCs/>
                <w:sz w:val="18"/>
                <w:szCs w:val="18"/>
              </w:rPr>
            </w:pPr>
            <w:r w:rsidRPr="00E541E7">
              <w:rPr>
                <w:rFonts w:ascii="Times New Roman" w:eastAsia="仿宋_GB2312" w:hAnsi="Times New Roman" w:cs="Times New Roman"/>
                <w:sz w:val="18"/>
                <w:szCs w:val="18"/>
              </w:rPr>
              <w:t>Sippr-Bikai</w:t>
            </w:r>
          </w:p>
        </w:tc>
        <w:tc>
          <w:tcPr>
            <w:tcW w:w="3646" w:type="dxa"/>
          </w:tcPr>
          <w:p w:rsidR="008D0EB6" w:rsidRPr="00E541E7" w:rsidRDefault="008D0EB6" w:rsidP="00004BD8">
            <w:pPr>
              <w:jc w:val="both"/>
              <w:rPr>
                <w:rFonts w:ascii="Times New Roman" w:eastAsia="仿宋_GB2312" w:hAnsi="Times New Roman" w:cs="Times New Roman"/>
                <w:b/>
                <w:bCs/>
                <w:sz w:val="18"/>
                <w:szCs w:val="18"/>
              </w:rPr>
            </w:pPr>
            <w:r w:rsidRPr="00E541E7">
              <w:rPr>
                <w:rFonts w:ascii="Times New Roman" w:eastAsia="仿宋_GB2312" w:hAnsi="Times New Roman" w:cs="Times New Roman"/>
                <w:sz w:val="18"/>
                <w:szCs w:val="18"/>
              </w:rPr>
              <w:t>N/A</w:t>
            </w:r>
          </w:p>
        </w:tc>
      </w:tr>
      <w:tr w:rsidR="008D0EB6" w:rsidRPr="00261E87" w:rsidTr="0072440E">
        <w:tc>
          <w:tcPr>
            <w:tcW w:w="3634" w:type="dxa"/>
          </w:tcPr>
          <w:p w:rsidR="008D0EB6" w:rsidRPr="00E541E7" w:rsidRDefault="008D0EB6" w:rsidP="00004BD8">
            <w:pPr>
              <w:jc w:val="both"/>
              <w:rPr>
                <w:rFonts w:ascii="Times New Roman" w:eastAsia="仿宋_GB2312" w:hAnsi="Times New Roman" w:cs="Times New Roman"/>
                <w:b/>
                <w:bCs/>
                <w:sz w:val="18"/>
                <w:szCs w:val="18"/>
              </w:rPr>
            </w:pPr>
            <w:r w:rsidRPr="00E541E7">
              <w:rPr>
                <w:rFonts w:ascii="Times New Roman" w:eastAsiaTheme="minorEastAsia" w:hAnsi="Times New Roman" w:cs="Times New Roman"/>
                <w:color w:val="000000"/>
                <w:sz w:val="18"/>
                <w:szCs w:val="18"/>
              </w:rPr>
              <w:t xml:space="preserve">Mouse: </w:t>
            </w:r>
            <w:r w:rsidRPr="00E541E7">
              <w:rPr>
                <w:rFonts w:ascii="Times New Roman" w:eastAsiaTheme="minorEastAsia" w:hAnsi="Times New Roman" w:cs="Times New Roman"/>
                <w:i/>
                <w:iCs/>
                <w:color w:val="000000"/>
                <w:sz w:val="18"/>
                <w:szCs w:val="18"/>
              </w:rPr>
              <w:t>Usp5</w:t>
            </w:r>
            <w:r w:rsidRPr="00E541E7">
              <w:rPr>
                <w:rFonts w:ascii="Times New Roman" w:eastAsiaTheme="minorEastAsia" w:hAnsi="Times New Roman" w:cs="Times New Roman"/>
                <w:color w:val="000000"/>
                <w:sz w:val="18"/>
                <w:szCs w:val="18"/>
                <w:vertAlign w:val="superscript"/>
              </w:rPr>
              <w:t>Hep KO</w:t>
            </w:r>
          </w:p>
        </w:tc>
        <w:tc>
          <w:tcPr>
            <w:tcW w:w="1730" w:type="dxa"/>
          </w:tcPr>
          <w:p w:rsidR="008D0EB6" w:rsidRPr="00E541E7" w:rsidRDefault="008D0EB6" w:rsidP="00004BD8">
            <w:pPr>
              <w:jc w:val="both"/>
              <w:rPr>
                <w:rFonts w:ascii="Times New Roman" w:eastAsia="仿宋_GB2312" w:hAnsi="Times New Roman" w:cs="Times New Roman"/>
                <w:b/>
                <w:bCs/>
                <w:sz w:val="18"/>
                <w:szCs w:val="18"/>
              </w:rPr>
            </w:pPr>
            <w:r w:rsidRPr="00E541E7">
              <w:rPr>
                <w:rFonts w:ascii="Times New Roman" w:eastAsia="仿宋_GB2312" w:hAnsi="Times New Roman" w:cs="Times New Roman"/>
                <w:sz w:val="18"/>
                <w:szCs w:val="18"/>
              </w:rPr>
              <w:t>Cyagen Biosciences</w:t>
            </w:r>
          </w:p>
        </w:tc>
        <w:tc>
          <w:tcPr>
            <w:tcW w:w="3646" w:type="dxa"/>
          </w:tcPr>
          <w:p w:rsidR="008D0EB6" w:rsidRPr="00E541E7" w:rsidRDefault="008D0EB6" w:rsidP="00004BD8">
            <w:pPr>
              <w:jc w:val="both"/>
              <w:rPr>
                <w:rFonts w:ascii="Times New Roman" w:eastAsia="仿宋_GB2312" w:hAnsi="Times New Roman" w:cs="Times New Roman"/>
                <w:b/>
                <w:bCs/>
                <w:sz w:val="18"/>
                <w:szCs w:val="18"/>
              </w:rPr>
            </w:pPr>
            <w:r w:rsidRPr="00E541E7">
              <w:rPr>
                <w:rFonts w:ascii="Times New Roman" w:eastAsia="仿宋_GB2312" w:hAnsi="Times New Roman" w:cs="Times New Roman"/>
                <w:sz w:val="18"/>
                <w:szCs w:val="18"/>
              </w:rPr>
              <w:t>N/A</w:t>
            </w:r>
          </w:p>
        </w:tc>
      </w:tr>
      <w:tr w:rsidR="008D0EB6" w:rsidRPr="00261E87" w:rsidTr="0072440E">
        <w:tc>
          <w:tcPr>
            <w:tcW w:w="9010" w:type="dxa"/>
            <w:gridSpan w:val="3"/>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Oligonucleotides</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Primer list, see Table S1</w:t>
            </w:r>
          </w:p>
        </w:tc>
        <w:tc>
          <w:tcPr>
            <w:tcW w:w="1730" w:type="dxa"/>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sz w:val="18"/>
                <w:szCs w:val="18"/>
              </w:rPr>
              <w:t>This paper</w:t>
            </w:r>
          </w:p>
        </w:tc>
        <w:tc>
          <w:tcPr>
            <w:tcW w:w="3646" w:type="dxa"/>
          </w:tcPr>
          <w:p w:rsidR="008D0EB6" w:rsidRPr="00261E87" w:rsidRDefault="008D0EB6" w:rsidP="00004BD8">
            <w:pPr>
              <w:jc w:val="both"/>
              <w:rPr>
                <w:rFonts w:ascii="Times New Roman" w:eastAsia="仿宋_GB2312" w:hAnsi="Times New Roman" w:cs="Times New Roman"/>
                <w:b/>
                <w:bCs/>
                <w:sz w:val="18"/>
                <w:szCs w:val="18"/>
              </w:rPr>
            </w:pPr>
            <w:r w:rsidRPr="00E541E7">
              <w:rPr>
                <w:rFonts w:ascii="Times New Roman" w:eastAsia="仿宋_GB2312" w:hAnsi="Times New Roman" w:cs="Times New Roman"/>
                <w:sz w:val="18"/>
                <w:szCs w:val="18"/>
              </w:rPr>
              <w:t>N/A</w:t>
            </w:r>
          </w:p>
        </w:tc>
      </w:tr>
      <w:tr w:rsidR="008D0EB6" w:rsidRPr="00261E87" w:rsidTr="0072440E">
        <w:tc>
          <w:tcPr>
            <w:tcW w:w="9010" w:type="dxa"/>
            <w:gridSpan w:val="3"/>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Recombinant DNA</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pcDNA3.1-Flag-h</w:t>
            </w:r>
            <w:r w:rsidRPr="00261E87">
              <w:rPr>
                <w:rFonts w:ascii="Times New Roman" w:eastAsia="仿宋_GB2312" w:hAnsi="Times New Roman" w:cs="Times New Roman"/>
                <w:i/>
                <w:iCs/>
                <w:sz w:val="18"/>
                <w:szCs w:val="18"/>
              </w:rPr>
              <w:t>USP5</w:t>
            </w:r>
          </w:p>
        </w:tc>
        <w:tc>
          <w:tcPr>
            <w:tcW w:w="1730" w:type="dxa"/>
            <w:vMerge w:val="restart"/>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Gene</w:t>
            </w:r>
          </w:p>
        </w:tc>
        <w:tc>
          <w:tcPr>
            <w:tcW w:w="3646" w:type="dxa"/>
            <w:vMerge w:val="restart"/>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N/A</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pcDNA3.1-Flag-h</w:t>
            </w:r>
            <w:r w:rsidRPr="00261E87">
              <w:rPr>
                <w:rFonts w:ascii="Times New Roman" w:eastAsia="仿宋_GB2312" w:hAnsi="Times New Roman" w:cs="Times New Roman"/>
                <w:i/>
                <w:iCs/>
                <w:sz w:val="18"/>
                <w:szCs w:val="18"/>
              </w:rPr>
              <w:t>USP5-1</w:t>
            </w:r>
          </w:p>
        </w:tc>
        <w:tc>
          <w:tcPr>
            <w:tcW w:w="1730" w:type="dxa"/>
            <w:vMerge/>
          </w:tcPr>
          <w:p w:rsidR="008D0EB6" w:rsidRPr="00261E87" w:rsidRDefault="008D0EB6" w:rsidP="00004BD8">
            <w:pPr>
              <w:jc w:val="both"/>
              <w:rPr>
                <w:rFonts w:ascii="Times New Roman" w:eastAsia="仿宋_GB2312" w:hAnsi="Times New Roman" w:cs="Times New Roman"/>
                <w:sz w:val="18"/>
                <w:szCs w:val="18"/>
              </w:rPr>
            </w:pPr>
          </w:p>
        </w:tc>
        <w:tc>
          <w:tcPr>
            <w:tcW w:w="3646" w:type="dxa"/>
            <w:vMerge/>
          </w:tcPr>
          <w:p w:rsidR="008D0EB6" w:rsidRPr="00261E87" w:rsidRDefault="008D0EB6" w:rsidP="00004BD8">
            <w:pPr>
              <w:jc w:val="both"/>
              <w:rPr>
                <w:rFonts w:ascii="Times New Roman" w:eastAsia="仿宋_GB2312" w:hAnsi="Times New Roman" w:cs="Times New Roman"/>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pcDNA3.1-Flag-h</w:t>
            </w:r>
            <w:r w:rsidRPr="00261E87">
              <w:rPr>
                <w:rFonts w:ascii="Times New Roman" w:eastAsia="仿宋_GB2312" w:hAnsi="Times New Roman" w:cs="Times New Roman"/>
                <w:i/>
                <w:iCs/>
                <w:sz w:val="18"/>
                <w:szCs w:val="18"/>
              </w:rPr>
              <w:t>USP5-2</w:t>
            </w:r>
          </w:p>
        </w:tc>
        <w:tc>
          <w:tcPr>
            <w:tcW w:w="1730" w:type="dxa"/>
            <w:vMerge/>
          </w:tcPr>
          <w:p w:rsidR="008D0EB6" w:rsidRPr="00261E87" w:rsidRDefault="008D0EB6" w:rsidP="00004BD8">
            <w:pPr>
              <w:jc w:val="both"/>
              <w:rPr>
                <w:rFonts w:ascii="Times New Roman" w:eastAsia="仿宋_GB2312" w:hAnsi="Times New Roman" w:cs="Times New Roman"/>
                <w:sz w:val="18"/>
                <w:szCs w:val="18"/>
              </w:rPr>
            </w:pPr>
          </w:p>
        </w:tc>
        <w:tc>
          <w:tcPr>
            <w:tcW w:w="3646" w:type="dxa"/>
            <w:vMerge/>
          </w:tcPr>
          <w:p w:rsidR="008D0EB6" w:rsidRPr="00261E87" w:rsidRDefault="008D0EB6" w:rsidP="00004BD8">
            <w:pPr>
              <w:jc w:val="both"/>
              <w:rPr>
                <w:rFonts w:ascii="Times New Roman" w:eastAsia="仿宋_GB2312" w:hAnsi="Times New Roman" w:cs="Times New Roman"/>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bookmarkStart w:id="1" w:name="OLE_LINK9"/>
            <w:bookmarkStart w:id="2" w:name="OLE_LINK10"/>
            <w:r w:rsidRPr="00261E87">
              <w:rPr>
                <w:rFonts w:ascii="Times New Roman" w:eastAsia="仿宋_GB2312" w:hAnsi="Times New Roman" w:cs="Times New Roman"/>
                <w:sz w:val="18"/>
                <w:szCs w:val="18"/>
              </w:rPr>
              <w:t>pcDNA3.1-Flag-h</w:t>
            </w:r>
            <w:r w:rsidRPr="00261E87">
              <w:rPr>
                <w:rFonts w:ascii="Times New Roman" w:eastAsia="仿宋_GB2312" w:hAnsi="Times New Roman" w:cs="Times New Roman"/>
                <w:i/>
                <w:iCs/>
                <w:sz w:val="18"/>
                <w:szCs w:val="18"/>
              </w:rPr>
              <w:t>USP5-3</w:t>
            </w:r>
            <w:bookmarkEnd w:id="1"/>
            <w:bookmarkEnd w:id="2"/>
          </w:p>
        </w:tc>
        <w:tc>
          <w:tcPr>
            <w:tcW w:w="1730" w:type="dxa"/>
            <w:vMerge/>
          </w:tcPr>
          <w:p w:rsidR="008D0EB6" w:rsidRPr="00261E87" w:rsidRDefault="008D0EB6" w:rsidP="00004BD8">
            <w:pPr>
              <w:jc w:val="both"/>
              <w:rPr>
                <w:rFonts w:ascii="Times New Roman" w:eastAsia="仿宋_GB2312" w:hAnsi="Times New Roman" w:cs="Times New Roman"/>
                <w:sz w:val="18"/>
                <w:szCs w:val="18"/>
              </w:rPr>
            </w:pPr>
          </w:p>
        </w:tc>
        <w:tc>
          <w:tcPr>
            <w:tcW w:w="3646" w:type="dxa"/>
            <w:vMerge/>
          </w:tcPr>
          <w:p w:rsidR="008D0EB6" w:rsidRPr="00261E87" w:rsidRDefault="008D0EB6" w:rsidP="00004BD8">
            <w:pPr>
              <w:jc w:val="both"/>
              <w:rPr>
                <w:rFonts w:ascii="Times New Roman" w:eastAsia="仿宋_GB2312" w:hAnsi="Times New Roman" w:cs="Times New Roman"/>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pcDNA3.1-Flag-h</w:t>
            </w:r>
            <w:r w:rsidRPr="00261E87">
              <w:rPr>
                <w:rFonts w:ascii="Times New Roman" w:eastAsia="仿宋_GB2312" w:hAnsi="Times New Roman" w:cs="Times New Roman"/>
                <w:i/>
                <w:iCs/>
                <w:sz w:val="18"/>
                <w:szCs w:val="18"/>
              </w:rPr>
              <w:t>USP5-4</w:t>
            </w:r>
          </w:p>
        </w:tc>
        <w:tc>
          <w:tcPr>
            <w:tcW w:w="1730" w:type="dxa"/>
            <w:vMerge/>
          </w:tcPr>
          <w:p w:rsidR="008D0EB6" w:rsidRPr="00261E87" w:rsidRDefault="008D0EB6" w:rsidP="00004BD8">
            <w:pPr>
              <w:jc w:val="both"/>
              <w:rPr>
                <w:rFonts w:ascii="Times New Roman" w:eastAsia="仿宋_GB2312" w:hAnsi="Times New Roman" w:cs="Times New Roman"/>
                <w:sz w:val="18"/>
                <w:szCs w:val="18"/>
              </w:rPr>
            </w:pPr>
          </w:p>
        </w:tc>
        <w:tc>
          <w:tcPr>
            <w:tcW w:w="3646" w:type="dxa"/>
            <w:vMerge/>
          </w:tcPr>
          <w:p w:rsidR="008D0EB6" w:rsidRPr="00261E87" w:rsidRDefault="008D0EB6" w:rsidP="00004BD8">
            <w:pPr>
              <w:jc w:val="both"/>
              <w:rPr>
                <w:rFonts w:ascii="Times New Roman" w:eastAsia="仿宋_GB2312" w:hAnsi="Times New Roman" w:cs="Times New Roman"/>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pcDNA3.1-Flag-h</w:t>
            </w:r>
            <w:r w:rsidRPr="00261E87">
              <w:rPr>
                <w:rFonts w:ascii="Times New Roman" w:eastAsia="仿宋_GB2312" w:hAnsi="Times New Roman" w:cs="Times New Roman"/>
                <w:i/>
                <w:iCs/>
                <w:sz w:val="18"/>
                <w:szCs w:val="18"/>
              </w:rPr>
              <w:t>USP5-5</w:t>
            </w:r>
          </w:p>
        </w:tc>
        <w:tc>
          <w:tcPr>
            <w:tcW w:w="1730" w:type="dxa"/>
            <w:vMerge/>
          </w:tcPr>
          <w:p w:rsidR="008D0EB6" w:rsidRPr="00261E87" w:rsidRDefault="008D0EB6" w:rsidP="00004BD8">
            <w:pPr>
              <w:jc w:val="both"/>
              <w:rPr>
                <w:rFonts w:ascii="Times New Roman" w:eastAsia="仿宋_GB2312" w:hAnsi="Times New Roman" w:cs="Times New Roman"/>
                <w:sz w:val="18"/>
                <w:szCs w:val="18"/>
              </w:rPr>
            </w:pPr>
          </w:p>
        </w:tc>
        <w:tc>
          <w:tcPr>
            <w:tcW w:w="3646" w:type="dxa"/>
            <w:vMerge/>
          </w:tcPr>
          <w:p w:rsidR="008D0EB6" w:rsidRPr="00261E87" w:rsidRDefault="008D0EB6" w:rsidP="00004BD8">
            <w:pPr>
              <w:jc w:val="both"/>
              <w:rPr>
                <w:rFonts w:ascii="Times New Roman" w:eastAsia="仿宋_GB2312" w:hAnsi="Times New Roman" w:cs="Times New Roman"/>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pcDNA3.1-His-h</w:t>
            </w:r>
            <w:r w:rsidRPr="00261E87">
              <w:rPr>
                <w:rFonts w:ascii="Times New Roman" w:eastAsia="仿宋_GB2312" w:hAnsi="Times New Roman" w:cs="Times New Roman"/>
                <w:i/>
                <w:iCs/>
                <w:sz w:val="18"/>
                <w:szCs w:val="18"/>
              </w:rPr>
              <w:t>CPT-1A</w:t>
            </w:r>
          </w:p>
        </w:tc>
        <w:tc>
          <w:tcPr>
            <w:tcW w:w="1730" w:type="dxa"/>
            <w:vMerge/>
          </w:tcPr>
          <w:p w:rsidR="008D0EB6" w:rsidRPr="00261E87" w:rsidRDefault="008D0EB6" w:rsidP="00004BD8">
            <w:pPr>
              <w:jc w:val="both"/>
              <w:rPr>
                <w:rFonts w:ascii="Times New Roman" w:eastAsia="仿宋_GB2312" w:hAnsi="Times New Roman" w:cs="Times New Roman"/>
                <w:sz w:val="18"/>
                <w:szCs w:val="18"/>
              </w:rPr>
            </w:pPr>
          </w:p>
        </w:tc>
        <w:tc>
          <w:tcPr>
            <w:tcW w:w="3646" w:type="dxa"/>
            <w:vMerge/>
          </w:tcPr>
          <w:p w:rsidR="008D0EB6" w:rsidRPr="00261E87" w:rsidRDefault="008D0EB6" w:rsidP="00004BD8">
            <w:pPr>
              <w:jc w:val="both"/>
              <w:rPr>
                <w:rFonts w:ascii="Times New Roman" w:eastAsia="仿宋_GB2312" w:hAnsi="Times New Roman" w:cs="Times New Roman"/>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pcDNA3.1-Myc-h</w:t>
            </w:r>
            <w:r w:rsidRPr="00261E87">
              <w:rPr>
                <w:rFonts w:ascii="Times New Roman" w:eastAsia="仿宋_GB2312" w:hAnsi="Times New Roman" w:cs="Times New Roman"/>
                <w:i/>
                <w:iCs/>
                <w:sz w:val="18"/>
                <w:szCs w:val="18"/>
              </w:rPr>
              <w:t>UB</w:t>
            </w:r>
          </w:p>
        </w:tc>
        <w:tc>
          <w:tcPr>
            <w:tcW w:w="1730" w:type="dxa"/>
            <w:vMerge w:val="restart"/>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Genomeditech</w:t>
            </w:r>
          </w:p>
        </w:tc>
        <w:tc>
          <w:tcPr>
            <w:tcW w:w="3646" w:type="dxa"/>
            <w:vMerge w:val="restart"/>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N/A</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pcDNA3.1-Ha-h</w:t>
            </w:r>
            <w:r w:rsidRPr="00261E87">
              <w:rPr>
                <w:rFonts w:ascii="Times New Roman" w:eastAsia="仿宋_GB2312" w:hAnsi="Times New Roman" w:cs="Times New Roman"/>
                <w:i/>
                <w:iCs/>
                <w:sz w:val="18"/>
                <w:szCs w:val="18"/>
              </w:rPr>
              <w:t>K6O</w:t>
            </w:r>
          </w:p>
        </w:tc>
        <w:tc>
          <w:tcPr>
            <w:tcW w:w="1730" w:type="dxa"/>
            <w:vMerge/>
          </w:tcPr>
          <w:p w:rsidR="008D0EB6" w:rsidRPr="00261E87" w:rsidRDefault="008D0EB6" w:rsidP="00004BD8">
            <w:pPr>
              <w:jc w:val="both"/>
              <w:rPr>
                <w:rFonts w:ascii="Times New Roman" w:eastAsia="仿宋_GB2312" w:hAnsi="Times New Roman" w:cs="Times New Roman"/>
                <w:b/>
                <w:bCs/>
                <w:sz w:val="18"/>
                <w:szCs w:val="18"/>
              </w:rPr>
            </w:pPr>
          </w:p>
        </w:tc>
        <w:tc>
          <w:tcPr>
            <w:tcW w:w="3646" w:type="dxa"/>
            <w:vMerge/>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pcDNA3.1-Ha-h</w:t>
            </w:r>
            <w:r w:rsidRPr="00261E87">
              <w:rPr>
                <w:rFonts w:ascii="Times New Roman" w:eastAsia="仿宋_GB2312" w:hAnsi="Times New Roman" w:cs="Times New Roman"/>
                <w:i/>
                <w:iCs/>
                <w:sz w:val="18"/>
                <w:szCs w:val="18"/>
              </w:rPr>
              <w:t>K11O</w:t>
            </w:r>
          </w:p>
        </w:tc>
        <w:tc>
          <w:tcPr>
            <w:tcW w:w="1730" w:type="dxa"/>
            <w:vMerge/>
          </w:tcPr>
          <w:p w:rsidR="008D0EB6" w:rsidRPr="00261E87" w:rsidRDefault="008D0EB6" w:rsidP="00004BD8">
            <w:pPr>
              <w:jc w:val="both"/>
              <w:rPr>
                <w:rFonts w:ascii="Times New Roman" w:eastAsia="仿宋_GB2312" w:hAnsi="Times New Roman" w:cs="Times New Roman"/>
                <w:b/>
                <w:bCs/>
                <w:sz w:val="18"/>
                <w:szCs w:val="18"/>
              </w:rPr>
            </w:pPr>
          </w:p>
        </w:tc>
        <w:tc>
          <w:tcPr>
            <w:tcW w:w="3646" w:type="dxa"/>
            <w:vMerge/>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pcDNA3.1-Ha-h</w:t>
            </w:r>
            <w:r w:rsidRPr="00261E87">
              <w:rPr>
                <w:rFonts w:ascii="Times New Roman" w:eastAsia="仿宋_GB2312" w:hAnsi="Times New Roman" w:cs="Times New Roman"/>
                <w:i/>
                <w:iCs/>
                <w:sz w:val="18"/>
                <w:szCs w:val="18"/>
              </w:rPr>
              <w:t>K27O</w:t>
            </w:r>
          </w:p>
        </w:tc>
        <w:tc>
          <w:tcPr>
            <w:tcW w:w="1730" w:type="dxa"/>
            <w:vMerge/>
          </w:tcPr>
          <w:p w:rsidR="008D0EB6" w:rsidRPr="00261E87" w:rsidRDefault="008D0EB6" w:rsidP="00004BD8">
            <w:pPr>
              <w:jc w:val="both"/>
              <w:rPr>
                <w:rFonts w:ascii="Times New Roman" w:eastAsia="仿宋_GB2312" w:hAnsi="Times New Roman" w:cs="Times New Roman"/>
                <w:b/>
                <w:bCs/>
                <w:sz w:val="18"/>
                <w:szCs w:val="18"/>
              </w:rPr>
            </w:pPr>
          </w:p>
        </w:tc>
        <w:tc>
          <w:tcPr>
            <w:tcW w:w="3646" w:type="dxa"/>
            <w:vMerge/>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pcDNA3.1-Ha-h</w:t>
            </w:r>
            <w:r w:rsidRPr="00261E87">
              <w:rPr>
                <w:rFonts w:ascii="Times New Roman" w:eastAsia="仿宋_GB2312" w:hAnsi="Times New Roman" w:cs="Times New Roman"/>
                <w:i/>
                <w:iCs/>
                <w:sz w:val="18"/>
                <w:szCs w:val="18"/>
              </w:rPr>
              <w:t>K29O</w:t>
            </w:r>
          </w:p>
        </w:tc>
        <w:tc>
          <w:tcPr>
            <w:tcW w:w="1730" w:type="dxa"/>
            <w:vMerge/>
          </w:tcPr>
          <w:p w:rsidR="008D0EB6" w:rsidRPr="00261E87" w:rsidRDefault="008D0EB6" w:rsidP="00004BD8">
            <w:pPr>
              <w:jc w:val="both"/>
              <w:rPr>
                <w:rFonts w:ascii="Times New Roman" w:eastAsia="仿宋_GB2312" w:hAnsi="Times New Roman" w:cs="Times New Roman"/>
                <w:b/>
                <w:bCs/>
                <w:sz w:val="18"/>
                <w:szCs w:val="18"/>
              </w:rPr>
            </w:pPr>
          </w:p>
        </w:tc>
        <w:tc>
          <w:tcPr>
            <w:tcW w:w="3646" w:type="dxa"/>
            <w:vMerge/>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pcDNA3.1-Ha-h</w:t>
            </w:r>
            <w:r w:rsidRPr="00261E87">
              <w:rPr>
                <w:rFonts w:ascii="Times New Roman" w:eastAsia="仿宋_GB2312" w:hAnsi="Times New Roman" w:cs="Times New Roman"/>
                <w:i/>
                <w:iCs/>
                <w:sz w:val="18"/>
                <w:szCs w:val="18"/>
              </w:rPr>
              <w:t>K33O</w:t>
            </w:r>
          </w:p>
        </w:tc>
        <w:tc>
          <w:tcPr>
            <w:tcW w:w="1730" w:type="dxa"/>
            <w:vMerge/>
          </w:tcPr>
          <w:p w:rsidR="008D0EB6" w:rsidRPr="00261E87" w:rsidRDefault="008D0EB6" w:rsidP="00004BD8">
            <w:pPr>
              <w:jc w:val="both"/>
              <w:rPr>
                <w:rFonts w:ascii="Times New Roman" w:eastAsia="仿宋_GB2312" w:hAnsi="Times New Roman" w:cs="Times New Roman"/>
                <w:b/>
                <w:bCs/>
                <w:sz w:val="18"/>
                <w:szCs w:val="18"/>
              </w:rPr>
            </w:pPr>
          </w:p>
        </w:tc>
        <w:tc>
          <w:tcPr>
            <w:tcW w:w="3646" w:type="dxa"/>
            <w:vMerge/>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pcDNA3.1-Ha-h</w:t>
            </w:r>
            <w:r w:rsidRPr="00261E87">
              <w:rPr>
                <w:rFonts w:ascii="Times New Roman" w:eastAsia="仿宋_GB2312" w:hAnsi="Times New Roman" w:cs="Times New Roman"/>
                <w:i/>
                <w:iCs/>
                <w:sz w:val="18"/>
                <w:szCs w:val="18"/>
              </w:rPr>
              <w:t>K48O</w:t>
            </w:r>
          </w:p>
        </w:tc>
        <w:tc>
          <w:tcPr>
            <w:tcW w:w="1730" w:type="dxa"/>
            <w:vMerge/>
          </w:tcPr>
          <w:p w:rsidR="008D0EB6" w:rsidRPr="00261E87" w:rsidRDefault="008D0EB6" w:rsidP="00004BD8">
            <w:pPr>
              <w:jc w:val="both"/>
              <w:rPr>
                <w:rFonts w:ascii="Times New Roman" w:eastAsia="仿宋_GB2312" w:hAnsi="Times New Roman" w:cs="Times New Roman"/>
                <w:b/>
                <w:bCs/>
                <w:sz w:val="18"/>
                <w:szCs w:val="18"/>
              </w:rPr>
            </w:pPr>
          </w:p>
        </w:tc>
        <w:tc>
          <w:tcPr>
            <w:tcW w:w="3646" w:type="dxa"/>
            <w:vMerge/>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pcDNA3.1-Ha-h</w:t>
            </w:r>
            <w:r w:rsidRPr="00261E87">
              <w:rPr>
                <w:rFonts w:ascii="Times New Roman" w:eastAsia="仿宋_GB2312" w:hAnsi="Times New Roman" w:cs="Times New Roman"/>
                <w:i/>
                <w:iCs/>
                <w:sz w:val="18"/>
                <w:szCs w:val="18"/>
              </w:rPr>
              <w:t>K63O</w:t>
            </w:r>
          </w:p>
        </w:tc>
        <w:tc>
          <w:tcPr>
            <w:tcW w:w="1730" w:type="dxa"/>
            <w:vMerge/>
          </w:tcPr>
          <w:p w:rsidR="008D0EB6" w:rsidRPr="00261E87" w:rsidRDefault="008D0EB6" w:rsidP="00004BD8">
            <w:pPr>
              <w:jc w:val="both"/>
              <w:rPr>
                <w:rFonts w:ascii="Times New Roman" w:eastAsia="仿宋_GB2312" w:hAnsi="Times New Roman" w:cs="Times New Roman"/>
                <w:b/>
                <w:bCs/>
                <w:sz w:val="18"/>
                <w:szCs w:val="18"/>
              </w:rPr>
            </w:pPr>
          </w:p>
        </w:tc>
        <w:tc>
          <w:tcPr>
            <w:tcW w:w="3646" w:type="dxa"/>
            <w:vMerge/>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pcDNA3.1-Ha-h</w:t>
            </w:r>
            <w:r w:rsidRPr="00261E87">
              <w:rPr>
                <w:rFonts w:ascii="Times New Roman" w:eastAsia="仿宋_GB2312" w:hAnsi="Times New Roman" w:cs="Times New Roman"/>
                <w:i/>
                <w:iCs/>
                <w:sz w:val="18"/>
                <w:szCs w:val="18"/>
              </w:rPr>
              <w:t>K6R</w:t>
            </w:r>
          </w:p>
        </w:tc>
        <w:tc>
          <w:tcPr>
            <w:tcW w:w="1730" w:type="dxa"/>
            <w:vMerge/>
          </w:tcPr>
          <w:p w:rsidR="008D0EB6" w:rsidRPr="00261E87" w:rsidRDefault="008D0EB6" w:rsidP="00004BD8">
            <w:pPr>
              <w:jc w:val="both"/>
              <w:rPr>
                <w:rFonts w:ascii="Times New Roman" w:eastAsia="仿宋_GB2312" w:hAnsi="Times New Roman" w:cs="Times New Roman"/>
                <w:b/>
                <w:bCs/>
                <w:sz w:val="18"/>
                <w:szCs w:val="18"/>
              </w:rPr>
            </w:pPr>
          </w:p>
        </w:tc>
        <w:tc>
          <w:tcPr>
            <w:tcW w:w="3646" w:type="dxa"/>
            <w:vMerge/>
          </w:tcPr>
          <w:p w:rsidR="008D0EB6" w:rsidRPr="00261E87" w:rsidRDefault="008D0EB6" w:rsidP="00004BD8">
            <w:pPr>
              <w:jc w:val="both"/>
              <w:rPr>
                <w:rFonts w:ascii="Times New Roman" w:eastAsia="仿宋_GB2312" w:hAnsi="Times New Roman" w:cs="Times New Roman"/>
                <w:b/>
                <w:bCs/>
                <w:sz w:val="18"/>
                <w:szCs w:val="18"/>
              </w:rPr>
            </w:pPr>
          </w:p>
        </w:tc>
      </w:tr>
      <w:tr w:rsidR="008D0EB6" w:rsidRPr="00261E87" w:rsidTr="0072440E">
        <w:tc>
          <w:tcPr>
            <w:tcW w:w="9010" w:type="dxa"/>
            <w:gridSpan w:val="3"/>
          </w:tcPr>
          <w:p w:rsidR="008D0EB6" w:rsidRPr="00261E87" w:rsidRDefault="008D0EB6" w:rsidP="00004BD8">
            <w:pPr>
              <w:jc w:val="both"/>
              <w:rPr>
                <w:rFonts w:ascii="Times New Roman" w:eastAsia="仿宋_GB2312" w:hAnsi="Times New Roman" w:cs="Times New Roman"/>
                <w:b/>
                <w:bCs/>
                <w:sz w:val="18"/>
                <w:szCs w:val="18"/>
              </w:rPr>
            </w:pPr>
            <w:r w:rsidRPr="00261E87">
              <w:rPr>
                <w:rFonts w:ascii="Times New Roman" w:eastAsia="仿宋_GB2312" w:hAnsi="Times New Roman" w:cs="Times New Roman"/>
                <w:b/>
                <w:bCs/>
                <w:sz w:val="18"/>
                <w:szCs w:val="18"/>
              </w:rPr>
              <w:t>Software and algorithms</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XF</w:t>
            </w:r>
          </w:p>
        </w:tc>
        <w:tc>
          <w:tcPr>
            <w:tcW w:w="1730" w:type="dxa"/>
          </w:tcPr>
          <w:p w:rsidR="008D0EB6" w:rsidRPr="00165B64" w:rsidRDefault="008D0EB6" w:rsidP="00004BD8">
            <w:pPr>
              <w:jc w:val="both"/>
              <w:rPr>
                <w:rFonts w:ascii="Times New Roman" w:eastAsia="仿宋_GB2312" w:hAnsi="Times New Roman" w:cs="Times New Roman"/>
                <w:sz w:val="18"/>
                <w:szCs w:val="18"/>
              </w:rPr>
            </w:pPr>
            <w:r w:rsidRPr="00165B64">
              <w:rPr>
                <w:rFonts w:ascii="Times New Roman" w:eastAsia="仿宋_GB2312" w:hAnsi="Times New Roman" w:cs="Times New Roman" w:hint="eastAsia"/>
                <w:sz w:val="18"/>
                <w:szCs w:val="18"/>
              </w:rPr>
              <w:t>A</w:t>
            </w:r>
            <w:r w:rsidRPr="00165B64">
              <w:rPr>
                <w:rFonts w:ascii="Times New Roman" w:eastAsia="仿宋_GB2312" w:hAnsi="Times New Roman" w:cs="Times New Roman"/>
                <w:sz w:val="18"/>
                <w:szCs w:val="18"/>
              </w:rPr>
              <w:t>gilent</w:t>
            </w:r>
          </w:p>
        </w:tc>
        <w:tc>
          <w:tcPr>
            <w:tcW w:w="3646" w:type="dxa"/>
          </w:tcPr>
          <w:p w:rsidR="008D0EB6" w:rsidRPr="00165B64" w:rsidRDefault="008D0EB6" w:rsidP="00004BD8">
            <w:pPr>
              <w:jc w:val="both"/>
              <w:rPr>
                <w:rFonts w:ascii="Times New Roman" w:eastAsia="仿宋_GB2312" w:hAnsi="Times New Roman" w:cs="Times New Roman"/>
                <w:sz w:val="18"/>
                <w:szCs w:val="18"/>
              </w:rPr>
            </w:pPr>
            <w:r w:rsidRPr="00165B64">
              <w:rPr>
                <w:rFonts w:ascii="Times New Roman" w:eastAsia="仿宋_GB2312" w:hAnsi="Times New Roman" w:cs="Times New Roman"/>
                <w:sz w:val="18"/>
                <w:szCs w:val="18"/>
              </w:rPr>
              <w:t>https://www.agilent.com.cn/</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lastRenderedPageBreak/>
              <w:t>Prism 9</w:t>
            </w:r>
          </w:p>
        </w:tc>
        <w:tc>
          <w:tcPr>
            <w:tcW w:w="1730" w:type="dxa"/>
          </w:tcPr>
          <w:p w:rsidR="008D0EB6" w:rsidRPr="00165B64" w:rsidRDefault="008D0EB6" w:rsidP="00004BD8">
            <w:pPr>
              <w:jc w:val="both"/>
              <w:rPr>
                <w:rFonts w:ascii="Times New Roman" w:eastAsia="仿宋_GB2312" w:hAnsi="Times New Roman" w:cs="Times New Roman"/>
                <w:sz w:val="18"/>
                <w:szCs w:val="18"/>
              </w:rPr>
            </w:pPr>
            <w:r w:rsidRPr="00165B64">
              <w:rPr>
                <w:rFonts w:ascii="Times New Roman" w:eastAsia="仿宋_GB2312" w:hAnsi="Times New Roman" w:cs="Times New Roman"/>
                <w:color w:val="000000"/>
                <w:sz w:val="18"/>
                <w:szCs w:val="18"/>
              </w:rPr>
              <w:t>GraphPad software</w:t>
            </w:r>
          </w:p>
        </w:tc>
        <w:tc>
          <w:tcPr>
            <w:tcW w:w="3646" w:type="dxa"/>
          </w:tcPr>
          <w:p w:rsidR="008D0EB6" w:rsidRPr="003705CB" w:rsidRDefault="008D0EB6" w:rsidP="00004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仿宋_GB2312" w:hAnsi="Times New Roman" w:cs="Times New Roman"/>
                <w:color w:val="000000"/>
                <w:sz w:val="18"/>
                <w:szCs w:val="18"/>
              </w:rPr>
            </w:pPr>
            <w:r w:rsidRPr="00165B64">
              <w:rPr>
                <w:rFonts w:ascii="Times New Roman" w:eastAsia="仿宋_GB2312" w:hAnsi="Times New Roman" w:cs="Times New Roman"/>
                <w:color w:val="007BB0"/>
                <w:sz w:val="18"/>
                <w:szCs w:val="18"/>
              </w:rPr>
              <w:t>https://www.graphpad.com/</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K-viewer</w:t>
            </w:r>
          </w:p>
        </w:tc>
        <w:tc>
          <w:tcPr>
            <w:tcW w:w="1730" w:type="dxa"/>
          </w:tcPr>
          <w:p w:rsidR="008D0EB6" w:rsidRPr="00165B64" w:rsidRDefault="008D0EB6" w:rsidP="00004BD8">
            <w:pPr>
              <w:jc w:val="both"/>
              <w:rPr>
                <w:rFonts w:ascii="Times New Roman" w:eastAsia="仿宋_GB2312" w:hAnsi="Times New Roman" w:cs="Times New Roman"/>
                <w:sz w:val="18"/>
                <w:szCs w:val="18"/>
              </w:rPr>
            </w:pPr>
            <w:r w:rsidRPr="00165B64">
              <w:rPr>
                <w:rFonts w:ascii="Times New Roman" w:eastAsia="仿宋_GB2312" w:hAnsi="Times New Roman" w:cs="Times New Roman" w:hint="eastAsia"/>
                <w:sz w:val="18"/>
                <w:szCs w:val="18"/>
              </w:rPr>
              <w:t>K</w:t>
            </w:r>
            <w:r w:rsidRPr="00165B64">
              <w:rPr>
                <w:rFonts w:ascii="Times New Roman" w:eastAsia="仿宋_GB2312" w:hAnsi="Times New Roman" w:cs="Times New Roman"/>
                <w:sz w:val="18"/>
                <w:szCs w:val="18"/>
              </w:rPr>
              <w:t>FBIO</w:t>
            </w:r>
          </w:p>
        </w:tc>
        <w:tc>
          <w:tcPr>
            <w:tcW w:w="3646" w:type="dxa"/>
          </w:tcPr>
          <w:p w:rsidR="008D0EB6" w:rsidRPr="00165B64" w:rsidRDefault="00266B98" w:rsidP="00004BD8">
            <w:pPr>
              <w:jc w:val="both"/>
              <w:rPr>
                <w:rFonts w:ascii="Times New Roman" w:eastAsia="仿宋_GB2312" w:hAnsi="Times New Roman" w:cs="Times New Roman"/>
                <w:sz w:val="18"/>
                <w:szCs w:val="18"/>
              </w:rPr>
            </w:pPr>
            <w:hyperlink r:id="rId19" w:history="1">
              <w:r w:rsidR="008D0EB6" w:rsidRPr="00A17649">
                <w:rPr>
                  <w:rStyle w:val="a7"/>
                  <w:rFonts w:ascii="Times New Roman" w:eastAsia="仿宋_GB2312" w:hAnsi="Times New Roman" w:cs="Times New Roman"/>
                  <w:sz w:val="18"/>
                  <w:szCs w:val="18"/>
                </w:rPr>
                <w:t>https://www.kfbio.cn</w:t>
              </w:r>
            </w:hyperlink>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sz w:val="18"/>
                <w:szCs w:val="18"/>
              </w:rPr>
              <w:t>Excel</w:t>
            </w:r>
          </w:p>
        </w:tc>
        <w:tc>
          <w:tcPr>
            <w:tcW w:w="1730"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Microsoft</w:t>
            </w:r>
          </w:p>
        </w:tc>
        <w:tc>
          <w:tcPr>
            <w:tcW w:w="3646" w:type="dxa"/>
          </w:tcPr>
          <w:p w:rsidR="008D0EB6" w:rsidRPr="003705CB" w:rsidRDefault="008D0EB6" w:rsidP="00004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仿宋_GB2312" w:hAnsi="Times New Roman" w:cs="Times New Roman"/>
                <w:color w:val="007BB0"/>
                <w:sz w:val="18"/>
                <w:szCs w:val="18"/>
              </w:rPr>
            </w:pPr>
            <w:r w:rsidRPr="00261E87">
              <w:rPr>
                <w:rFonts w:ascii="Times New Roman" w:eastAsia="仿宋_GB2312" w:hAnsi="Times New Roman" w:cs="Times New Roman"/>
                <w:color w:val="007BB0"/>
                <w:sz w:val="18"/>
                <w:szCs w:val="18"/>
              </w:rPr>
              <w:t>https://www.microsoft.com/zh-cn/microsoft-365/excel</w:t>
            </w:r>
          </w:p>
        </w:tc>
      </w:tr>
      <w:tr w:rsidR="008D0EB6" w:rsidRPr="00261E87" w:rsidTr="0072440E">
        <w:tc>
          <w:tcPr>
            <w:tcW w:w="3634" w:type="dxa"/>
          </w:tcPr>
          <w:p w:rsidR="008D0EB6" w:rsidRPr="00261E87" w:rsidRDefault="008D0EB6" w:rsidP="00004BD8">
            <w:pPr>
              <w:jc w:val="both"/>
              <w:rPr>
                <w:rFonts w:ascii="Times New Roman" w:eastAsia="仿宋_GB2312" w:hAnsi="Times New Roman" w:cs="Times New Roman"/>
                <w:sz w:val="18"/>
                <w:szCs w:val="18"/>
              </w:rPr>
            </w:pPr>
            <w:r w:rsidRPr="00261E87">
              <w:rPr>
                <w:rFonts w:ascii="Times New Roman" w:eastAsia="仿宋_GB2312" w:hAnsi="Times New Roman" w:cs="Times New Roman"/>
                <w:color w:val="000000"/>
                <w:sz w:val="18"/>
                <w:szCs w:val="18"/>
              </w:rPr>
              <w:t>Image J</w:t>
            </w:r>
          </w:p>
        </w:tc>
        <w:tc>
          <w:tcPr>
            <w:tcW w:w="1730" w:type="dxa"/>
          </w:tcPr>
          <w:p w:rsidR="008D0EB6" w:rsidRPr="00165B64" w:rsidRDefault="008D0EB6" w:rsidP="00004BD8">
            <w:pPr>
              <w:jc w:val="both"/>
              <w:rPr>
                <w:rFonts w:ascii="Times New Roman" w:eastAsia="仿宋_GB2312" w:hAnsi="Times New Roman" w:cs="Times New Roman"/>
                <w:sz w:val="18"/>
                <w:szCs w:val="18"/>
              </w:rPr>
            </w:pPr>
            <w:r w:rsidRPr="00165B64">
              <w:rPr>
                <w:rFonts w:ascii="Times New Roman" w:eastAsia="仿宋_GB2312" w:hAnsi="Times New Roman" w:cs="Times New Roman"/>
                <w:color w:val="000000"/>
                <w:sz w:val="18"/>
                <w:szCs w:val="18"/>
              </w:rPr>
              <w:t>National Institutes of Health</w:t>
            </w:r>
          </w:p>
        </w:tc>
        <w:tc>
          <w:tcPr>
            <w:tcW w:w="3646" w:type="dxa"/>
          </w:tcPr>
          <w:p w:rsidR="008D0EB6" w:rsidRPr="00165B64" w:rsidRDefault="008D0EB6" w:rsidP="00004BD8">
            <w:pPr>
              <w:jc w:val="both"/>
              <w:rPr>
                <w:rFonts w:ascii="Times New Roman" w:eastAsia="仿宋_GB2312" w:hAnsi="Times New Roman" w:cs="Times New Roman"/>
                <w:sz w:val="18"/>
                <w:szCs w:val="18"/>
              </w:rPr>
            </w:pPr>
            <w:r w:rsidRPr="00165B64">
              <w:rPr>
                <w:rFonts w:ascii="Times New Roman" w:eastAsia="仿宋_GB2312" w:hAnsi="Times New Roman" w:cs="Times New Roman"/>
                <w:color w:val="007BB0"/>
                <w:sz w:val="18"/>
                <w:szCs w:val="18"/>
              </w:rPr>
              <w:t>https://imagej.net/</w:t>
            </w:r>
          </w:p>
        </w:tc>
      </w:tr>
    </w:tbl>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Cell culture</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Primary hepatocytes were isolated from 8-10 weeks male C57BL/6J mice by gentleMACS</w:t>
      </w:r>
      <w:r w:rsidRPr="00B776D6">
        <w:rPr>
          <w:rFonts w:ascii="Times New Roman" w:eastAsia="仿宋_GB2312" w:hAnsi="Times New Roman" w:cs="Times New Roman"/>
          <w:vertAlign w:val="superscript"/>
        </w:rPr>
        <w:t>TM</w:t>
      </w:r>
      <w:r w:rsidRPr="00B776D6">
        <w:rPr>
          <w:rFonts w:ascii="Times New Roman" w:eastAsia="仿宋_GB2312" w:hAnsi="Times New Roman" w:cs="Times New Roman"/>
        </w:rPr>
        <w:t xml:space="preserve"> liver perfusion technique. In brief, mice were anaesthetized with 1% sodium pentobarbital. Then, liver was dissected and the perfusion tube was assembled. Perfusion the liver on the gentleMACS Octo Dissociator with Heaters, followed by releasing liver cells with tube C. The filtrate was washed twice with ice-cold DMEM and washed cell pellet was centrifuged at 200 g for 3 min. Isolated hepatocytes were cultured with DMEM supplemented with 10% FBS and 1% penicillin-streptomycin antibiotics at 37 °C in a humidified incubator with 5% CO</w:t>
      </w:r>
      <w:r w:rsidRPr="00B776D6">
        <w:rPr>
          <w:rFonts w:ascii="Times New Roman" w:eastAsia="仿宋_GB2312" w:hAnsi="Times New Roman" w:cs="Times New Roman"/>
          <w:vertAlign w:val="subscript"/>
        </w:rPr>
        <w:t>2</w:t>
      </w:r>
      <w:r w:rsidRPr="00B776D6">
        <w:rPr>
          <w:rFonts w:ascii="Times New Roman" w:eastAsia="仿宋_GB2312" w:hAnsi="Times New Roman" w:cs="Times New Roman"/>
        </w:rPr>
        <w:t>.</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The mouse liver cell line (AML-12) was kindly provided by Xin Xin. The human liver cell line THLE2 cells was purchased from Shanghai Institute of Life Sciences. L02 cells were provided by Siting Gao. HEK293T was kindly provided by Dr. Tiantian Chen (</w:t>
      </w:r>
      <w:r w:rsidRPr="00B776D6">
        <w:rPr>
          <w:rFonts w:ascii="Times New Roman" w:eastAsia="仿宋_GB2312" w:hAnsi="Times New Roman" w:cs="Times New Roman" w:hint="eastAsia"/>
        </w:rPr>
        <w:t>Nan</w:t>
      </w:r>
      <w:r w:rsidRPr="00B776D6">
        <w:rPr>
          <w:rFonts w:ascii="Times New Roman" w:eastAsia="仿宋_GB2312" w:hAnsi="Times New Roman" w:cs="Times New Roman"/>
        </w:rPr>
        <w:t>jing Medical University, Nanjing, China). AML-12 cells were cultured in DMEM medium (Gibco, MA, USA) supplemented with 10% FBS and 1% penicillin. THLE2 was cultured in bronchial epithelial cell basal medium and additives (BEGM from Lonza/Clonetics Corporation, USA, BEGM Bullet Kit; CC3,170). L02, HEK293T cells were cultured in high glucose DMEM medium (Gibco, MA, USA) supplemented with 10% FBS and 1% penicillin. All the cell lines were incubated at 37℃ in 5% CO</w:t>
      </w:r>
      <w:r w:rsidRPr="00B776D6">
        <w:rPr>
          <w:rFonts w:ascii="Times New Roman" w:eastAsia="仿宋_GB2312" w:hAnsi="Times New Roman" w:cs="Times New Roman"/>
          <w:vertAlign w:val="subscript"/>
        </w:rPr>
        <w:t>2</w:t>
      </w:r>
      <w:r w:rsidRPr="00B776D6">
        <w:rPr>
          <w:rFonts w:ascii="Times New Roman" w:eastAsia="仿宋_GB2312" w:hAnsi="Times New Roman" w:cs="Times New Roman"/>
        </w:rPr>
        <w:t xml:space="preserve">. </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 xml:space="preserve">To detect the expression level of USP5 in steatosis, primary mouse hepatocytes and AML-12 cell line were cultured with BSA or FFAs (oleic (0.5 mM) and palmitic acid (0.25 mM) in a 2:1 ratio) for 24h. </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 xml:space="preserve">To investigate the role of USP5 during steatosis development, THLE2 cells were infected with AdshRNA-USP5 (Ad USP5) or control lentivirus (Ad control) to establish the USP5 overexpression model, while SiRNA-USP5 (Si USP5) or control lentivirus (Si control) to establish the USP5 knockdown model. All lentiviral constructs were prepared by Shanghai Genechem Co., LTD. (Shanghai, China). In general, THLE2 cells were seeded in 6-well plate </w:t>
      </w:r>
      <w:r w:rsidRPr="00B776D6">
        <w:rPr>
          <w:rFonts w:ascii="Times New Roman" w:eastAsia="仿宋_GB2312" w:hAnsi="Times New Roman" w:cs="Times New Roman"/>
        </w:rPr>
        <w:lastRenderedPageBreak/>
        <w:t>at the density of 30%-40%. Lentiviral were transfected into THLE-2 cells, and the virus was removed and replaced with fresh medium after 16h of culture. After 48-hour lentivirus USP5 knockdown or USP5 overexpression, the THLE2 cells were stimulated with BSA or FFAs for 24h.</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 xml:space="preserve">To detect the binding site between USP5 and CPT-1A, THLE2 cells were transiently co-transfected with 1µg 6×His-CPT-1A and 1µg different domain of USP5 (Flag-USP5 </w:t>
      </w:r>
      <w:r w:rsidRPr="00B776D6">
        <w:rPr>
          <w:rFonts w:ascii="Times New Roman" w:eastAsia="仿宋_GB2312" w:hAnsi="Times New Roman" w:cs="Times New Roman"/>
          <w:vertAlign w:val="superscript"/>
        </w:rPr>
        <w:t>WT</w:t>
      </w:r>
      <w:r w:rsidRPr="00B776D6">
        <w:rPr>
          <w:rFonts w:ascii="Times New Roman" w:eastAsia="仿宋_GB2312" w:hAnsi="Times New Roman" w:cs="Times New Roman"/>
        </w:rPr>
        <w:t>, Flag-USP5</w:t>
      </w:r>
      <w:r w:rsidRPr="00B776D6">
        <w:rPr>
          <w:rFonts w:ascii="Cambria Math" w:eastAsia="仿宋_GB2312" w:hAnsi="Cambria Math" w:cs="Cambria Math"/>
          <w:vertAlign w:val="superscript"/>
        </w:rPr>
        <w:t>𝛥</w:t>
      </w:r>
      <w:r w:rsidRPr="00B776D6">
        <w:rPr>
          <w:rFonts w:ascii="Times New Roman" w:eastAsia="仿宋_GB2312" w:hAnsi="Times New Roman" w:cs="Times New Roman"/>
          <w:vertAlign w:val="superscript"/>
        </w:rPr>
        <w:t>1-169</w:t>
      </w:r>
      <w:r w:rsidRPr="00B776D6">
        <w:rPr>
          <w:rFonts w:ascii="Times New Roman" w:eastAsia="仿宋_GB2312" w:hAnsi="Times New Roman" w:cs="Times New Roman"/>
        </w:rPr>
        <w:t>, Flag-USP5</w:t>
      </w:r>
      <w:r w:rsidRPr="00B776D6">
        <w:rPr>
          <w:rFonts w:ascii="Cambria Math" w:eastAsia="仿宋_GB2312" w:hAnsi="Cambria Math" w:cs="Cambria Math"/>
          <w:vertAlign w:val="superscript"/>
        </w:rPr>
        <w:t>𝛥</w:t>
      </w:r>
      <w:r w:rsidRPr="00B776D6">
        <w:rPr>
          <w:rFonts w:ascii="Times New Roman" w:eastAsia="仿宋_GB2312" w:hAnsi="Times New Roman" w:cs="Times New Roman"/>
          <w:vertAlign w:val="superscript"/>
        </w:rPr>
        <w:t>169-289</w:t>
      </w:r>
      <w:r w:rsidRPr="00B776D6">
        <w:rPr>
          <w:rFonts w:ascii="Times New Roman" w:eastAsia="仿宋_GB2312" w:hAnsi="Times New Roman" w:cs="Times New Roman"/>
        </w:rPr>
        <w:t>, Flag-USP5</w:t>
      </w:r>
      <w:r w:rsidRPr="00B776D6">
        <w:rPr>
          <w:rFonts w:ascii="Cambria Math" w:eastAsia="仿宋_GB2312" w:hAnsi="Cambria Math" w:cs="Cambria Math"/>
          <w:vertAlign w:val="superscript"/>
        </w:rPr>
        <w:t>𝛥</w:t>
      </w:r>
      <w:r w:rsidRPr="00B776D6">
        <w:rPr>
          <w:rFonts w:ascii="Times New Roman" w:eastAsia="仿宋_GB2312" w:hAnsi="Times New Roman" w:cs="Times New Roman"/>
          <w:vertAlign w:val="superscript"/>
        </w:rPr>
        <w:t>289-625</w:t>
      </w:r>
      <w:r w:rsidRPr="00B776D6">
        <w:rPr>
          <w:rFonts w:ascii="Times New Roman" w:eastAsia="仿宋_GB2312" w:hAnsi="Times New Roman" w:cs="Times New Roman"/>
        </w:rPr>
        <w:t>, Flag-USP5</w:t>
      </w:r>
      <w:r w:rsidRPr="00B776D6">
        <w:rPr>
          <w:rFonts w:ascii="Cambria Math" w:eastAsia="仿宋_GB2312" w:hAnsi="Cambria Math" w:cs="Cambria Math"/>
          <w:vertAlign w:val="superscript"/>
        </w:rPr>
        <w:t>𝛥</w:t>
      </w:r>
      <w:r w:rsidRPr="00B776D6">
        <w:rPr>
          <w:rFonts w:ascii="Times New Roman" w:eastAsia="仿宋_GB2312" w:hAnsi="Times New Roman" w:cs="Times New Roman"/>
          <w:vertAlign w:val="superscript"/>
        </w:rPr>
        <w:t>625-749</w:t>
      </w:r>
      <w:r w:rsidRPr="00B776D6">
        <w:rPr>
          <w:rFonts w:ascii="Times New Roman" w:eastAsia="仿宋_GB2312" w:hAnsi="Times New Roman" w:cs="Times New Roman"/>
        </w:rPr>
        <w:t>, Flag-USP5</w:t>
      </w:r>
      <w:r w:rsidRPr="00B776D6">
        <w:rPr>
          <w:rFonts w:ascii="Cambria Math" w:eastAsia="仿宋_GB2312" w:hAnsi="Cambria Math" w:cs="Cambria Math"/>
          <w:vertAlign w:val="superscript"/>
        </w:rPr>
        <w:t>𝛥</w:t>
      </w:r>
      <w:r w:rsidRPr="00B776D6">
        <w:rPr>
          <w:rFonts w:ascii="Times New Roman" w:eastAsia="仿宋_GB2312" w:hAnsi="Times New Roman" w:cs="Times New Roman"/>
          <w:vertAlign w:val="superscript"/>
        </w:rPr>
        <w:t>749-835</w:t>
      </w:r>
      <w:r w:rsidRPr="00B776D6">
        <w:rPr>
          <w:rFonts w:ascii="Times New Roman" w:eastAsia="仿宋_GB2312" w:hAnsi="Times New Roman" w:cs="Times New Roman"/>
        </w:rPr>
        <w:t xml:space="preserve">) plasmids (Genomeditech, Shanghai, China). THLE2 was seeded in 6-well plate at the density of 30%-40% and replaced with opti-MEM, then plasmids were conducted into cells by </w:t>
      </w:r>
      <w:r w:rsidRPr="00B776D6">
        <w:rPr>
          <w:rFonts w:ascii="Times New Roman" w:eastAsia="仿宋_GB2312" w:hAnsi="Times New Roman" w:cs="Times New Roman" w:hint="eastAsia"/>
        </w:rPr>
        <w:t>G</w:t>
      </w:r>
      <w:r w:rsidRPr="00B776D6">
        <w:rPr>
          <w:rFonts w:ascii="Times New Roman" w:eastAsia="仿宋_GB2312" w:hAnsi="Times New Roman" w:cs="Times New Roman"/>
        </w:rPr>
        <w:t>MT</w:t>
      </w:r>
      <w:r w:rsidRPr="00B776D6">
        <w:rPr>
          <w:rFonts w:ascii="Times New Roman" w:eastAsia="仿宋_GB2312" w:hAnsi="Times New Roman" w:cs="Times New Roman" w:hint="eastAsia"/>
        </w:rPr>
        <w:t>rans</w:t>
      </w:r>
      <w:r w:rsidRPr="00B776D6">
        <w:rPr>
          <w:rFonts w:ascii="Times New Roman" w:eastAsia="仿宋_GB2312" w:hAnsi="Times New Roman" w:cs="Times New Roman"/>
        </w:rPr>
        <w:t xml:space="preserve"> liposomal transfection reagent for 48h.   </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 xml:space="preserve">To explore the ubiquitin chain between USP5 and CPT-1A, HEK293T cells were transiently co-transfected with 1µg 6×His-CPT-1A, 1µg Flag-USP5 </w:t>
      </w:r>
      <w:r w:rsidRPr="00B776D6">
        <w:rPr>
          <w:rFonts w:ascii="Times New Roman" w:eastAsia="仿宋_GB2312" w:hAnsi="Times New Roman" w:cs="Times New Roman"/>
          <w:vertAlign w:val="superscript"/>
        </w:rPr>
        <w:t>WT</w:t>
      </w:r>
      <w:r w:rsidRPr="00B776D6">
        <w:rPr>
          <w:rFonts w:ascii="Times New Roman" w:eastAsia="仿宋_GB2312" w:hAnsi="Times New Roman" w:cs="Times New Roman"/>
        </w:rPr>
        <w:t xml:space="preserve">, 1µg Myc-UB and 1µg different domain of ubiquitin chain (K6O, K11O, K27O, K29O, K33O, K48O, K63O, K6R) plasmids. HEK293T was seeded in 6-well plate at the density of 30%-40% and replaced with opti-MEM, then plasmids were conducted into cells for 48h. </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To study the rescue of CPT-1A, Si USP5 THLE2 cell</w:t>
      </w:r>
      <w:r w:rsidRPr="00B776D6">
        <w:rPr>
          <w:rFonts w:ascii="Times New Roman" w:eastAsia="仿宋_GB2312" w:hAnsi="Times New Roman" w:cs="Times New Roman" w:hint="eastAsia"/>
        </w:rPr>
        <w:t>s</w:t>
      </w:r>
      <w:r w:rsidRPr="00B776D6">
        <w:rPr>
          <w:rFonts w:ascii="Times New Roman" w:eastAsia="仿宋_GB2312" w:hAnsi="Times New Roman" w:cs="Times New Roman"/>
        </w:rPr>
        <w:t xml:space="preserve"> were seeded to 6-well plate and transiently co-transfected with 1µg 6×His-CPT-1A plasmids for 48h. Then, the cells were treated with BSA or FFAs for 24h.</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For screening the candidate compound for activator of USP5, AML-12 cells were seeded on 12-well plate at the density of 30%-40%, and incubated with BSA or FFAs or different compound for 24h after cell adhesion.</w:t>
      </w:r>
    </w:p>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Specimen collection</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All mice were fasted 12h before the end of the experiment and anesthetized by intraperitoneal injection of 2% sodium pentobarbital 3 ml/kg. 1 ml of blood was collected from each mouse. A portion of liver tissue was extracted from the same liver lobe, placed at the same location in each mouse, and fixed in a 10% neutral buffered formalin solution.</w:t>
      </w:r>
    </w:p>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Biochemical analysis</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 xml:space="preserve">Serum ALT and AST activities were measured by assay kits (Nanjing Jiancheng Bioengineering Institute, Jiangsu, China). Serum lipid metabolism was evaluated by TG, TC, LDL-C, and HDL-C with assay kits from Nanjing Jiancheng Bioengineering Institute (Jiangsu, </w:t>
      </w:r>
      <w:r w:rsidRPr="00B776D6">
        <w:rPr>
          <w:rFonts w:ascii="Times New Roman" w:eastAsia="仿宋_GB2312" w:hAnsi="Times New Roman" w:cs="Times New Roman"/>
        </w:rPr>
        <w:lastRenderedPageBreak/>
        <w:t>China). To assess glucose metabolism, fasting blood glucose (FBG) was determined using a blood glucose meter (Roche Diagnostic GmbH, Germany). Fasting insulin (FINS) levels of mice were measured using an enzyme-linked immunosorbent assay (Ultra-Sensitive Mouse Insulin ELISA Kit, lot number: 90080, Crystal Chem, USA). The homeostatic model assessment-insulin resistance (HOMA-IR) index was calculated using the following formula: FBG(mM) × FINS (IU/L)/22.5.</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Hepatic TG, NEFA and hydroxyproline (HYP) content were measured using assay kits (Nanjing Jiancheng Bioengineering Institute, Jiangsu, China), as previously described.</w:t>
      </w:r>
    </w:p>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Histological analysis</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Liver section (sectioned at 4μm by Leica RM2235) were embedded in paraffin and then stained with H&amp;E staining kit (Nanjing Jiancheng Bioengineering Institute, Jiangsu, China). Lipid droplet accumulation was visualized using Oil Red O staining kit from Nanjing Jiancheng Bioengineering Institute of frozen liver sections (sectioned at 12μm) prepared in OCT compound. Liver fibrosis was evaluated by Sirius Red staining. The features of the liver sections were observed by the K-viewer and imaged. The MAS score consists of steatosis (scale 0-3), hepatocellular ballooning (scale 0-2), and lobular inflammation (scale 0-3).</w:t>
      </w:r>
    </w:p>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Immunohistochemistry (IHC)</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Human liver section (4μm) were incubated in anti-USP5 antibody at a dilution of 1:200 (proteintech) overnight at 4℃ and then reacted with secondary antibody (</w:t>
      </w:r>
      <w:r w:rsidRPr="00B776D6">
        <w:rPr>
          <w:rFonts w:ascii="Times New Roman" w:eastAsia="仿宋_GB2312" w:hAnsi="Times New Roman" w:cs="Times New Roman" w:hint="eastAsia"/>
        </w:rPr>
        <w:t>Gene</w:t>
      </w:r>
      <w:r w:rsidRPr="00B776D6">
        <w:rPr>
          <w:rFonts w:ascii="Times New Roman" w:eastAsia="仿宋_GB2312" w:hAnsi="Times New Roman" w:cs="Times New Roman"/>
        </w:rPr>
        <w:t xml:space="preserve"> tech, Shanghai, China). Mouse liver section (4μm) were incubated in anti-F4/80 antibody at a dilution of 1:150 and anti-alpha-SMA antibody at a dilution of 1:200</w:t>
      </w:r>
      <w:r w:rsidRPr="00B776D6">
        <w:rPr>
          <w:rFonts w:ascii="Times New Roman" w:eastAsia="仿宋_GB2312" w:hAnsi="Times New Roman" w:cs="Times New Roman" w:hint="eastAsia"/>
        </w:rPr>
        <w:t xml:space="preserve"> </w:t>
      </w:r>
      <w:r w:rsidRPr="00B776D6">
        <w:rPr>
          <w:rFonts w:ascii="Times New Roman" w:eastAsia="仿宋_GB2312" w:hAnsi="Times New Roman" w:cs="Times New Roman"/>
        </w:rPr>
        <w:t>using the same method.</w:t>
      </w:r>
    </w:p>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Western Blot analysis</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 xml:space="preserve">Liver tissues or cells were homogenized in lysis with RIPA lysis buffer added PMSF and protease inhibitor cocktail (Beyotime, Shanghai, China). Total protein concentrations were quantified using a BCA protein assay kit from Thermo fisher. The samples were subjected to 7.5%-15% SDS-polyacrylamide gel electrophoresis (depending on the molecular weight of indicated protein), and transferred to 0.22μm PVDF membranes (IPVH00010; Millipore, Billerica, MA) by using Bio-rad. The membranes were blocked with 5% BSA in 1×TBST for 1h at room temperature and incubated with primary antibodies overnight at 4℃. Then, the blots were incubated with HRP-conjugated secondary antibodies. Protein signal was detected using </w:t>
      </w:r>
      <w:r w:rsidRPr="00B776D6">
        <w:rPr>
          <w:rFonts w:ascii="Times New Roman" w:eastAsia="仿宋_GB2312" w:hAnsi="Times New Roman" w:cs="Times New Roman"/>
        </w:rPr>
        <w:lastRenderedPageBreak/>
        <w:t>an ECL kit (Beyotime, Shanghai, China) and visualized in a imaging system (Tianneng, China). The primary and secondary antibodies used information are listed in the table.</w:t>
      </w:r>
    </w:p>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Quantitative real-time PCR</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Total RNA was extracted using RNA extraction kit (B511321, Sangon Biotech Co., Ltd., Shanghai, China), and cDNA was synthesized from 1μg total RNA using RNA reverse transcription (1708890, BioRad, USA). Real-time PCR primer sequences are designed in BioTNT Biotech (Shanghai, China) and included in the Table S</w:t>
      </w:r>
      <w:r>
        <w:rPr>
          <w:rFonts w:ascii="Times New Roman" w:eastAsia="仿宋_GB2312" w:hAnsi="Times New Roman" w:cs="Times New Roman"/>
        </w:rPr>
        <w:t>1</w:t>
      </w:r>
      <w:r w:rsidRPr="00B776D6">
        <w:rPr>
          <w:rFonts w:ascii="Times New Roman" w:eastAsia="仿宋_GB2312" w:hAnsi="Times New Roman" w:cs="Times New Roman"/>
        </w:rPr>
        <w:t>. SYBR Green PCR Master Mix was used. Housekeeping genes Actin was used to normalize and fold change relative to controls was calculated using the 2</w:t>
      </w:r>
      <w:r w:rsidRPr="00B776D6">
        <w:rPr>
          <w:rFonts w:ascii="Times New Roman" w:eastAsia="仿宋_GB2312" w:hAnsi="Times New Roman" w:cs="Times New Roman"/>
          <w:vertAlign w:val="superscript"/>
        </w:rPr>
        <w:t>-</w:t>
      </w:r>
      <w:r w:rsidRPr="00B776D6">
        <w:rPr>
          <w:rFonts w:ascii="Cambria Math" w:eastAsia="仿宋_GB2312" w:hAnsi="Cambria Math" w:cs="Cambria Math"/>
          <w:vertAlign w:val="superscript"/>
        </w:rPr>
        <w:t>𝛥𝛥</w:t>
      </w:r>
      <w:r w:rsidRPr="00B776D6">
        <w:rPr>
          <w:rFonts w:ascii="Times New Roman" w:eastAsia="仿宋_GB2312" w:hAnsi="Times New Roman" w:cs="Times New Roman"/>
          <w:vertAlign w:val="superscript"/>
        </w:rPr>
        <w:t>Ct</w:t>
      </w:r>
      <w:r w:rsidRPr="00B776D6">
        <w:rPr>
          <w:rFonts w:ascii="Times New Roman" w:eastAsia="仿宋_GB2312" w:hAnsi="Times New Roman" w:cs="Times New Roman"/>
        </w:rPr>
        <w:t xml:space="preserve"> method.</w:t>
      </w:r>
    </w:p>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RNA-seq library data analysis</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For comparison of gene expression between human Normal-MASL samples, we utilized the publicly available dataset GSE126848, which includes high-throughput sequencing profiles of 29 snap-frozen liver biopsies: Normal (n = 14), and MAFL (n = 15).</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 xml:space="preserve">To ensure robust normalization and minimize variability, we applied the limma relative log expression (RLE) normalization method to the expression profiles. Additionally, we removed outlier samples exhibiting abnormal expression levels and corrected for batch effects using the ‘‘svg’’ R package. </w:t>
      </w:r>
    </w:p>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Immunoprecipitation (IP)</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Cells were lysed with IP lysis buffer (BioTNT, Shanghai, China) and homogenized. The indicated antibody (1:200 dilution) was incubated with 25 μL of Protein A/G agarose beads (Beyotime, Shanghai, China) overnight at 4℃. Homogenates containing total 500μg were then incubated with Protein A/G agarose beads for 2-4 h at room temperature. Then, the beads were washed 3-4 times with cold IP lysis buffer, and collected in 80μL of 1×SDS loading buffer by boiling at 100℃ for 10min. Finally, western blotting was performed as mentioned above.</w:t>
      </w:r>
    </w:p>
    <w:p w:rsidR="0072440E" w:rsidRPr="00B776D6" w:rsidRDefault="0072440E" w:rsidP="0072440E">
      <w:pPr>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IP-MS of protein-USP5 interactions</w:t>
      </w:r>
    </w:p>
    <w:p w:rsidR="0072440E" w:rsidRPr="00B776D6" w:rsidRDefault="0072440E" w:rsidP="0072440E">
      <w:pPr>
        <w:spacing w:line="360" w:lineRule="auto"/>
        <w:jc w:val="both"/>
        <w:rPr>
          <w:rFonts w:ascii="Times New Roman" w:eastAsia="仿宋_GB2312" w:hAnsi="Times New Roman" w:cs="Times New Roman"/>
        </w:rPr>
      </w:pPr>
      <w:r w:rsidRPr="00B776D6">
        <w:rPr>
          <w:rFonts w:ascii="Times New Roman" w:eastAsia="仿宋_GB2312" w:hAnsi="Times New Roman" w:cs="Times New Roman"/>
        </w:rPr>
        <w:t>For studying the USP5 protein-protein interactions, IP experiments were performed on L02 cells. In brief, the cell lysis were incubated with anti-USP5 or IgG antibody. Then, the samples were subjected to SDS-PAGE gel, and the gel were examined by LC-MS/MS. The rate of false positive protein identifications was controlled under 1%.</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color w:val="000000"/>
        </w:rPr>
      </w:pPr>
      <w:r w:rsidRPr="00B776D6">
        <w:rPr>
          <w:rFonts w:ascii="Times New Roman" w:eastAsia="仿宋_GB2312" w:hAnsi="Times New Roman" w:cs="Times New Roman"/>
          <w:b/>
          <w:bCs/>
          <w:color w:val="000000"/>
        </w:rPr>
        <w:t>Surface plasmon resonance for affinity determination</w:t>
      </w:r>
      <w:r w:rsidRPr="00B776D6">
        <w:rPr>
          <w:rFonts w:ascii="Times New Roman" w:eastAsia="仿宋_GB2312" w:hAnsi="Times New Roman" w:cs="Times New Roman"/>
          <w:color w:val="000000"/>
        </w:rPr>
        <w:t xml:space="preserve"> </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color w:val="000000"/>
        </w:rPr>
      </w:pPr>
      <w:r w:rsidRPr="00B776D6">
        <w:rPr>
          <w:rFonts w:ascii="Times New Roman" w:eastAsia="仿宋_GB2312" w:hAnsi="Times New Roman" w:cs="Times New Roman"/>
        </w:rPr>
        <w:lastRenderedPageBreak/>
        <w:t xml:space="preserve">To assess the binding kinetics or affinity of USP5 and CPT-1A, </w:t>
      </w:r>
      <w:r w:rsidRPr="00B776D6">
        <w:rPr>
          <w:rFonts w:ascii="Times New Roman" w:eastAsia="仿宋_GB2312" w:hAnsi="Times New Roman" w:cs="Times New Roman"/>
          <w:color w:val="000000"/>
        </w:rPr>
        <w:t>the Biacore T200 (GE Healthcare) was used to measure the KD values of protein‒protein and protein‒ligand interactions. All measuaments were performed at 25</w:t>
      </w:r>
      <w:r w:rsidRPr="00B776D6">
        <w:rPr>
          <w:rFonts w:ascii="Times New Roman" w:eastAsia="仿宋_GB2312" w:hAnsi="Times New Roman" w:cs="Times New Roman"/>
        </w:rPr>
        <w:t>℃.</w:t>
      </w:r>
      <w:r w:rsidRPr="00B776D6">
        <w:rPr>
          <w:rFonts w:ascii="Times New Roman" w:eastAsia="仿宋_GB2312" w:hAnsi="Times New Roman" w:cs="Times New Roman"/>
          <w:color w:val="000000"/>
        </w:rPr>
        <w:t xml:space="preserve"> Before coupling the protein, the CM7 chip (GE Healthcare) was first activated with 1-ethyl-3-(3-dimethylaminopropyl) carbodiimide (EDC, cytiva) and N-hydroxy succinimide (NHS, cytiva) at a flow rate of 10μL/min. Then, the </w:t>
      </w:r>
      <w:r w:rsidRPr="00B776D6">
        <w:rPr>
          <w:rFonts w:ascii="Times New Roman" w:eastAsia="仿宋_GB2312" w:hAnsi="Times New Roman" w:cs="Times New Roman"/>
        </w:rPr>
        <w:t>CPT-1A</w:t>
      </w:r>
      <w:r w:rsidRPr="00B776D6">
        <w:rPr>
          <w:rFonts w:ascii="Times New Roman" w:eastAsia="仿宋_GB2312" w:hAnsi="Times New Roman" w:cs="Times New Roman"/>
          <w:color w:val="000000"/>
        </w:rPr>
        <w:t xml:space="preserve"> protein was diluted to approximately 25 </w:t>
      </w:r>
      <w:r w:rsidRPr="00B776D6">
        <w:rPr>
          <w:rFonts w:ascii="Times New Roman" w:eastAsia="仿宋_GB2312" w:hAnsi="Times New Roman" w:cs="Times New Roman"/>
        </w:rPr>
        <w:t>μ</w:t>
      </w:r>
      <w:r w:rsidRPr="00B776D6">
        <w:rPr>
          <w:rFonts w:ascii="Times New Roman" w:eastAsia="仿宋_GB2312" w:hAnsi="Times New Roman" w:cs="Times New Roman"/>
          <w:color w:val="000000"/>
        </w:rPr>
        <w:t xml:space="preserve">g/mL and injected into the chip at a flow rate of 10μL/min. Finally, the channel was blocked with ethanolamine. For the affinity measurement of </w:t>
      </w:r>
      <w:r w:rsidRPr="00B776D6">
        <w:rPr>
          <w:rFonts w:ascii="Times New Roman" w:eastAsia="仿宋_GB2312" w:hAnsi="Times New Roman" w:cs="Times New Roman"/>
        </w:rPr>
        <w:t>CPT-1A</w:t>
      </w:r>
      <w:r w:rsidRPr="00B776D6">
        <w:rPr>
          <w:rFonts w:ascii="Times New Roman" w:eastAsia="仿宋_GB2312" w:hAnsi="Times New Roman" w:cs="Times New Roman"/>
          <w:color w:val="000000"/>
        </w:rPr>
        <w:t xml:space="preserve"> and </w:t>
      </w:r>
      <w:r w:rsidRPr="00B776D6">
        <w:rPr>
          <w:rFonts w:ascii="Times New Roman" w:eastAsia="仿宋_GB2312" w:hAnsi="Times New Roman" w:cs="Times New Roman"/>
        </w:rPr>
        <w:t>USP5</w:t>
      </w:r>
      <w:r w:rsidRPr="00B776D6">
        <w:rPr>
          <w:rFonts w:ascii="Times New Roman" w:eastAsia="仿宋_GB2312" w:hAnsi="Times New Roman" w:cs="Times New Roman"/>
          <w:color w:val="000000"/>
        </w:rPr>
        <w:t>, we diluted the</w:t>
      </w:r>
      <w:r w:rsidRPr="00B776D6">
        <w:rPr>
          <w:rFonts w:ascii="Times New Roman" w:eastAsia="仿宋_GB2312" w:hAnsi="Times New Roman" w:cs="Times New Roman"/>
        </w:rPr>
        <w:t xml:space="preserve"> USP5</w:t>
      </w:r>
      <w:r w:rsidRPr="00B776D6">
        <w:rPr>
          <w:rFonts w:ascii="Times New Roman" w:eastAsia="仿宋_GB2312" w:hAnsi="Times New Roman" w:cs="Times New Roman"/>
          <w:color w:val="000000"/>
        </w:rPr>
        <w:t xml:space="preserve"> protein from 100 μg/mL to 3.13 μg/mL and flowed the protein from low to high concentrations through the chip channel with </w:t>
      </w:r>
      <w:r w:rsidRPr="00B776D6">
        <w:rPr>
          <w:rFonts w:ascii="Times New Roman" w:eastAsia="仿宋_GB2312" w:hAnsi="Times New Roman" w:cs="Times New Roman"/>
        </w:rPr>
        <w:t>CPT-1A</w:t>
      </w:r>
      <w:r w:rsidRPr="00B776D6">
        <w:rPr>
          <w:rFonts w:ascii="Times New Roman" w:eastAsia="仿宋_GB2312" w:hAnsi="Times New Roman" w:cs="Times New Roman"/>
          <w:color w:val="000000"/>
        </w:rPr>
        <w:t xml:space="preserve"> protein at a flow rate of 30 μL/min for 120 seconds. After each concentration point was flowed through, the chip was regenerated with NaOH at a flow rate of 30 μL/min for 120 seconds, and then real-time recording and data storage were performed. </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b/>
          <w:bCs/>
          <w:color w:val="000000"/>
        </w:rPr>
      </w:pPr>
      <w:r w:rsidRPr="00B776D6">
        <w:rPr>
          <w:rFonts w:ascii="Times New Roman" w:eastAsia="仿宋_GB2312" w:hAnsi="Times New Roman" w:cs="Times New Roman"/>
          <w:b/>
          <w:bCs/>
          <w:color w:val="000000"/>
        </w:rPr>
        <w:t>Immunofluorescence staining</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color w:val="000000"/>
        </w:rPr>
      </w:pPr>
      <w:r w:rsidRPr="00B776D6">
        <w:rPr>
          <w:rFonts w:ascii="Times New Roman" w:eastAsia="仿宋_GB2312" w:hAnsi="Times New Roman" w:cs="Times New Roman"/>
          <w:color w:val="000000"/>
        </w:rPr>
        <w:t>To visualize the location of USP5 and CPT-1A, THLE2 cells were seeded to 24-well plate containing glass circle coverslips at the density of 30-40%. After cell adhesion, cells were fixed with 4% PFA at room temperature for 30min after washing with PBS, blocking with 0.1% Triton X-100 for 30 min and 5% BSA for 1h at RT, incubated with primary antibodies (USP5, 1:400, Proteintech; CPT-1A, 1:400, Proteintech) at 4</w:t>
      </w:r>
      <w:r w:rsidRPr="00B776D6">
        <w:rPr>
          <w:rFonts w:ascii="Times New Roman" w:eastAsia="仿宋_GB2312" w:hAnsi="Times New Roman" w:cs="Times New Roman"/>
        </w:rPr>
        <w:t xml:space="preserve">℃ overnight. Then, the cell were incubated with corresponding secondary antibodies (1:1000, abcam) for 1h at RT, and mounted with DAPI. </w:t>
      </w:r>
      <w:r w:rsidRPr="00B776D6">
        <w:rPr>
          <w:rFonts w:ascii="Times New Roman" w:eastAsia="仿宋_GB2312" w:hAnsi="Times New Roman" w:cs="Times New Roman"/>
          <w:color w:val="000000"/>
        </w:rPr>
        <w:t xml:space="preserve">Images were captured using a fluorescence confocal microscopy (LSM 900, Zeiss, Jena, Germany). </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b/>
          <w:bCs/>
        </w:rPr>
      </w:pPr>
      <w:r w:rsidRPr="00B776D6">
        <w:rPr>
          <w:rFonts w:ascii="Times New Roman" w:eastAsia="仿宋_GB2312" w:hAnsi="Times New Roman" w:cs="Times New Roman"/>
          <w:b/>
          <w:bCs/>
        </w:rPr>
        <w:t>Cycloheximide (CHX) and MG132 analysis</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color w:val="000000"/>
        </w:rPr>
      </w:pPr>
      <w:r w:rsidRPr="00B776D6">
        <w:rPr>
          <w:rFonts w:ascii="Times New Roman" w:eastAsia="仿宋_GB2312" w:hAnsi="Times New Roman" w:cs="Times New Roman"/>
          <w:color w:val="000000"/>
        </w:rPr>
        <w:t>THLE2 cells were treated with 50μM CHX for 0, 3, 6, 12h and 10μM MG132 for 8h.</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b/>
          <w:bCs/>
          <w:color w:val="000000"/>
        </w:rPr>
      </w:pPr>
      <w:r w:rsidRPr="00B776D6">
        <w:rPr>
          <w:rFonts w:ascii="Times New Roman" w:eastAsia="仿宋_GB2312" w:hAnsi="Times New Roman" w:cs="Times New Roman"/>
          <w:b/>
          <w:bCs/>
          <w:color w:val="000000"/>
        </w:rPr>
        <w:t>Ubiquitination assay</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color w:val="000000"/>
        </w:rPr>
      </w:pPr>
      <w:r w:rsidRPr="00B776D6">
        <w:rPr>
          <w:rFonts w:ascii="Times New Roman" w:eastAsia="仿宋_GB2312" w:hAnsi="Times New Roman" w:cs="Times New Roman"/>
          <w:color w:val="000000"/>
        </w:rPr>
        <w:t>Cells were transfected with specific plasmids at 80% density followed by drug exposure or indicated treatments. 10 μM MG132 was added to avoid proteasome-mediated protein degradation for 6 h before harvest. Cells were washed with ice-cold PBS, then whole cell lysate was collected and clarified by centrifugation. Cleared lysates was collected for IP using indicated antibodies coupled with protein A/G beads. Bound proteins were eluted with 1×SDS loading buffer, boiled and subject to western blot using indicated antibodies.</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b/>
          <w:bCs/>
          <w:color w:val="000000"/>
        </w:rPr>
      </w:pPr>
      <w:r w:rsidRPr="00B776D6">
        <w:rPr>
          <w:rFonts w:ascii="Times New Roman" w:eastAsia="仿宋_GB2312" w:hAnsi="Times New Roman" w:cs="Times New Roman"/>
          <w:b/>
          <w:bCs/>
          <w:color w:val="000000"/>
        </w:rPr>
        <w:lastRenderedPageBreak/>
        <w:t>Transmission electron microscopy (TEM) analysis</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color w:val="000000"/>
        </w:rPr>
      </w:pPr>
      <w:r w:rsidRPr="00B776D6">
        <w:rPr>
          <w:rFonts w:ascii="Times New Roman" w:eastAsia="仿宋_GB2312" w:hAnsi="Times New Roman" w:cs="Times New Roman"/>
          <w:color w:val="000000"/>
        </w:rPr>
        <w:t>The liver tissues of mice were fixed with 2.5% glutaraldehyde (PBS) and 1% osmium anhydride. After staining, the mitochondrial structural changes were observed by TEM.</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b/>
          <w:bCs/>
          <w:color w:val="000000"/>
        </w:rPr>
      </w:pPr>
      <w:r w:rsidRPr="00B776D6">
        <w:rPr>
          <w:rFonts w:ascii="Times New Roman" w:eastAsia="仿宋_GB2312" w:hAnsi="Times New Roman" w:cs="Times New Roman"/>
          <w:b/>
          <w:bCs/>
          <w:color w:val="000000"/>
        </w:rPr>
        <w:t>Measurement of mitochondria respiration</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color w:val="000000"/>
        </w:rPr>
      </w:pPr>
      <w:r w:rsidRPr="00B776D6">
        <w:rPr>
          <w:rFonts w:ascii="Times New Roman" w:eastAsia="仿宋_GB2312" w:hAnsi="Times New Roman" w:cs="Times New Roman"/>
          <w:color w:val="000000"/>
        </w:rPr>
        <w:t xml:space="preserve">Mitochondria respiration and glycolysis were measured with the Seahorse XF96e extracellular flux analysis system (Agilent). </w:t>
      </w:r>
      <w:r w:rsidRPr="00B776D6">
        <w:rPr>
          <w:rFonts w:ascii="Times New Roman" w:eastAsia="仿宋_GB2312" w:hAnsi="Times New Roman" w:cs="Times New Roman"/>
        </w:rPr>
        <w:t xml:space="preserve">Ad USP5 and Si USP5 THLE2 cells </w:t>
      </w:r>
      <w:r w:rsidRPr="00B776D6">
        <w:rPr>
          <w:rFonts w:ascii="Times New Roman" w:eastAsia="仿宋_GB2312" w:hAnsi="Times New Roman" w:cs="Times New Roman"/>
          <w:color w:val="000000"/>
        </w:rPr>
        <w:t>were plated onto gelatin-coated, XF 96-well microplates at a density of 4×10</w:t>
      </w:r>
      <w:r w:rsidRPr="00B776D6">
        <w:rPr>
          <w:rFonts w:ascii="Times New Roman" w:eastAsia="仿宋_GB2312" w:hAnsi="Times New Roman" w:cs="Times New Roman"/>
          <w:color w:val="000000"/>
          <w:vertAlign w:val="superscript"/>
        </w:rPr>
        <w:t>3</w:t>
      </w:r>
      <w:r w:rsidRPr="00B776D6">
        <w:rPr>
          <w:rFonts w:ascii="Times New Roman" w:eastAsia="仿宋_GB2312" w:hAnsi="Times New Roman" w:cs="Times New Roman"/>
          <w:color w:val="000000"/>
        </w:rPr>
        <w:t>/well. The medium was replaced after 4-8 hours with XF assay medium (Seahorse Biosciences 103334-100, supplemented with 10mM glucose, 2mM pyruvate, 4mM glutamine) or minimal medium containing the same concentration of salt ions.  The oxygen consumption rate (OCR) was measured by the XFe96 Extracellular Flux Analyzer (Seahorse Biosciences) according to the manufacturer's recommendations. Reagents were used at the following final concentrations: oligomycin (4μM), FCCP (0.5μM), rotenone (2μM), antimycin A (2μM). The measured values were normalized to the cell number of the THLE2 cells plated on parallel plates.</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b/>
          <w:bCs/>
          <w:color w:val="000000"/>
        </w:rPr>
      </w:pPr>
      <w:r w:rsidRPr="00B776D6">
        <w:rPr>
          <w:rFonts w:ascii="Times New Roman" w:eastAsia="仿宋_GB2312" w:hAnsi="Times New Roman" w:cs="Times New Roman"/>
          <w:b/>
          <w:bCs/>
          <w:color w:val="000000"/>
        </w:rPr>
        <w:t>Natural compound database screening</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color w:val="000000"/>
        </w:rPr>
      </w:pPr>
      <w:r w:rsidRPr="00B776D6">
        <w:rPr>
          <w:rFonts w:ascii="Times New Roman" w:eastAsia="仿宋_GB2312" w:hAnsi="Times New Roman" w:cs="Times New Roman"/>
          <w:color w:val="000000"/>
        </w:rPr>
        <w:t>Natural compounds screening with activating capacity on USP5 (PDB ID: 3IHP ) was performed based on a Natural Product Library Plus by using computer-aid molecular docking The Receptor Grid Generation module was used to create grid files, and grid files were generated centered on the allosteric site</w:t>
      </w:r>
      <w:r w:rsidRPr="00B776D6">
        <w:rPr>
          <w:rFonts w:ascii="Times New Roman" w:eastAsia="仿宋_GB2312" w:hAnsi="Times New Roman" w:cs="Times New Roman"/>
        </w:rPr>
        <w:t xml:space="preserve"> (Asp103/Asp104/Try62)</w:t>
      </w:r>
      <w:r w:rsidRPr="00B776D6">
        <w:rPr>
          <w:rFonts w:ascii="Times New Roman" w:eastAsia="仿宋_GB2312" w:hAnsi="Times New Roman" w:cs="Times New Roman"/>
          <w:color w:val="000000"/>
        </w:rPr>
        <w:t>. The Virtual Screening Workflow module was used to perform virtual screening by importing the prepared compounds and using the Glide module to perform molecular docking, i.e., docking between receptor and ligand molecules by geometric and energy matching. The Traditional Chinese Medicine Active Compound Library (2.8 K compound) were first screened using the High Throughput Screening (HTVS) mode in the Glide module, and the scored small molecules were selected. The top 16 compounds screened (soces &lt;-8.0). Finally, the cellular TG content was used to analyze in vitro.</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b/>
          <w:bCs/>
          <w:color w:val="000000"/>
        </w:rPr>
      </w:pPr>
      <w:r w:rsidRPr="00B776D6">
        <w:rPr>
          <w:rFonts w:ascii="Times New Roman" w:eastAsia="仿宋_GB2312" w:hAnsi="Times New Roman" w:cs="Times New Roman"/>
          <w:b/>
          <w:bCs/>
          <w:color w:val="000000"/>
        </w:rPr>
        <w:t>QUANTIFICATION AND STATISTICAL ANALYSIS</w:t>
      </w:r>
    </w:p>
    <w:p w:rsidR="0072440E" w:rsidRPr="00B776D6" w:rsidRDefault="0072440E" w:rsidP="00724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仿宋_GB2312" w:hAnsi="Times New Roman" w:cs="Times New Roman"/>
          <w:color w:val="000000"/>
        </w:rPr>
      </w:pPr>
      <w:r w:rsidRPr="00B776D6">
        <w:rPr>
          <w:rFonts w:ascii="Times New Roman" w:eastAsia="仿宋_GB2312" w:hAnsi="Times New Roman" w:cs="Times New Roman"/>
          <w:color w:val="000000"/>
        </w:rPr>
        <w:t xml:space="preserve">Statistical analysis was performed using Prism software (GraphPad Software, CA, USA). Experimental data is presented as mean ±SD. Outliers were excluded from statistical analyses by the outlier analysis using the ROUT method (GraphPad Prism). Statistical significance </w:t>
      </w:r>
      <w:r w:rsidRPr="00B776D6">
        <w:rPr>
          <w:rFonts w:ascii="Times New Roman" w:eastAsia="仿宋_GB2312" w:hAnsi="Times New Roman" w:cs="Times New Roman"/>
          <w:color w:val="000000"/>
        </w:rPr>
        <w:lastRenderedPageBreak/>
        <w:t>between two groups was determined using two-tailed Student’s t-test. One-way ANOVA with Tukey’s post hoc correction was applied for multiple comparisons. A P-value less than 0.05 was considered statistically significant. Figures without P values or asterisks implied the data was not significantly different. The statistical details for each experiment are indicated in the figure legend.</w:t>
      </w:r>
    </w:p>
    <w:p w:rsidR="008D65EB" w:rsidRPr="0012326C" w:rsidRDefault="008D65EB" w:rsidP="0012326C">
      <w:pPr>
        <w:spacing w:line="360" w:lineRule="auto"/>
        <w:jc w:val="both"/>
        <w:rPr>
          <w:rFonts w:ascii="Times New Roman" w:eastAsia="仿宋_GB2312" w:hAnsi="Times New Roman" w:cs="Times New Roman"/>
          <w:sz w:val="21"/>
          <w:szCs w:val="21"/>
        </w:rPr>
      </w:pPr>
      <w:bookmarkStart w:id="3" w:name="_GoBack"/>
      <w:bookmarkEnd w:id="3"/>
    </w:p>
    <w:sectPr w:rsidR="008D65EB" w:rsidRPr="0012326C" w:rsidSect="008503E0">
      <w:pgSz w:w="11900" w:h="16840" w:code="9"/>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6B98" w:rsidRDefault="00266B98" w:rsidP="008503E0">
      <w:r>
        <w:separator/>
      </w:r>
    </w:p>
  </w:endnote>
  <w:endnote w:type="continuationSeparator" w:id="0">
    <w:p w:rsidR="00266B98" w:rsidRDefault="00266B98" w:rsidP="00850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7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FangSong_GB2312"/>
    <w:panose1 w:val="02010609030101010101"/>
    <w:charset w:val="86"/>
    <w:family w:val="modern"/>
    <w:pitch w:val="fixed"/>
    <w:sig w:usb0="00000001" w:usb1="080E0000" w:usb2="00000010" w:usb3="00000000" w:csb0="00040001" w:csb1="00000000"/>
  </w:font>
  <w:font w:name="Times New Roman Regular">
    <w:altName w:val="Times New Roman"/>
    <w:panose1 w:val="020B0604020202020204"/>
    <w:charset w:val="00"/>
    <w:family w:val="auto"/>
    <w:pitch w:val="default"/>
    <w:sig w:usb0="E0002AEF" w:usb1="C0007841" w:usb2="00000009" w:usb3="00000000" w:csb0="400001FF" w:csb1="FFFF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6B98" w:rsidRDefault="00266B98" w:rsidP="008503E0">
      <w:r>
        <w:separator/>
      </w:r>
    </w:p>
  </w:footnote>
  <w:footnote w:type="continuationSeparator" w:id="0">
    <w:p w:rsidR="00266B98" w:rsidRDefault="00266B98" w:rsidP="00850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A466C"/>
    <w:multiLevelType w:val="multilevel"/>
    <w:tmpl w:val="DE223EF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10551"/>
    <w:multiLevelType w:val="hybridMultilevel"/>
    <w:tmpl w:val="0688EDFA"/>
    <w:lvl w:ilvl="0" w:tplc="56A8D76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062599E"/>
    <w:multiLevelType w:val="hybridMultilevel"/>
    <w:tmpl w:val="28722822"/>
    <w:lvl w:ilvl="0" w:tplc="54385D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BAC00AA"/>
    <w:multiLevelType w:val="hybridMultilevel"/>
    <w:tmpl w:val="B1DA7A9E"/>
    <w:lvl w:ilvl="0" w:tplc="0E424FE6">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1D90A19"/>
    <w:multiLevelType w:val="hybridMultilevel"/>
    <w:tmpl w:val="05F4A95E"/>
    <w:lvl w:ilvl="0" w:tplc="C168634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B2946FA"/>
    <w:multiLevelType w:val="hybridMultilevel"/>
    <w:tmpl w:val="61963D2C"/>
    <w:lvl w:ilvl="0" w:tplc="2F46D670">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6FAF6854"/>
    <w:multiLevelType w:val="multilevel"/>
    <w:tmpl w:val="4F86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477DB4"/>
    <w:multiLevelType w:val="hybridMultilevel"/>
    <w:tmpl w:val="9B72FA2A"/>
    <w:lvl w:ilvl="0" w:tplc="804075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6"/>
  </w:num>
  <w:num w:numId="3">
    <w:abstractNumId w:val="1"/>
  </w:num>
  <w:num w:numId="4">
    <w:abstractNumId w:val="4"/>
  </w:num>
  <w:num w:numId="5">
    <w:abstractNumId w:val="5"/>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hep-reference&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E16EF"/>
    <w:rsid w:val="00001AB2"/>
    <w:rsid w:val="00004BD8"/>
    <w:rsid w:val="0001493C"/>
    <w:rsid w:val="00020BA2"/>
    <w:rsid w:val="000239BA"/>
    <w:rsid w:val="00023CF6"/>
    <w:rsid w:val="00025C7D"/>
    <w:rsid w:val="00027C8A"/>
    <w:rsid w:val="00031286"/>
    <w:rsid w:val="00033439"/>
    <w:rsid w:val="00035A93"/>
    <w:rsid w:val="00043784"/>
    <w:rsid w:val="00047D6D"/>
    <w:rsid w:val="00047FE5"/>
    <w:rsid w:val="00053C54"/>
    <w:rsid w:val="00060589"/>
    <w:rsid w:val="000665C5"/>
    <w:rsid w:val="00071784"/>
    <w:rsid w:val="00071F96"/>
    <w:rsid w:val="00077F73"/>
    <w:rsid w:val="00084E9D"/>
    <w:rsid w:val="00085093"/>
    <w:rsid w:val="0009002B"/>
    <w:rsid w:val="00096DBA"/>
    <w:rsid w:val="000A2987"/>
    <w:rsid w:val="000A3CA4"/>
    <w:rsid w:val="000A4586"/>
    <w:rsid w:val="000B25D1"/>
    <w:rsid w:val="000C4284"/>
    <w:rsid w:val="000C7785"/>
    <w:rsid w:val="000D1115"/>
    <w:rsid w:val="000D3149"/>
    <w:rsid w:val="000D35E0"/>
    <w:rsid w:val="000D78B5"/>
    <w:rsid w:val="000E0702"/>
    <w:rsid w:val="000E0B6D"/>
    <w:rsid w:val="000E29D9"/>
    <w:rsid w:val="000E3782"/>
    <w:rsid w:val="000E7F7A"/>
    <w:rsid w:val="000F29B6"/>
    <w:rsid w:val="000F5299"/>
    <w:rsid w:val="000F7430"/>
    <w:rsid w:val="0010226F"/>
    <w:rsid w:val="001029D7"/>
    <w:rsid w:val="001059BE"/>
    <w:rsid w:val="00111EA4"/>
    <w:rsid w:val="00112CE3"/>
    <w:rsid w:val="0012326C"/>
    <w:rsid w:val="00123841"/>
    <w:rsid w:val="00123998"/>
    <w:rsid w:val="0012484A"/>
    <w:rsid w:val="001262EA"/>
    <w:rsid w:val="00127F76"/>
    <w:rsid w:val="0013317D"/>
    <w:rsid w:val="00134947"/>
    <w:rsid w:val="00135D53"/>
    <w:rsid w:val="001362C7"/>
    <w:rsid w:val="0014158C"/>
    <w:rsid w:val="001459BB"/>
    <w:rsid w:val="001468DF"/>
    <w:rsid w:val="00146AED"/>
    <w:rsid w:val="00154365"/>
    <w:rsid w:val="001619EA"/>
    <w:rsid w:val="00176C9B"/>
    <w:rsid w:val="00181847"/>
    <w:rsid w:val="00182A47"/>
    <w:rsid w:val="00191F6C"/>
    <w:rsid w:val="00194818"/>
    <w:rsid w:val="001955EF"/>
    <w:rsid w:val="001962C6"/>
    <w:rsid w:val="001A212B"/>
    <w:rsid w:val="001B123A"/>
    <w:rsid w:val="001B29B3"/>
    <w:rsid w:val="001B399E"/>
    <w:rsid w:val="001B3E84"/>
    <w:rsid w:val="001B5B8A"/>
    <w:rsid w:val="001B6667"/>
    <w:rsid w:val="001D18F1"/>
    <w:rsid w:val="001D483B"/>
    <w:rsid w:val="001E0E53"/>
    <w:rsid w:val="001E3130"/>
    <w:rsid w:val="001F5DA6"/>
    <w:rsid w:val="00206BC5"/>
    <w:rsid w:val="0021612C"/>
    <w:rsid w:val="0022109A"/>
    <w:rsid w:val="0022745A"/>
    <w:rsid w:val="00233788"/>
    <w:rsid w:val="00234BED"/>
    <w:rsid w:val="0023697E"/>
    <w:rsid w:val="00250971"/>
    <w:rsid w:val="00257FEE"/>
    <w:rsid w:val="00262217"/>
    <w:rsid w:val="00263154"/>
    <w:rsid w:val="0026590F"/>
    <w:rsid w:val="00266B98"/>
    <w:rsid w:val="002724B6"/>
    <w:rsid w:val="0027366B"/>
    <w:rsid w:val="00274296"/>
    <w:rsid w:val="00275363"/>
    <w:rsid w:val="002801C7"/>
    <w:rsid w:val="00284AF0"/>
    <w:rsid w:val="0029036C"/>
    <w:rsid w:val="002976CD"/>
    <w:rsid w:val="002A02B8"/>
    <w:rsid w:val="002A37B9"/>
    <w:rsid w:val="002A7773"/>
    <w:rsid w:val="002B0557"/>
    <w:rsid w:val="002B121E"/>
    <w:rsid w:val="002B3603"/>
    <w:rsid w:val="002B6416"/>
    <w:rsid w:val="002C0099"/>
    <w:rsid w:val="002D2CC6"/>
    <w:rsid w:val="002D3AC8"/>
    <w:rsid w:val="002D57A0"/>
    <w:rsid w:val="002E50DD"/>
    <w:rsid w:val="002F3ABA"/>
    <w:rsid w:val="002F4176"/>
    <w:rsid w:val="003016F4"/>
    <w:rsid w:val="00302115"/>
    <w:rsid w:val="00303BFB"/>
    <w:rsid w:val="003117B7"/>
    <w:rsid w:val="00317B58"/>
    <w:rsid w:val="0032214C"/>
    <w:rsid w:val="0032270F"/>
    <w:rsid w:val="00326599"/>
    <w:rsid w:val="003303E4"/>
    <w:rsid w:val="00334063"/>
    <w:rsid w:val="00337B3B"/>
    <w:rsid w:val="003421BE"/>
    <w:rsid w:val="00346887"/>
    <w:rsid w:val="00355D46"/>
    <w:rsid w:val="00356494"/>
    <w:rsid w:val="0036383E"/>
    <w:rsid w:val="00366CDF"/>
    <w:rsid w:val="0037092E"/>
    <w:rsid w:val="0037228E"/>
    <w:rsid w:val="00375CF5"/>
    <w:rsid w:val="0038114B"/>
    <w:rsid w:val="0038146F"/>
    <w:rsid w:val="00382D57"/>
    <w:rsid w:val="0038301E"/>
    <w:rsid w:val="00384435"/>
    <w:rsid w:val="00384C4A"/>
    <w:rsid w:val="00390BBD"/>
    <w:rsid w:val="00394A45"/>
    <w:rsid w:val="003A0A48"/>
    <w:rsid w:val="003A3395"/>
    <w:rsid w:val="003A466E"/>
    <w:rsid w:val="003A5196"/>
    <w:rsid w:val="003B0F29"/>
    <w:rsid w:val="003B4167"/>
    <w:rsid w:val="003B5588"/>
    <w:rsid w:val="003B5FD9"/>
    <w:rsid w:val="003B6FE5"/>
    <w:rsid w:val="003C1019"/>
    <w:rsid w:val="003C1F74"/>
    <w:rsid w:val="003D1D4C"/>
    <w:rsid w:val="003D20AB"/>
    <w:rsid w:val="003D3426"/>
    <w:rsid w:val="003D5C4E"/>
    <w:rsid w:val="003D727D"/>
    <w:rsid w:val="003E28DD"/>
    <w:rsid w:val="003E373A"/>
    <w:rsid w:val="003E414E"/>
    <w:rsid w:val="003E7DA9"/>
    <w:rsid w:val="003F0DBC"/>
    <w:rsid w:val="003F2391"/>
    <w:rsid w:val="003F24E2"/>
    <w:rsid w:val="004052FE"/>
    <w:rsid w:val="00405516"/>
    <w:rsid w:val="00405A31"/>
    <w:rsid w:val="00413D70"/>
    <w:rsid w:val="00421B39"/>
    <w:rsid w:val="00422747"/>
    <w:rsid w:val="00422D8D"/>
    <w:rsid w:val="004240D8"/>
    <w:rsid w:val="0042480B"/>
    <w:rsid w:val="00424887"/>
    <w:rsid w:val="004324C2"/>
    <w:rsid w:val="00433526"/>
    <w:rsid w:val="0043543A"/>
    <w:rsid w:val="00437038"/>
    <w:rsid w:val="00440D66"/>
    <w:rsid w:val="004416FC"/>
    <w:rsid w:val="004436CB"/>
    <w:rsid w:val="0044477D"/>
    <w:rsid w:val="0044576E"/>
    <w:rsid w:val="0044684A"/>
    <w:rsid w:val="00447B30"/>
    <w:rsid w:val="00447E73"/>
    <w:rsid w:val="004501A1"/>
    <w:rsid w:val="00450445"/>
    <w:rsid w:val="00451DB2"/>
    <w:rsid w:val="0045572E"/>
    <w:rsid w:val="00464269"/>
    <w:rsid w:val="004701BD"/>
    <w:rsid w:val="004706D2"/>
    <w:rsid w:val="004707A1"/>
    <w:rsid w:val="00473587"/>
    <w:rsid w:val="0047609C"/>
    <w:rsid w:val="0047782D"/>
    <w:rsid w:val="00481D42"/>
    <w:rsid w:val="004841EF"/>
    <w:rsid w:val="0048514F"/>
    <w:rsid w:val="00491EBD"/>
    <w:rsid w:val="004958F3"/>
    <w:rsid w:val="00495950"/>
    <w:rsid w:val="00495FC2"/>
    <w:rsid w:val="00496B6D"/>
    <w:rsid w:val="004A2893"/>
    <w:rsid w:val="004B0D89"/>
    <w:rsid w:val="004B28D2"/>
    <w:rsid w:val="004B7FBD"/>
    <w:rsid w:val="004C3AA0"/>
    <w:rsid w:val="004C7089"/>
    <w:rsid w:val="004D0FF9"/>
    <w:rsid w:val="004D1A06"/>
    <w:rsid w:val="004D564E"/>
    <w:rsid w:val="004D6EBE"/>
    <w:rsid w:val="004E0BDD"/>
    <w:rsid w:val="004E0C49"/>
    <w:rsid w:val="004E2BA0"/>
    <w:rsid w:val="004E5205"/>
    <w:rsid w:val="004F557D"/>
    <w:rsid w:val="004F58E5"/>
    <w:rsid w:val="00505286"/>
    <w:rsid w:val="00514BB3"/>
    <w:rsid w:val="00521E24"/>
    <w:rsid w:val="00522241"/>
    <w:rsid w:val="00525CB6"/>
    <w:rsid w:val="005378E5"/>
    <w:rsid w:val="0054066E"/>
    <w:rsid w:val="0054294B"/>
    <w:rsid w:val="00543CAB"/>
    <w:rsid w:val="0054620F"/>
    <w:rsid w:val="005464CA"/>
    <w:rsid w:val="00555767"/>
    <w:rsid w:val="00567450"/>
    <w:rsid w:val="00572B1D"/>
    <w:rsid w:val="00572F99"/>
    <w:rsid w:val="00574FE6"/>
    <w:rsid w:val="00577C67"/>
    <w:rsid w:val="00580207"/>
    <w:rsid w:val="005850CF"/>
    <w:rsid w:val="00587518"/>
    <w:rsid w:val="005903D0"/>
    <w:rsid w:val="00590D83"/>
    <w:rsid w:val="0059143F"/>
    <w:rsid w:val="00591F3F"/>
    <w:rsid w:val="0059324D"/>
    <w:rsid w:val="00593CC0"/>
    <w:rsid w:val="00597867"/>
    <w:rsid w:val="00597F3D"/>
    <w:rsid w:val="005A07F8"/>
    <w:rsid w:val="005A1DBC"/>
    <w:rsid w:val="005A2E72"/>
    <w:rsid w:val="005A57E7"/>
    <w:rsid w:val="005A6B71"/>
    <w:rsid w:val="005B31EA"/>
    <w:rsid w:val="005B3426"/>
    <w:rsid w:val="005B522A"/>
    <w:rsid w:val="005B731C"/>
    <w:rsid w:val="005C21BE"/>
    <w:rsid w:val="005C405B"/>
    <w:rsid w:val="005C65D6"/>
    <w:rsid w:val="005E1668"/>
    <w:rsid w:val="005E7436"/>
    <w:rsid w:val="005F65BD"/>
    <w:rsid w:val="005F71C5"/>
    <w:rsid w:val="006078BA"/>
    <w:rsid w:val="006124BF"/>
    <w:rsid w:val="0061498D"/>
    <w:rsid w:val="00617151"/>
    <w:rsid w:val="00621531"/>
    <w:rsid w:val="00622326"/>
    <w:rsid w:val="00626FAF"/>
    <w:rsid w:val="00635659"/>
    <w:rsid w:val="0064158D"/>
    <w:rsid w:val="00641E7F"/>
    <w:rsid w:val="00642111"/>
    <w:rsid w:val="00660A4C"/>
    <w:rsid w:val="00660B26"/>
    <w:rsid w:val="0066268F"/>
    <w:rsid w:val="00670998"/>
    <w:rsid w:val="00675267"/>
    <w:rsid w:val="006803C9"/>
    <w:rsid w:val="00681D6A"/>
    <w:rsid w:val="00681FA6"/>
    <w:rsid w:val="00682E0E"/>
    <w:rsid w:val="0068458A"/>
    <w:rsid w:val="0068557F"/>
    <w:rsid w:val="00685F03"/>
    <w:rsid w:val="00687300"/>
    <w:rsid w:val="00690B3E"/>
    <w:rsid w:val="0069110F"/>
    <w:rsid w:val="00691622"/>
    <w:rsid w:val="00691921"/>
    <w:rsid w:val="00693101"/>
    <w:rsid w:val="00695F65"/>
    <w:rsid w:val="006A122B"/>
    <w:rsid w:val="006A3104"/>
    <w:rsid w:val="006A6FF9"/>
    <w:rsid w:val="006B072D"/>
    <w:rsid w:val="006B0843"/>
    <w:rsid w:val="006B3708"/>
    <w:rsid w:val="006B5793"/>
    <w:rsid w:val="006C33F7"/>
    <w:rsid w:val="006C3D68"/>
    <w:rsid w:val="006D1608"/>
    <w:rsid w:val="006D3D78"/>
    <w:rsid w:val="006D4A94"/>
    <w:rsid w:val="006E16EF"/>
    <w:rsid w:val="006E5986"/>
    <w:rsid w:val="006E76DA"/>
    <w:rsid w:val="006F0CD0"/>
    <w:rsid w:val="006F0D3E"/>
    <w:rsid w:val="006F17A3"/>
    <w:rsid w:val="006F2F80"/>
    <w:rsid w:val="006F39B3"/>
    <w:rsid w:val="006F63AF"/>
    <w:rsid w:val="00701149"/>
    <w:rsid w:val="00706753"/>
    <w:rsid w:val="007105AE"/>
    <w:rsid w:val="00710ED4"/>
    <w:rsid w:val="007137C6"/>
    <w:rsid w:val="00717216"/>
    <w:rsid w:val="007174CD"/>
    <w:rsid w:val="007206E4"/>
    <w:rsid w:val="0072440E"/>
    <w:rsid w:val="00725CD3"/>
    <w:rsid w:val="00730B85"/>
    <w:rsid w:val="0073691E"/>
    <w:rsid w:val="007422A9"/>
    <w:rsid w:val="00744CE9"/>
    <w:rsid w:val="007508DC"/>
    <w:rsid w:val="0075452E"/>
    <w:rsid w:val="0076144B"/>
    <w:rsid w:val="00764C9C"/>
    <w:rsid w:val="00772722"/>
    <w:rsid w:val="00773672"/>
    <w:rsid w:val="007737E9"/>
    <w:rsid w:val="00774251"/>
    <w:rsid w:val="00775B89"/>
    <w:rsid w:val="00775BD2"/>
    <w:rsid w:val="007779E1"/>
    <w:rsid w:val="007815BA"/>
    <w:rsid w:val="00782BA9"/>
    <w:rsid w:val="0078437A"/>
    <w:rsid w:val="007906B3"/>
    <w:rsid w:val="00791369"/>
    <w:rsid w:val="00792F63"/>
    <w:rsid w:val="00793B14"/>
    <w:rsid w:val="0079439C"/>
    <w:rsid w:val="00797AE6"/>
    <w:rsid w:val="007A0560"/>
    <w:rsid w:val="007A27D1"/>
    <w:rsid w:val="007A2EB8"/>
    <w:rsid w:val="007A3DD5"/>
    <w:rsid w:val="007A4708"/>
    <w:rsid w:val="007A5157"/>
    <w:rsid w:val="007B21BE"/>
    <w:rsid w:val="007B6788"/>
    <w:rsid w:val="007B6F7F"/>
    <w:rsid w:val="007C027F"/>
    <w:rsid w:val="007C168D"/>
    <w:rsid w:val="007C2E94"/>
    <w:rsid w:val="007C71F4"/>
    <w:rsid w:val="007C7515"/>
    <w:rsid w:val="007D63A1"/>
    <w:rsid w:val="007D6900"/>
    <w:rsid w:val="007D6A2C"/>
    <w:rsid w:val="007E0C75"/>
    <w:rsid w:val="007E1887"/>
    <w:rsid w:val="007E1F6C"/>
    <w:rsid w:val="007E277E"/>
    <w:rsid w:val="007E57C3"/>
    <w:rsid w:val="007F4839"/>
    <w:rsid w:val="007F4DF2"/>
    <w:rsid w:val="007F4E56"/>
    <w:rsid w:val="007F55DF"/>
    <w:rsid w:val="00802B39"/>
    <w:rsid w:val="00806F0E"/>
    <w:rsid w:val="00815D64"/>
    <w:rsid w:val="0081675E"/>
    <w:rsid w:val="008175D7"/>
    <w:rsid w:val="008207F6"/>
    <w:rsid w:val="00824256"/>
    <w:rsid w:val="00824AD9"/>
    <w:rsid w:val="00831339"/>
    <w:rsid w:val="00832043"/>
    <w:rsid w:val="0083526F"/>
    <w:rsid w:val="00835D51"/>
    <w:rsid w:val="008362BB"/>
    <w:rsid w:val="00842F49"/>
    <w:rsid w:val="008503E0"/>
    <w:rsid w:val="0085048E"/>
    <w:rsid w:val="00851B3C"/>
    <w:rsid w:val="00851E8D"/>
    <w:rsid w:val="00855DDC"/>
    <w:rsid w:val="00861A39"/>
    <w:rsid w:val="0086410B"/>
    <w:rsid w:val="00867C3F"/>
    <w:rsid w:val="0087644C"/>
    <w:rsid w:val="00881915"/>
    <w:rsid w:val="008839F5"/>
    <w:rsid w:val="00883D24"/>
    <w:rsid w:val="00890042"/>
    <w:rsid w:val="00895880"/>
    <w:rsid w:val="00896587"/>
    <w:rsid w:val="008A4B66"/>
    <w:rsid w:val="008A5753"/>
    <w:rsid w:val="008B5C39"/>
    <w:rsid w:val="008C634C"/>
    <w:rsid w:val="008D0EB6"/>
    <w:rsid w:val="008D270C"/>
    <w:rsid w:val="008D42F9"/>
    <w:rsid w:val="008D44F5"/>
    <w:rsid w:val="008D5056"/>
    <w:rsid w:val="008D5B1B"/>
    <w:rsid w:val="008D65EB"/>
    <w:rsid w:val="008D7A7A"/>
    <w:rsid w:val="008E33B7"/>
    <w:rsid w:val="008E4985"/>
    <w:rsid w:val="008F0657"/>
    <w:rsid w:val="008F3563"/>
    <w:rsid w:val="008F5D11"/>
    <w:rsid w:val="008F6793"/>
    <w:rsid w:val="008F7845"/>
    <w:rsid w:val="009010E9"/>
    <w:rsid w:val="00902615"/>
    <w:rsid w:val="009031B5"/>
    <w:rsid w:val="009040C6"/>
    <w:rsid w:val="00904474"/>
    <w:rsid w:val="00904FB3"/>
    <w:rsid w:val="00912AB2"/>
    <w:rsid w:val="00922B68"/>
    <w:rsid w:val="009247B2"/>
    <w:rsid w:val="00930EA4"/>
    <w:rsid w:val="009315DF"/>
    <w:rsid w:val="009323F7"/>
    <w:rsid w:val="00932CBD"/>
    <w:rsid w:val="009348B8"/>
    <w:rsid w:val="0093774D"/>
    <w:rsid w:val="0094055D"/>
    <w:rsid w:val="0094055E"/>
    <w:rsid w:val="00947A73"/>
    <w:rsid w:val="00953C3B"/>
    <w:rsid w:val="0096131E"/>
    <w:rsid w:val="00966799"/>
    <w:rsid w:val="0097360A"/>
    <w:rsid w:val="00973E18"/>
    <w:rsid w:val="009802F4"/>
    <w:rsid w:val="00981F3A"/>
    <w:rsid w:val="0098247C"/>
    <w:rsid w:val="00985A50"/>
    <w:rsid w:val="00990EFD"/>
    <w:rsid w:val="009930E3"/>
    <w:rsid w:val="00993641"/>
    <w:rsid w:val="009A785E"/>
    <w:rsid w:val="009A7952"/>
    <w:rsid w:val="009B2725"/>
    <w:rsid w:val="009B35DB"/>
    <w:rsid w:val="009B5EA9"/>
    <w:rsid w:val="009B7A40"/>
    <w:rsid w:val="009B7AF4"/>
    <w:rsid w:val="009B7E5D"/>
    <w:rsid w:val="009C5699"/>
    <w:rsid w:val="009C74BC"/>
    <w:rsid w:val="009D434D"/>
    <w:rsid w:val="009D4BBE"/>
    <w:rsid w:val="009E15EE"/>
    <w:rsid w:val="009E6058"/>
    <w:rsid w:val="009E6D4F"/>
    <w:rsid w:val="009E6EEE"/>
    <w:rsid w:val="009F4AF4"/>
    <w:rsid w:val="00A00FB2"/>
    <w:rsid w:val="00A0507E"/>
    <w:rsid w:val="00A06719"/>
    <w:rsid w:val="00A06D77"/>
    <w:rsid w:val="00A22C96"/>
    <w:rsid w:val="00A22DBB"/>
    <w:rsid w:val="00A23643"/>
    <w:rsid w:val="00A24ED7"/>
    <w:rsid w:val="00A264D0"/>
    <w:rsid w:val="00A36F67"/>
    <w:rsid w:val="00A37EBB"/>
    <w:rsid w:val="00A4285E"/>
    <w:rsid w:val="00A43E77"/>
    <w:rsid w:val="00A446A9"/>
    <w:rsid w:val="00A515FC"/>
    <w:rsid w:val="00A52646"/>
    <w:rsid w:val="00A53B80"/>
    <w:rsid w:val="00A55B47"/>
    <w:rsid w:val="00A57154"/>
    <w:rsid w:val="00A600F8"/>
    <w:rsid w:val="00A61887"/>
    <w:rsid w:val="00A73CFA"/>
    <w:rsid w:val="00A7495A"/>
    <w:rsid w:val="00A75D5C"/>
    <w:rsid w:val="00A76D38"/>
    <w:rsid w:val="00A8098A"/>
    <w:rsid w:val="00A83C04"/>
    <w:rsid w:val="00A84B7C"/>
    <w:rsid w:val="00A853D5"/>
    <w:rsid w:val="00A8712B"/>
    <w:rsid w:val="00A92ADE"/>
    <w:rsid w:val="00A936FE"/>
    <w:rsid w:val="00A951BA"/>
    <w:rsid w:val="00A96B54"/>
    <w:rsid w:val="00AA2434"/>
    <w:rsid w:val="00AA2504"/>
    <w:rsid w:val="00AA4470"/>
    <w:rsid w:val="00AA5B15"/>
    <w:rsid w:val="00AA7099"/>
    <w:rsid w:val="00AB67C2"/>
    <w:rsid w:val="00AC6C8E"/>
    <w:rsid w:val="00AD261D"/>
    <w:rsid w:val="00AD6652"/>
    <w:rsid w:val="00AD75CD"/>
    <w:rsid w:val="00AE0BB2"/>
    <w:rsid w:val="00AE3FA9"/>
    <w:rsid w:val="00AE526B"/>
    <w:rsid w:val="00AE5FD5"/>
    <w:rsid w:val="00AE76AE"/>
    <w:rsid w:val="00AF1333"/>
    <w:rsid w:val="00AF5490"/>
    <w:rsid w:val="00AF5FE0"/>
    <w:rsid w:val="00B1008F"/>
    <w:rsid w:val="00B12719"/>
    <w:rsid w:val="00B16D2C"/>
    <w:rsid w:val="00B205DD"/>
    <w:rsid w:val="00B206BF"/>
    <w:rsid w:val="00B2391F"/>
    <w:rsid w:val="00B24E03"/>
    <w:rsid w:val="00B26500"/>
    <w:rsid w:val="00B272C4"/>
    <w:rsid w:val="00B30103"/>
    <w:rsid w:val="00B32DAC"/>
    <w:rsid w:val="00B33162"/>
    <w:rsid w:val="00B33A3E"/>
    <w:rsid w:val="00B35689"/>
    <w:rsid w:val="00B35F8D"/>
    <w:rsid w:val="00B423F0"/>
    <w:rsid w:val="00B5005B"/>
    <w:rsid w:val="00B5040D"/>
    <w:rsid w:val="00B51476"/>
    <w:rsid w:val="00B532C8"/>
    <w:rsid w:val="00B559D4"/>
    <w:rsid w:val="00B55A3D"/>
    <w:rsid w:val="00B56176"/>
    <w:rsid w:val="00B5707F"/>
    <w:rsid w:val="00B57B4F"/>
    <w:rsid w:val="00B62832"/>
    <w:rsid w:val="00B64FB9"/>
    <w:rsid w:val="00B74C81"/>
    <w:rsid w:val="00B816FD"/>
    <w:rsid w:val="00B836FA"/>
    <w:rsid w:val="00B83D22"/>
    <w:rsid w:val="00B85E90"/>
    <w:rsid w:val="00B860E8"/>
    <w:rsid w:val="00B9122A"/>
    <w:rsid w:val="00B91BAA"/>
    <w:rsid w:val="00B92F40"/>
    <w:rsid w:val="00B9526A"/>
    <w:rsid w:val="00B97577"/>
    <w:rsid w:val="00BA11CF"/>
    <w:rsid w:val="00BA6996"/>
    <w:rsid w:val="00BB09AD"/>
    <w:rsid w:val="00BB16BD"/>
    <w:rsid w:val="00BB4BE8"/>
    <w:rsid w:val="00BB7B75"/>
    <w:rsid w:val="00BC2EAC"/>
    <w:rsid w:val="00BC6B56"/>
    <w:rsid w:val="00BD09E7"/>
    <w:rsid w:val="00BD236B"/>
    <w:rsid w:val="00BD510C"/>
    <w:rsid w:val="00BE22E1"/>
    <w:rsid w:val="00BE29BC"/>
    <w:rsid w:val="00BE4A1E"/>
    <w:rsid w:val="00BF1E53"/>
    <w:rsid w:val="00BF37AE"/>
    <w:rsid w:val="00BF42E7"/>
    <w:rsid w:val="00BF515F"/>
    <w:rsid w:val="00BF5C65"/>
    <w:rsid w:val="00BF6F6F"/>
    <w:rsid w:val="00C000A3"/>
    <w:rsid w:val="00C00713"/>
    <w:rsid w:val="00C06056"/>
    <w:rsid w:val="00C06DF0"/>
    <w:rsid w:val="00C07602"/>
    <w:rsid w:val="00C106A6"/>
    <w:rsid w:val="00C13470"/>
    <w:rsid w:val="00C13A35"/>
    <w:rsid w:val="00C178C5"/>
    <w:rsid w:val="00C21B1A"/>
    <w:rsid w:val="00C22036"/>
    <w:rsid w:val="00C2319D"/>
    <w:rsid w:val="00C25C1B"/>
    <w:rsid w:val="00C25DED"/>
    <w:rsid w:val="00C3067E"/>
    <w:rsid w:val="00C348CD"/>
    <w:rsid w:val="00C35320"/>
    <w:rsid w:val="00C36A5A"/>
    <w:rsid w:val="00C40FF3"/>
    <w:rsid w:val="00C4117B"/>
    <w:rsid w:val="00C417B0"/>
    <w:rsid w:val="00C554F6"/>
    <w:rsid w:val="00C55833"/>
    <w:rsid w:val="00C57666"/>
    <w:rsid w:val="00C57941"/>
    <w:rsid w:val="00C732E0"/>
    <w:rsid w:val="00C80C3F"/>
    <w:rsid w:val="00C80D1E"/>
    <w:rsid w:val="00C907C2"/>
    <w:rsid w:val="00C91359"/>
    <w:rsid w:val="00C92E33"/>
    <w:rsid w:val="00C95D26"/>
    <w:rsid w:val="00CA14EB"/>
    <w:rsid w:val="00CA1EE6"/>
    <w:rsid w:val="00CB0C22"/>
    <w:rsid w:val="00CB2B8D"/>
    <w:rsid w:val="00CC15EB"/>
    <w:rsid w:val="00CC396E"/>
    <w:rsid w:val="00CC54D1"/>
    <w:rsid w:val="00CD08AE"/>
    <w:rsid w:val="00CD21DC"/>
    <w:rsid w:val="00CD5193"/>
    <w:rsid w:val="00CD6E5E"/>
    <w:rsid w:val="00CE2209"/>
    <w:rsid w:val="00CF42CA"/>
    <w:rsid w:val="00D02545"/>
    <w:rsid w:val="00D02F0E"/>
    <w:rsid w:val="00D03856"/>
    <w:rsid w:val="00D21067"/>
    <w:rsid w:val="00D274EF"/>
    <w:rsid w:val="00D31AA8"/>
    <w:rsid w:val="00D40030"/>
    <w:rsid w:val="00D4141E"/>
    <w:rsid w:val="00D43CB4"/>
    <w:rsid w:val="00D45269"/>
    <w:rsid w:val="00D50113"/>
    <w:rsid w:val="00D50878"/>
    <w:rsid w:val="00D52299"/>
    <w:rsid w:val="00D6018E"/>
    <w:rsid w:val="00D611E7"/>
    <w:rsid w:val="00D64990"/>
    <w:rsid w:val="00D663D1"/>
    <w:rsid w:val="00D82DB7"/>
    <w:rsid w:val="00D83BE0"/>
    <w:rsid w:val="00D8686D"/>
    <w:rsid w:val="00D91D7A"/>
    <w:rsid w:val="00D93B35"/>
    <w:rsid w:val="00D94A6B"/>
    <w:rsid w:val="00D962B8"/>
    <w:rsid w:val="00D969B6"/>
    <w:rsid w:val="00DA5852"/>
    <w:rsid w:val="00DA58C4"/>
    <w:rsid w:val="00DB16CB"/>
    <w:rsid w:val="00DB239B"/>
    <w:rsid w:val="00DB27FD"/>
    <w:rsid w:val="00DB6E77"/>
    <w:rsid w:val="00DB7DE7"/>
    <w:rsid w:val="00DC5E7D"/>
    <w:rsid w:val="00DD0776"/>
    <w:rsid w:val="00DD1C10"/>
    <w:rsid w:val="00DD6AD5"/>
    <w:rsid w:val="00DD705D"/>
    <w:rsid w:val="00DE1AA4"/>
    <w:rsid w:val="00DE530D"/>
    <w:rsid w:val="00DE58B3"/>
    <w:rsid w:val="00DE6C42"/>
    <w:rsid w:val="00DF65C8"/>
    <w:rsid w:val="00DF77E4"/>
    <w:rsid w:val="00E0128C"/>
    <w:rsid w:val="00E02A57"/>
    <w:rsid w:val="00E06045"/>
    <w:rsid w:val="00E061D2"/>
    <w:rsid w:val="00E22AC7"/>
    <w:rsid w:val="00E252DB"/>
    <w:rsid w:val="00E2624E"/>
    <w:rsid w:val="00E40A24"/>
    <w:rsid w:val="00E43090"/>
    <w:rsid w:val="00E4490C"/>
    <w:rsid w:val="00E47195"/>
    <w:rsid w:val="00E502B4"/>
    <w:rsid w:val="00E50C65"/>
    <w:rsid w:val="00E55C86"/>
    <w:rsid w:val="00E644BE"/>
    <w:rsid w:val="00E7143C"/>
    <w:rsid w:val="00E73D92"/>
    <w:rsid w:val="00E811E8"/>
    <w:rsid w:val="00E83579"/>
    <w:rsid w:val="00E9712D"/>
    <w:rsid w:val="00EA047C"/>
    <w:rsid w:val="00EA0B42"/>
    <w:rsid w:val="00EA0E93"/>
    <w:rsid w:val="00EB1FD7"/>
    <w:rsid w:val="00EB51F4"/>
    <w:rsid w:val="00EB665E"/>
    <w:rsid w:val="00EC035C"/>
    <w:rsid w:val="00EC060B"/>
    <w:rsid w:val="00EC0707"/>
    <w:rsid w:val="00EC79F0"/>
    <w:rsid w:val="00EC7F59"/>
    <w:rsid w:val="00ED2CE1"/>
    <w:rsid w:val="00EE0C56"/>
    <w:rsid w:val="00EE4A41"/>
    <w:rsid w:val="00EF3DA1"/>
    <w:rsid w:val="00F028EF"/>
    <w:rsid w:val="00F05FAA"/>
    <w:rsid w:val="00F06EF5"/>
    <w:rsid w:val="00F13610"/>
    <w:rsid w:val="00F16A8F"/>
    <w:rsid w:val="00F25DBB"/>
    <w:rsid w:val="00F262B3"/>
    <w:rsid w:val="00F27D2F"/>
    <w:rsid w:val="00F3163C"/>
    <w:rsid w:val="00F33A44"/>
    <w:rsid w:val="00F3529F"/>
    <w:rsid w:val="00F358EB"/>
    <w:rsid w:val="00F374B9"/>
    <w:rsid w:val="00F518AC"/>
    <w:rsid w:val="00F5656C"/>
    <w:rsid w:val="00F56D05"/>
    <w:rsid w:val="00F57DA7"/>
    <w:rsid w:val="00F614A1"/>
    <w:rsid w:val="00F72B35"/>
    <w:rsid w:val="00F7333C"/>
    <w:rsid w:val="00F77600"/>
    <w:rsid w:val="00F82692"/>
    <w:rsid w:val="00F84C40"/>
    <w:rsid w:val="00F873D2"/>
    <w:rsid w:val="00F9088B"/>
    <w:rsid w:val="00F92446"/>
    <w:rsid w:val="00F94D4C"/>
    <w:rsid w:val="00F95274"/>
    <w:rsid w:val="00F97F2C"/>
    <w:rsid w:val="00FA2C08"/>
    <w:rsid w:val="00FA3709"/>
    <w:rsid w:val="00FA623B"/>
    <w:rsid w:val="00FA7985"/>
    <w:rsid w:val="00FB1A7A"/>
    <w:rsid w:val="00FB2A61"/>
    <w:rsid w:val="00FB4BC6"/>
    <w:rsid w:val="00FC38E1"/>
    <w:rsid w:val="00FC7A98"/>
    <w:rsid w:val="00FD0AB7"/>
    <w:rsid w:val="00FD481C"/>
    <w:rsid w:val="00FE1AD3"/>
    <w:rsid w:val="00FE2C20"/>
    <w:rsid w:val="00FE5512"/>
    <w:rsid w:val="00FE594C"/>
    <w:rsid w:val="00FE6C20"/>
    <w:rsid w:val="00FF4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55B58B4-15E1-234D-B246-1286807C3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378E5"/>
    <w:rPr>
      <w:rFonts w:ascii="宋体" w:eastAsia="宋体" w:hAnsi="宋体" w:cs="宋体"/>
      <w:kern w:val="0"/>
      <w:sz w:val="24"/>
    </w:rPr>
  </w:style>
  <w:style w:type="paragraph" w:styleId="3">
    <w:name w:val="heading 3"/>
    <w:basedOn w:val="a"/>
    <w:link w:val="30"/>
    <w:uiPriority w:val="9"/>
    <w:qFormat/>
    <w:rsid w:val="00D43CB4"/>
    <w:pPr>
      <w:spacing w:before="100" w:beforeAutospacing="1" w:after="100" w:afterAutospacing="1"/>
      <w:outlineLvl w:val="2"/>
    </w:pPr>
    <w:rPr>
      <w:b/>
      <w:bCs/>
      <w:sz w:val="27"/>
      <w:szCs w:val="27"/>
    </w:rPr>
  </w:style>
  <w:style w:type="paragraph" w:styleId="6">
    <w:name w:val="heading 6"/>
    <w:basedOn w:val="a"/>
    <w:next w:val="a"/>
    <w:link w:val="60"/>
    <w:uiPriority w:val="9"/>
    <w:unhideWhenUsed/>
    <w:qFormat/>
    <w:rsid w:val="00D43CB4"/>
    <w:pPr>
      <w:keepNext/>
      <w:keepLines/>
      <w:widowControl w:val="0"/>
      <w:spacing w:before="240" w:after="64" w:line="320" w:lineRule="auto"/>
      <w:jc w:val="both"/>
      <w:outlineLvl w:val="5"/>
    </w:pPr>
    <w:rPr>
      <w:rFonts w:asciiTheme="majorHAnsi" w:eastAsiaTheme="majorEastAsia" w:hAnsiTheme="majorHAnsi" w:cstheme="majorBidi"/>
      <w:b/>
      <w:bCs/>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16EF"/>
    <w:pPr>
      <w:widowControl w:val="0"/>
      <w:ind w:firstLineChars="200" w:firstLine="420"/>
      <w:jc w:val="both"/>
    </w:pPr>
    <w:rPr>
      <w:rFonts w:asciiTheme="minorHAnsi" w:eastAsiaTheme="minorEastAsia" w:hAnsiTheme="minorHAnsi" w:cstheme="minorBidi"/>
      <w:kern w:val="2"/>
      <w:sz w:val="21"/>
    </w:rPr>
  </w:style>
  <w:style w:type="paragraph" w:customStyle="1" w:styleId="ds-markdown-paragraph">
    <w:name w:val="ds-markdown-paragraph"/>
    <w:basedOn w:val="a"/>
    <w:rsid w:val="006E16EF"/>
    <w:pPr>
      <w:spacing w:before="100" w:beforeAutospacing="1" w:after="100" w:afterAutospacing="1"/>
    </w:pPr>
  </w:style>
  <w:style w:type="paragraph" w:styleId="a4">
    <w:name w:val="Normal (Web)"/>
    <w:basedOn w:val="a"/>
    <w:uiPriority w:val="99"/>
    <w:semiHidden/>
    <w:unhideWhenUsed/>
    <w:rsid w:val="006E16EF"/>
    <w:pPr>
      <w:spacing w:before="100" w:beforeAutospacing="1" w:after="100" w:afterAutospacing="1"/>
    </w:pPr>
  </w:style>
  <w:style w:type="character" w:styleId="a5">
    <w:name w:val="Strong"/>
    <w:basedOn w:val="a0"/>
    <w:uiPriority w:val="22"/>
    <w:qFormat/>
    <w:rsid w:val="006E16EF"/>
    <w:rPr>
      <w:b/>
      <w:bCs/>
    </w:rPr>
  </w:style>
  <w:style w:type="character" w:styleId="a6">
    <w:name w:val="Emphasis"/>
    <w:basedOn w:val="a0"/>
    <w:uiPriority w:val="20"/>
    <w:qFormat/>
    <w:rsid w:val="006E16EF"/>
    <w:rPr>
      <w:i/>
      <w:iCs/>
    </w:rPr>
  </w:style>
  <w:style w:type="character" w:customStyle="1" w:styleId="30">
    <w:name w:val="标题 3 字符"/>
    <w:basedOn w:val="a0"/>
    <w:link w:val="3"/>
    <w:uiPriority w:val="9"/>
    <w:rsid w:val="00D43CB4"/>
    <w:rPr>
      <w:rFonts w:ascii="宋体" w:eastAsia="宋体" w:hAnsi="宋体" w:cs="宋体"/>
      <w:b/>
      <w:bCs/>
      <w:kern w:val="0"/>
      <w:sz w:val="27"/>
      <w:szCs w:val="27"/>
    </w:rPr>
  </w:style>
  <w:style w:type="character" w:customStyle="1" w:styleId="60">
    <w:name w:val="标题 6 字符"/>
    <w:basedOn w:val="a0"/>
    <w:link w:val="6"/>
    <w:uiPriority w:val="9"/>
    <w:rsid w:val="00D43CB4"/>
    <w:rPr>
      <w:rFonts w:asciiTheme="majorHAnsi" w:eastAsiaTheme="majorEastAsia" w:hAnsiTheme="majorHAnsi" w:cstheme="majorBidi"/>
      <w:b/>
      <w:bCs/>
      <w:sz w:val="24"/>
    </w:rPr>
  </w:style>
  <w:style w:type="character" w:styleId="a7">
    <w:name w:val="Hyperlink"/>
    <w:basedOn w:val="a0"/>
    <w:uiPriority w:val="99"/>
    <w:unhideWhenUsed/>
    <w:rsid w:val="00D43CB4"/>
    <w:rPr>
      <w:color w:val="0563C1" w:themeColor="hyperlink"/>
      <w:u w:val="single"/>
    </w:rPr>
  </w:style>
  <w:style w:type="character" w:styleId="a8">
    <w:name w:val="Unresolved Mention"/>
    <w:basedOn w:val="a0"/>
    <w:uiPriority w:val="99"/>
    <w:semiHidden/>
    <w:unhideWhenUsed/>
    <w:rsid w:val="00D43CB4"/>
    <w:rPr>
      <w:color w:val="605E5C"/>
      <w:shd w:val="clear" w:color="auto" w:fill="E1DFDD"/>
    </w:rPr>
  </w:style>
  <w:style w:type="table" w:styleId="a9">
    <w:name w:val="Table Grid"/>
    <w:basedOn w:val="a1"/>
    <w:uiPriority w:val="39"/>
    <w:rsid w:val="00D43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2719"/>
    <w:rPr>
      <w:sz w:val="18"/>
      <w:szCs w:val="18"/>
    </w:rPr>
  </w:style>
  <w:style w:type="character" w:customStyle="1" w:styleId="ab">
    <w:name w:val="批注框文本 字符"/>
    <w:basedOn w:val="a0"/>
    <w:link w:val="aa"/>
    <w:uiPriority w:val="99"/>
    <w:semiHidden/>
    <w:rsid w:val="00B12719"/>
    <w:rPr>
      <w:rFonts w:ascii="宋体" w:eastAsia="宋体" w:hAnsi="宋体" w:cs="宋体"/>
      <w:kern w:val="0"/>
      <w:sz w:val="18"/>
      <w:szCs w:val="18"/>
    </w:rPr>
  </w:style>
  <w:style w:type="paragraph" w:customStyle="1" w:styleId="EndNoteBibliographyTitle">
    <w:name w:val="EndNote Bibliography Title"/>
    <w:basedOn w:val="a"/>
    <w:link w:val="EndNoteBibliographyTitle0"/>
    <w:rsid w:val="00793B14"/>
    <w:pPr>
      <w:jc w:val="center"/>
    </w:pPr>
  </w:style>
  <w:style w:type="character" w:customStyle="1" w:styleId="EndNoteBibliographyTitle0">
    <w:name w:val="EndNote Bibliography Title 字符"/>
    <w:basedOn w:val="a0"/>
    <w:link w:val="EndNoteBibliographyTitle"/>
    <w:rsid w:val="00793B14"/>
    <w:rPr>
      <w:rFonts w:ascii="宋体" w:eastAsia="宋体" w:hAnsi="宋体" w:cs="宋体"/>
      <w:kern w:val="0"/>
      <w:sz w:val="24"/>
    </w:rPr>
  </w:style>
  <w:style w:type="paragraph" w:customStyle="1" w:styleId="EndNoteBibliography">
    <w:name w:val="EndNote Bibliography"/>
    <w:basedOn w:val="a"/>
    <w:link w:val="EndNoteBibliography0"/>
    <w:rsid w:val="00793B14"/>
    <w:pPr>
      <w:jc w:val="both"/>
    </w:pPr>
  </w:style>
  <w:style w:type="character" w:customStyle="1" w:styleId="EndNoteBibliography0">
    <w:name w:val="EndNote Bibliography 字符"/>
    <w:basedOn w:val="a0"/>
    <w:link w:val="EndNoteBibliography"/>
    <w:rsid w:val="00793B14"/>
    <w:rPr>
      <w:rFonts w:ascii="宋体" w:eastAsia="宋体" w:hAnsi="宋体" w:cs="宋体"/>
      <w:kern w:val="0"/>
      <w:sz w:val="24"/>
    </w:rPr>
  </w:style>
  <w:style w:type="character" w:styleId="ac">
    <w:name w:val="FollowedHyperlink"/>
    <w:basedOn w:val="a0"/>
    <w:uiPriority w:val="99"/>
    <w:semiHidden/>
    <w:unhideWhenUsed/>
    <w:rsid w:val="000B25D1"/>
    <w:rPr>
      <w:color w:val="954F72" w:themeColor="followedHyperlink"/>
      <w:u w:val="single"/>
    </w:rPr>
  </w:style>
  <w:style w:type="paragraph" w:styleId="ad">
    <w:name w:val="header"/>
    <w:basedOn w:val="a"/>
    <w:link w:val="ae"/>
    <w:uiPriority w:val="99"/>
    <w:unhideWhenUsed/>
    <w:rsid w:val="008503E0"/>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sid w:val="008503E0"/>
    <w:rPr>
      <w:rFonts w:ascii="宋体" w:eastAsia="宋体" w:hAnsi="宋体" w:cs="宋体"/>
      <w:kern w:val="0"/>
      <w:sz w:val="18"/>
      <w:szCs w:val="18"/>
    </w:rPr>
  </w:style>
  <w:style w:type="paragraph" w:styleId="af">
    <w:name w:val="footer"/>
    <w:basedOn w:val="a"/>
    <w:link w:val="af0"/>
    <w:uiPriority w:val="99"/>
    <w:unhideWhenUsed/>
    <w:rsid w:val="008503E0"/>
    <w:pPr>
      <w:tabs>
        <w:tab w:val="center" w:pos="4153"/>
        <w:tab w:val="right" w:pos="8306"/>
      </w:tabs>
      <w:snapToGrid w:val="0"/>
    </w:pPr>
    <w:rPr>
      <w:sz w:val="18"/>
      <w:szCs w:val="18"/>
    </w:rPr>
  </w:style>
  <w:style w:type="character" w:customStyle="1" w:styleId="af0">
    <w:name w:val="页脚 字符"/>
    <w:basedOn w:val="a0"/>
    <w:link w:val="af"/>
    <w:uiPriority w:val="99"/>
    <w:rsid w:val="008503E0"/>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9197">
      <w:bodyDiv w:val="1"/>
      <w:marLeft w:val="0"/>
      <w:marRight w:val="0"/>
      <w:marTop w:val="0"/>
      <w:marBottom w:val="0"/>
      <w:divBdr>
        <w:top w:val="none" w:sz="0" w:space="0" w:color="auto"/>
        <w:left w:val="none" w:sz="0" w:space="0" w:color="auto"/>
        <w:bottom w:val="none" w:sz="0" w:space="0" w:color="auto"/>
        <w:right w:val="none" w:sz="0" w:space="0" w:color="auto"/>
      </w:divBdr>
      <w:divsChild>
        <w:div w:id="759375918">
          <w:marLeft w:val="0"/>
          <w:marRight w:val="0"/>
          <w:marTop w:val="0"/>
          <w:marBottom w:val="0"/>
          <w:divBdr>
            <w:top w:val="none" w:sz="0" w:space="0" w:color="auto"/>
            <w:left w:val="none" w:sz="0" w:space="0" w:color="auto"/>
            <w:bottom w:val="none" w:sz="0" w:space="0" w:color="auto"/>
            <w:right w:val="none" w:sz="0" w:space="0" w:color="auto"/>
          </w:divBdr>
          <w:divsChild>
            <w:div w:id="169874848">
              <w:marLeft w:val="0"/>
              <w:marRight w:val="0"/>
              <w:marTop w:val="0"/>
              <w:marBottom w:val="0"/>
              <w:divBdr>
                <w:top w:val="none" w:sz="0" w:space="0" w:color="auto"/>
                <w:left w:val="none" w:sz="0" w:space="0" w:color="auto"/>
                <w:bottom w:val="none" w:sz="0" w:space="0" w:color="auto"/>
                <w:right w:val="none" w:sz="0" w:space="0" w:color="auto"/>
              </w:divBdr>
              <w:divsChild>
                <w:div w:id="497042267">
                  <w:marLeft w:val="0"/>
                  <w:marRight w:val="0"/>
                  <w:marTop w:val="0"/>
                  <w:marBottom w:val="0"/>
                  <w:divBdr>
                    <w:top w:val="none" w:sz="0" w:space="0" w:color="auto"/>
                    <w:left w:val="none" w:sz="0" w:space="0" w:color="auto"/>
                    <w:bottom w:val="none" w:sz="0" w:space="0" w:color="auto"/>
                    <w:right w:val="none" w:sz="0" w:space="0" w:color="auto"/>
                  </w:divBdr>
                  <w:divsChild>
                    <w:div w:id="2086146390">
                      <w:marLeft w:val="0"/>
                      <w:marRight w:val="0"/>
                      <w:marTop w:val="0"/>
                      <w:marBottom w:val="0"/>
                      <w:divBdr>
                        <w:top w:val="none" w:sz="0" w:space="0" w:color="auto"/>
                        <w:left w:val="none" w:sz="0" w:space="0" w:color="auto"/>
                        <w:bottom w:val="none" w:sz="0" w:space="0" w:color="auto"/>
                        <w:right w:val="none" w:sz="0" w:space="0" w:color="auto"/>
                      </w:divBdr>
                    </w:div>
                  </w:divsChild>
                </w:div>
                <w:div w:id="816848798">
                  <w:marLeft w:val="0"/>
                  <w:marRight w:val="0"/>
                  <w:marTop w:val="0"/>
                  <w:marBottom w:val="0"/>
                  <w:divBdr>
                    <w:top w:val="none" w:sz="0" w:space="0" w:color="auto"/>
                    <w:left w:val="none" w:sz="0" w:space="0" w:color="auto"/>
                    <w:bottom w:val="none" w:sz="0" w:space="0" w:color="auto"/>
                    <w:right w:val="none" w:sz="0" w:space="0" w:color="auto"/>
                  </w:divBdr>
                  <w:divsChild>
                    <w:div w:id="48139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91271">
      <w:bodyDiv w:val="1"/>
      <w:marLeft w:val="0"/>
      <w:marRight w:val="0"/>
      <w:marTop w:val="0"/>
      <w:marBottom w:val="0"/>
      <w:divBdr>
        <w:top w:val="none" w:sz="0" w:space="0" w:color="auto"/>
        <w:left w:val="none" w:sz="0" w:space="0" w:color="auto"/>
        <w:bottom w:val="none" w:sz="0" w:space="0" w:color="auto"/>
        <w:right w:val="none" w:sz="0" w:space="0" w:color="auto"/>
      </w:divBdr>
    </w:div>
    <w:div w:id="121926028">
      <w:bodyDiv w:val="1"/>
      <w:marLeft w:val="0"/>
      <w:marRight w:val="0"/>
      <w:marTop w:val="0"/>
      <w:marBottom w:val="0"/>
      <w:divBdr>
        <w:top w:val="none" w:sz="0" w:space="0" w:color="auto"/>
        <w:left w:val="none" w:sz="0" w:space="0" w:color="auto"/>
        <w:bottom w:val="none" w:sz="0" w:space="0" w:color="auto"/>
        <w:right w:val="none" w:sz="0" w:space="0" w:color="auto"/>
      </w:divBdr>
    </w:div>
    <w:div w:id="146094420">
      <w:bodyDiv w:val="1"/>
      <w:marLeft w:val="0"/>
      <w:marRight w:val="0"/>
      <w:marTop w:val="0"/>
      <w:marBottom w:val="0"/>
      <w:divBdr>
        <w:top w:val="none" w:sz="0" w:space="0" w:color="auto"/>
        <w:left w:val="none" w:sz="0" w:space="0" w:color="auto"/>
        <w:bottom w:val="none" w:sz="0" w:space="0" w:color="auto"/>
        <w:right w:val="none" w:sz="0" w:space="0" w:color="auto"/>
      </w:divBdr>
    </w:div>
    <w:div w:id="218327094">
      <w:bodyDiv w:val="1"/>
      <w:marLeft w:val="0"/>
      <w:marRight w:val="0"/>
      <w:marTop w:val="0"/>
      <w:marBottom w:val="0"/>
      <w:divBdr>
        <w:top w:val="none" w:sz="0" w:space="0" w:color="auto"/>
        <w:left w:val="none" w:sz="0" w:space="0" w:color="auto"/>
        <w:bottom w:val="none" w:sz="0" w:space="0" w:color="auto"/>
        <w:right w:val="none" w:sz="0" w:space="0" w:color="auto"/>
      </w:divBdr>
    </w:div>
    <w:div w:id="354431261">
      <w:bodyDiv w:val="1"/>
      <w:marLeft w:val="0"/>
      <w:marRight w:val="0"/>
      <w:marTop w:val="0"/>
      <w:marBottom w:val="0"/>
      <w:divBdr>
        <w:top w:val="none" w:sz="0" w:space="0" w:color="auto"/>
        <w:left w:val="none" w:sz="0" w:space="0" w:color="auto"/>
        <w:bottom w:val="none" w:sz="0" w:space="0" w:color="auto"/>
        <w:right w:val="none" w:sz="0" w:space="0" w:color="auto"/>
      </w:divBdr>
    </w:div>
    <w:div w:id="383604847">
      <w:bodyDiv w:val="1"/>
      <w:marLeft w:val="0"/>
      <w:marRight w:val="0"/>
      <w:marTop w:val="0"/>
      <w:marBottom w:val="0"/>
      <w:divBdr>
        <w:top w:val="none" w:sz="0" w:space="0" w:color="auto"/>
        <w:left w:val="none" w:sz="0" w:space="0" w:color="auto"/>
        <w:bottom w:val="none" w:sz="0" w:space="0" w:color="auto"/>
        <w:right w:val="none" w:sz="0" w:space="0" w:color="auto"/>
      </w:divBdr>
    </w:div>
    <w:div w:id="391849489">
      <w:bodyDiv w:val="1"/>
      <w:marLeft w:val="0"/>
      <w:marRight w:val="0"/>
      <w:marTop w:val="0"/>
      <w:marBottom w:val="0"/>
      <w:divBdr>
        <w:top w:val="none" w:sz="0" w:space="0" w:color="auto"/>
        <w:left w:val="none" w:sz="0" w:space="0" w:color="auto"/>
        <w:bottom w:val="none" w:sz="0" w:space="0" w:color="auto"/>
        <w:right w:val="none" w:sz="0" w:space="0" w:color="auto"/>
      </w:divBdr>
    </w:div>
    <w:div w:id="471022311">
      <w:bodyDiv w:val="1"/>
      <w:marLeft w:val="0"/>
      <w:marRight w:val="0"/>
      <w:marTop w:val="0"/>
      <w:marBottom w:val="0"/>
      <w:divBdr>
        <w:top w:val="none" w:sz="0" w:space="0" w:color="auto"/>
        <w:left w:val="none" w:sz="0" w:space="0" w:color="auto"/>
        <w:bottom w:val="none" w:sz="0" w:space="0" w:color="auto"/>
        <w:right w:val="none" w:sz="0" w:space="0" w:color="auto"/>
      </w:divBdr>
    </w:div>
    <w:div w:id="480392969">
      <w:bodyDiv w:val="1"/>
      <w:marLeft w:val="0"/>
      <w:marRight w:val="0"/>
      <w:marTop w:val="0"/>
      <w:marBottom w:val="0"/>
      <w:divBdr>
        <w:top w:val="none" w:sz="0" w:space="0" w:color="auto"/>
        <w:left w:val="none" w:sz="0" w:space="0" w:color="auto"/>
        <w:bottom w:val="none" w:sz="0" w:space="0" w:color="auto"/>
        <w:right w:val="none" w:sz="0" w:space="0" w:color="auto"/>
      </w:divBdr>
    </w:div>
    <w:div w:id="511575284">
      <w:bodyDiv w:val="1"/>
      <w:marLeft w:val="0"/>
      <w:marRight w:val="0"/>
      <w:marTop w:val="0"/>
      <w:marBottom w:val="0"/>
      <w:divBdr>
        <w:top w:val="none" w:sz="0" w:space="0" w:color="auto"/>
        <w:left w:val="none" w:sz="0" w:space="0" w:color="auto"/>
        <w:bottom w:val="none" w:sz="0" w:space="0" w:color="auto"/>
        <w:right w:val="none" w:sz="0" w:space="0" w:color="auto"/>
      </w:divBdr>
    </w:div>
    <w:div w:id="517277973">
      <w:bodyDiv w:val="1"/>
      <w:marLeft w:val="0"/>
      <w:marRight w:val="0"/>
      <w:marTop w:val="0"/>
      <w:marBottom w:val="0"/>
      <w:divBdr>
        <w:top w:val="none" w:sz="0" w:space="0" w:color="auto"/>
        <w:left w:val="none" w:sz="0" w:space="0" w:color="auto"/>
        <w:bottom w:val="none" w:sz="0" w:space="0" w:color="auto"/>
        <w:right w:val="none" w:sz="0" w:space="0" w:color="auto"/>
      </w:divBdr>
    </w:div>
    <w:div w:id="535434790">
      <w:bodyDiv w:val="1"/>
      <w:marLeft w:val="0"/>
      <w:marRight w:val="0"/>
      <w:marTop w:val="0"/>
      <w:marBottom w:val="0"/>
      <w:divBdr>
        <w:top w:val="none" w:sz="0" w:space="0" w:color="auto"/>
        <w:left w:val="none" w:sz="0" w:space="0" w:color="auto"/>
        <w:bottom w:val="none" w:sz="0" w:space="0" w:color="auto"/>
        <w:right w:val="none" w:sz="0" w:space="0" w:color="auto"/>
      </w:divBdr>
    </w:div>
    <w:div w:id="602802643">
      <w:bodyDiv w:val="1"/>
      <w:marLeft w:val="0"/>
      <w:marRight w:val="0"/>
      <w:marTop w:val="0"/>
      <w:marBottom w:val="0"/>
      <w:divBdr>
        <w:top w:val="none" w:sz="0" w:space="0" w:color="auto"/>
        <w:left w:val="none" w:sz="0" w:space="0" w:color="auto"/>
        <w:bottom w:val="none" w:sz="0" w:space="0" w:color="auto"/>
        <w:right w:val="none" w:sz="0" w:space="0" w:color="auto"/>
      </w:divBdr>
    </w:div>
    <w:div w:id="617877295">
      <w:bodyDiv w:val="1"/>
      <w:marLeft w:val="0"/>
      <w:marRight w:val="0"/>
      <w:marTop w:val="0"/>
      <w:marBottom w:val="0"/>
      <w:divBdr>
        <w:top w:val="none" w:sz="0" w:space="0" w:color="auto"/>
        <w:left w:val="none" w:sz="0" w:space="0" w:color="auto"/>
        <w:bottom w:val="none" w:sz="0" w:space="0" w:color="auto"/>
        <w:right w:val="none" w:sz="0" w:space="0" w:color="auto"/>
      </w:divBdr>
    </w:div>
    <w:div w:id="632172238">
      <w:bodyDiv w:val="1"/>
      <w:marLeft w:val="0"/>
      <w:marRight w:val="0"/>
      <w:marTop w:val="0"/>
      <w:marBottom w:val="0"/>
      <w:divBdr>
        <w:top w:val="none" w:sz="0" w:space="0" w:color="auto"/>
        <w:left w:val="none" w:sz="0" w:space="0" w:color="auto"/>
        <w:bottom w:val="none" w:sz="0" w:space="0" w:color="auto"/>
        <w:right w:val="none" w:sz="0" w:space="0" w:color="auto"/>
      </w:divBdr>
    </w:div>
    <w:div w:id="645085582">
      <w:bodyDiv w:val="1"/>
      <w:marLeft w:val="0"/>
      <w:marRight w:val="0"/>
      <w:marTop w:val="0"/>
      <w:marBottom w:val="0"/>
      <w:divBdr>
        <w:top w:val="none" w:sz="0" w:space="0" w:color="auto"/>
        <w:left w:val="none" w:sz="0" w:space="0" w:color="auto"/>
        <w:bottom w:val="none" w:sz="0" w:space="0" w:color="auto"/>
        <w:right w:val="none" w:sz="0" w:space="0" w:color="auto"/>
      </w:divBdr>
    </w:div>
    <w:div w:id="875048622">
      <w:bodyDiv w:val="1"/>
      <w:marLeft w:val="0"/>
      <w:marRight w:val="0"/>
      <w:marTop w:val="0"/>
      <w:marBottom w:val="0"/>
      <w:divBdr>
        <w:top w:val="none" w:sz="0" w:space="0" w:color="auto"/>
        <w:left w:val="none" w:sz="0" w:space="0" w:color="auto"/>
        <w:bottom w:val="none" w:sz="0" w:space="0" w:color="auto"/>
        <w:right w:val="none" w:sz="0" w:space="0" w:color="auto"/>
      </w:divBdr>
    </w:div>
    <w:div w:id="878053355">
      <w:bodyDiv w:val="1"/>
      <w:marLeft w:val="0"/>
      <w:marRight w:val="0"/>
      <w:marTop w:val="0"/>
      <w:marBottom w:val="0"/>
      <w:divBdr>
        <w:top w:val="none" w:sz="0" w:space="0" w:color="auto"/>
        <w:left w:val="none" w:sz="0" w:space="0" w:color="auto"/>
        <w:bottom w:val="none" w:sz="0" w:space="0" w:color="auto"/>
        <w:right w:val="none" w:sz="0" w:space="0" w:color="auto"/>
      </w:divBdr>
    </w:div>
    <w:div w:id="895554404">
      <w:bodyDiv w:val="1"/>
      <w:marLeft w:val="0"/>
      <w:marRight w:val="0"/>
      <w:marTop w:val="0"/>
      <w:marBottom w:val="0"/>
      <w:divBdr>
        <w:top w:val="none" w:sz="0" w:space="0" w:color="auto"/>
        <w:left w:val="none" w:sz="0" w:space="0" w:color="auto"/>
        <w:bottom w:val="none" w:sz="0" w:space="0" w:color="auto"/>
        <w:right w:val="none" w:sz="0" w:space="0" w:color="auto"/>
      </w:divBdr>
    </w:div>
    <w:div w:id="909999926">
      <w:bodyDiv w:val="1"/>
      <w:marLeft w:val="0"/>
      <w:marRight w:val="0"/>
      <w:marTop w:val="0"/>
      <w:marBottom w:val="0"/>
      <w:divBdr>
        <w:top w:val="none" w:sz="0" w:space="0" w:color="auto"/>
        <w:left w:val="none" w:sz="0" w:space="0" w:color="auto"/>
        <w:bottom w:val="none" w:sz="0" w:space="0" w:color="auto"/>
        <w:right w:val="none" w:sz="0" w:space="0" w:color="auto"/>
      </w:divBdr>
    </w:div>
    <w:div w:id="980308720">
      <w:bodyDiv w:val="1"/>
      <w:marLeft w:val="0"/>
      <w:marRight w:val="0"/>
      <w:marTop w:val="0"/>
      <w:marBottom w:val="0"/>
      <w:divBdr>
        <w:top w:val="none" w:sz="0" w:space="0" w:color="auto"/>
        <w:left w:val="none" w:sz="0" w:space="0" w:color="auto"/>
        <w:bottom w:val="none" w:sz="0" w:space="0" w:color="auto"/>
        <w:right w:val="none" w:sz="0" w:space="0" w:color="auto"/>
      </w:divBdr>
    </w:div>
    <w:div w:id="996301717">
      <w:bodyDiv w:val="1"/>
      <w:marLeft w:val="0"/>
      <w:marRight w:val="0"/>
      <w:marTop w:val="0"/>
      <w:marBottom w:val="0"/>
      <w:divBdr>
        <w:top w:val="none" w:sz="0" w:space="0" w:color="auto"/>
        <w:left w:val="none" w:sz="0" w:space="0" w:color="auto"/>
        <w:bottom w:val="none" w:sz="0" w:space="0" w:color="auto"/>
        <w:right w:val="none" w:sz="0" w:space="0" w:color="auto"/>
      </w:divBdr>
    </w:div>
    <w:div w:id="1026522976">
      <w:bodyDiv w:val="1"/>
      <w:marLeft w:val="0"/>
      <w:marRight w:val="0"/>
      <w:marTop w:val="0"/>
      <w:marBottom w:val="0"/>
      <w:divBdr>
        <w:top w:val="none" w:sz="0" w:space="0" w:color="auto"/>
        <w:left w:val="none" w:sz="0" w:space="0" w:color="auto"/>
        <w:bottom w:val="none" w:sz="0" w:space="0" w:color="auto"/>
        <w:right w:val="none" w:sz="0" w:space="0" w:color="auto"/>
      </w:divBdr>
    </w:div>
    <w:div w:id="1084380029">
      <w:bodyDiv w:val="1"/>
      <w:marLeft w:val="0"/>
      <w:marRight w:val="0"/>
      <w:marTop w:val="0"/>
      <w:marBottom w:val="0"/>
      <w:divBdr>
        <w:top w:val="none" w:sz="0" w:space="0" w:color="auto"/>
        <w:left w:val="none" w:sz="0" w:space="0" w:color="auto"/>
        <w:bottom w:val="none" w:sz="0" w:space="0" w:color="auto"/>
        <w:right w:val="none" w:sz="0" w:space="0" w:color="auto"/>
      </w:divBdr>
    </w:div>
    <w:div w:id="1090388914">
      <w:bodyDiv w:val="1"/>
      <w:marLeft w:val="0"/>
      <w:marRight w:val="0"/>
      <w:marTop w:val="0"/>
      <w:marBottom w:val="0"/>
      <w:divBdr>
        <w:top w:val="none" w:sz="0" w:space="0" w:color="auto"/>
        <w:left w:val="none" w:sz="0" w:space="0" w:color="auto"/>
        <w:bottom w:val="none" w:sz="0" w:space="0" w:color="auto"/>
        <w:right w:val="none" w:sz="0" w:space="0" w:color="auto"/>
      </w:divBdr>
    </w:div>
    <w:div w:id="1093354825">
      <w:bodyDiv w:val="1"/>
      <w:marLeft w:val="0"/>
      <w:marRight w:val="0"/>
      <w:marTop w:val="0"/>
      <w:marBottom w:val="0"/>
      <w:divBdr>
        <w:top w:val="none" w:sz="0" w:space="0" w:color="auto"/>
        <w:left w:val="none" w:sz="0" w:space="0" w:color="auto"/>
        <w:bottom w:val="none" w:sz="0" w:space="0" w:color="auto"/>
        <w:right w:val="none" w:sz="0" w:space="0" w:color="auto"/>
      </w:divBdr>
    </w:div>
    <w:div w:id="1115176998">
      <w:bodyDiv w:val="1"/>
      <w:marLeft w:val="0"/>
      <w:marRight w:val="0"/>
      <w:marTop w:val="0"/>
      <w:marBottom w:val="0"/>
      <w:divBdr>
        <w:top w:val="none" w:sz="0" w:space="0" w:color="auto"/>
        <w:left w:val="none" w:sz="0" w:space="0" w:color="auto"/>
        <w:bottom w:val="none" w:sz="0" w:space="0" w:color="auto"/>
        <w:right w:val="none" w:sz="0" w:space="0" w:color="auto"/>
      </w:divBdr>
    </w:div>
    <w:div w:id="1153449599">
      <w:bodyDiv w:val="1"/>
      <w:marLeft w:val="0"/>
      <w:marRight w:val="0"/>
      <w:marTop w:val="0"/>
      <w:marBottom w:val="0"/>
      <w:divBdr>
        <w:top w:val="none" w:sz="0" w:space="0" w:color="auto"/>
        <w:left w:val="none" w:sz="0" w:space="0" w:color="auto"/>
        <w:bottom w:val="none" w:sz="0" w:space="0" w:color="auto"/>
        <w:right w:val="none" w:sz="0" w:space="0" w:color="auto"/>
      </w:divBdr>
    </w:div>
    <w:div w:id="1189487111">
      <w:bodyDiv w:val="1"/>
      <w:marLeft w:val="0"/>
      <w:marRight w:val="0"/>
      <w:marTop w:val="0"/>
      <w:marBottom w:val="0"/>
      <w:divBdr>
        <w:top w:val="none" w:sz="0" w:space="0" w:color="auto"/>
        <w:left w:val="none" w:sz="0" w:space="0" w:color="auto"/>
        <w:bottom w:val="none" w:sz="0" w:space="0" w:color="auto"/>
        <w:right w:val="none" w:sz="0" w:space="0" w:color="auto"/>
      </w:divBdr>
    </w:div>
    <w:div w:id="1216622345">
      <w:bodyDiv w:val="1"/>
      <w:marLeft w:val="0"/>
      <w:marRight w:val="0"/>
      <w:marTop w:val="0"/>
      <w:marBottom w:val="0"/>
      <w:divBdr>
        <w:top w:val="none" w:sz="0" w:space="0" w:color="auto"/>
        <w:left w:val="none" w:sz="0" w:space="0" w:color="auto"/>
        <w:bottom w:val="none" w:sz="0" w:space="0" w:color="auto"/>
        <w:right w:val="none" w:sz="0" w:space="0" w:color="auto"/>
      </w:divBdr>
    </w:div>
    <w:div w:id="1235824369">
      <w:bodyDiv w:val="1"/>
      <w:marLeft w:val="0"/>
      <w:marRight w:val="0"/>
      <w:marTop w:val="0"/>
      <w:marBottom w:val="0"/>
      <w:divBdr>
        <w:top w:val="none" w:sz="0" w:space="0" w:color="auto"/>
        <w:left w:val="none" w:sz="0" w:space="0" w:color="auto"/>
        <w:bottom w:val="none" w:sz="0" w:space="0" w:color="auto"/>
        <w:right w:val="none" w:sz="0" w:space="0" w:color="auto"/>
      </w:divBdr>
    </w:div>
    <w:div w:id="1271165706">
      <w:bodyDiv w:val="1"/>
      <w:marLeft w:val="0"/>
      <w:marRight w:val="0"/>
      <w:marTop w:val="0"/>
      <w:marBottom w:val="0"/>
      <w:divBdr>
        <w:top w:val="none" w:sz="0" w:space="0" w:color="auto"/>
        <w:left w:val="none" w:sz="0" w:space="0" w:color="auto"/>
        <w:bottom w:val="none" w:sz="0" w:space="0" w:color="auto"/>
        <w:right w:val="none" w:sz="0" w:space="0" w:color="auto"/>
      </w:divBdr>
    </w:div>
    <w:div w:id="1293635681">
      <w:bodyDiv w:val="1"/>
      <w:marLeft w:val="0"/>
      <w:marRight w:val="0"/>
      <w:marTop w:val="0"/>
      <w:marBottom w:val="0"/>
      <w:divBdr>
        <w:top w:val="none" w:sz="0" w:space="0" w:color="auto"/>
        <w:left w:val="none" w:sz="0" w:space="0" w:color="auto"/>
        <w:bottom w:val="none" w:sz="0" w:space="0" w:color="auto"/>
        <w:right w:val="none" w:sz="0" w:space="0" w:color="auto"/>
      </w:divBdr>
    </w:div>
    <w:div w:id="1307586884">
      <w:bodyDiv w:val="1"/>
      <w:marLeft w:val="0"/>
      <w:marRight w:val="0"/>
      <w:marTop w:val="0"/>
      <w:marBottom w:val="0"/>
      <w:divBdr>
        <w:top w:val="none" w:sz="0" w:space="0" w:color="auto"/>
        <w:left w:val="none" w:sz="0" w:space="0" w:color="auto"/>
        <w:bottom w:val="none" w:sz="0" w:space="0" w:color="auto"/>
        <w:right w:val="none" w:sz="0" w:space="0" w:color="auto"/>
      </w:divBdr>
    </w:div>
    <w:div w:id="1342509216">
      <w:bodyDiv w:val="1"/>
      <w:marLeft w:val="0"/>
      <w:marRight w:val="0"/>
      <w:marTop w:val="0"/>
      <w:marBottom w:val="0"/>
      <w:divBdr>
        <w:top w:val="none" w:sz="0" w:space="0" w:color="auto"/>
        <w:left w:val="none" w:sz="0" w:space="0" w:color="auto"/>
        <w:bottom w:val="none" w:sz="0" w:space="0" w:color="auto"/>
        <w:right w:val="none" w:sz="0" w:space="0" w:color="auto"/>
      </w:divBdr>
    </w:div>
    <w:div w:id="1411536567">
      <w:bodyDiv w:val="1"/>
      <w:marLeft w:val="0"/>
      <w:marRight w:val="0"/>
      <w:marTop w:val="0"/>
      <w:marBottom w:val="0"/>
      <w:divBdr>
        <w:top w:val="none" w:sz="0" w:space="0" w:color="auto"/>
        <w:left w:val="none" w:sz="0" w:space="0" w:color="auto"/>
        <w:bottom w:val="none" w:sz="0" w:space="0" w:color="auto"/>
        <w:right w:val="none" w:sz="0" w:space="0" w:color="auto"/>
      </w:divBdr>
    </w:div>
    <w:div w:id="1457524022">
      <w:bodyDiv w:val="1"/>
      <w:marLeft w:val="0"/>
      <w:marRight w:val="0"/>
      <w:marTop w:val="0"/>
      <w:marBottom w:val="0"/>
      <w:divBdr>
        <w:top w:val="none" w:sz="0" w:space="0" w:color="auto"/>
        <w:left w:val="none" w:sz="0" w:space="0" w:color="auto"/>
        <w:bottom w:val="none" w:sz="0" w:space="0" w:color="auto"/>
        <w:right w:val="none" w:sz="0" w:space="0" w:color="auto"/>
      </w:divBdr>
    </w:div>
    <w:div w:id="1461530366">
      <w:bodyDiv w:val="1"/>
      <w:marLeft w:val="0"/>
      <w:marRight w:val="0"/>
      <w:marTop w:val="0"/>
      <w:marBottom w:val="0"/>
      <w:divBdr>
        <w:top w:val="none" w:sz="0" w:space="0" w:color="auto"/>
        <w:left w:val="none" w:sz="0" w:space="0" w:color="auto"/>
        <w:bottom w:val="none" w:sz="0" w:space="0" w:color="auto"/>
        <w:right w:val="none" w:sz="0" w:space="0" w:color="auto"/>
      </w:divBdr>
    </w:div>
    <w:div w:id="1485006490">
      <w:bodyDiv w:val="1"/>
      <w:marLeft w:val="0"/>
      <w:marRight w:val="0"/>
      <w:marTop w:val="0"/>
      <w:marBottom w:val="0"/>
      <w:divBdr>
        <w:top w:val="none" w:sz="0" w:space="0" w:color="auto"/>
        <w:left w:val="none" w:sz="0" w:space="0" w:color="auto"/>
        <w:bottom w:val="none" w:sz="0" w:space="0" w:color="auto"/>
        <w:right w:val="none" w:sz="0" w:space="0" w:color="auto"/>
      </w:divBdr>
    </w:div>
    <w:div w:id="1491605148">
      <w:bodyDiv w:val="1"/>
      <w:marLeft w:val="0"/>
      <w:marRight w:val="0"/>
      <w:marTop w:val="0"/>
      <w:marBottom w:val="0"/>
      <w:divBdr>
        <w:top w:val="none" w:sz="0" w:space="0" w:color="auto"/>
        <w:left w:val="none" w:sz="0" w:space="0" w:color="auto"/>
        <w:bottom w:val="none" w:sz="0" w:space="0" w:color="auto"/>
        <w:right w:val="none" w:sz="0" w:space="0" w:color="auto"/>
      </w:divBdr>
    </w:div>
    <w:div w:id="1493061680">
      <w:bodyDiv w:val="1"/>
      <w:marLeft w:val="0"/>
      <w:marRight w:val="0"/>
      <w:marTop w:val="0"/>
      <w:marBottom w:val="0"/>
      <w:divBdr>
        <w:top w:val="none" w:sz="0" w:space="0" w:color="auto"/>
        <w:left w:val="none" w:sz="0" w:space="0" w:color="auto"/>
        <w:bottom w:val="none" w:sz="0" w:space="0" w:color="auto"/>
        <w:right w:val="none" w:sz="0" w:space="0" w:color="auto"/>
      </w:divBdr>
    </w:div>
    <w:div w:id="1539318838">
      <w:bodyDiv w:val="1"/>
      <w:marLeft w:val="0"/>
      <w:marRight w:val="0"/>
      <w:marTop w:val="0"/>
      <w:marBottom w:val="0"/>
      <w:divBdr>
        <w:top w:val="none" w:sz="0" w:space="0" w:color="auto"/>
        <w:left w:val="none" w:sz="0" w:space="0" w:color="auto"/>
        <w:bottom w:val="none" w:sz="0" w:space="0" w:color="auto"/>
        <w:right w:val="none" w:sz="0" w:space="0" w:color="auto"/>
      </w:divBdr>
    </w:div>
    <w:div w:id="1559317412">
      <w:bodyDiv w:val="1"/>
      <w:marLeft w:val="0"/>
      <w:marRight w:val="0"/>
      <w:marTop w:val="0"/>
      <w:marBottom w:val="0"/>
      <w:divBdr>
        <w:top w:val="none" w:sz="0" w:space="0" w:color="auto"/>
        <w:left w:val="none" w:sz="0" w:space="0" w:color="auto"/>
        <w:bottom w:val="none" w:sz="0" w:space="0" w:color="auto"/>
        <w:right w:val="none" w:sz="0" w:space="0" w:color="auto"/>
      </w:divBdr>
    </w:div>
    <w:div w:id="1609387899">
      <w:bodyDiv w:val="1"/>
      <w:marLeft w:val="0"/>
      <w:marRight w:val="0"/>
      <w:marTop w:val="0"/>
      <w:marBottom w:val="0"/>
      <w:divBdr>
        <w:top w:val="none" w:sz="0" w:space="0" w:color="auto"/>
        <w:left w:val="none" w:sz="0" w:space="0" w:color="auto"/>
        <w:bottom w:val="none" w:sz="0" w:space="0" w:color="auto"/>
        <w:right w:val="none" w:sz="0" w:space="0" w:color="auto"/>
      </w:divBdr>
    </w:div>
    <w:div w:id="1622958530">
      <w:bodyDiv w:val="1"/>
      <w:marLeft w:val="0"/>
      <w:marRight w:val="0"/>
      <w:marTop w:val="0"/>
      <w:marBottom w:val="0"/>
      <w:divBdr>
        <w:top w:val="none" w:sz="0" w:space="0" w:color="auto"/>
        <w:left w:val="none" w:sz="0" w:space="0" w:color="auto"/>
        <w:bottom w:val="none" w:sz="0" w:space="0" w:color="auto"/>
        <w:right w:val="none" w:sz="0" w:space="0" w:color="auto"/>
      </w:divBdr>
    </w:div>
    <w:div w:id="1633554862">
      <w:bodyDiv w:val="1"/>
      <w:marLeft w:val="0"/>
      <w:marRight w:val="0"/>
      <w:marTop w:val="0"/>
      <w:marBottom w:val="0"/>
      <w:divBdr>
        <w:top w:val="none" w:sz="0" w:space="0" w:color="auto"/>
        <w:left w:val="none" w:sz="0" w:space="0" w:color="auto"/>
        <w:bottom w:val="none" w:sz="0" w:space="0" w:color="auto"/>
        <w:right w:val="none" w:sz="0" w:space="0" w:color="auto"/>
      </w:divBdr>
    </w:div>
    <w:div w:id="1659189238">
      <w:bodyDiv w:val="1"/>
      <w:marLeft w:val="0"/>
      <w:marRight w:val="0"/>
      <w:marTop w:val="0"/>
      <w:marBottom w:val="0"/>
      <w:divBdr>
        <w:top w:val="none" w:sz="0" w:space="0" w:color="auto"/>
        <w:left w:val="none" w:sz="0" w:space="0" w:color="auto"/>
        <w:bottom w:val="none" w:sz="0" w:space="0" w:color="auto"/>
        <w:right w:val="none" w:sz="0" w:space="0" w:color="auto"/>
      </w:divBdr>
    </w:div>
    <w:div w:id="1711800528">
      <w:bodyDiv w:val="1"/>
      <w:marLeft w:val="0"/>
      <w:marRight w:val="0"/>
      <w:marTop w:val="0"/>
      <w:marBottom w:val="0"/>
      <w:divBdr>
        <w:top w:val="none" w:sz="0" w:space="0" w:color="auto"/>
        <w:left w:val="none" w:sz="0" w:space="0" w:color="auto"/>
        <w:bottom w:val="none" w:sz="0" w:space="0" w:color="auto"/>
        <w:right w:val="none" w:sz="0" w:space="0" w:color="auto"/>
      </w:divBdr>
    </w:div>
    <w:div w:id="1756393496">
      <w:bodyDiv w:val="1"/>
      <w:marLeft w:val="0"/>
      <w:marRight w:val="0"/>
      <w:marTop w:val="0"/>
      <w:marBottom w:val="0"/>
      <w:divBdr>
        <w:top w:val="none" w:sz="0" w:space="0" w:color="auto"/>
        <w:left w:val="none" w:sz="0" w:space="0" w:color="auto"/>
        <w:bottom w:val="none" w:sz="0" w:space="0" w:color="auto"/>
        <w:right w:val="none" w:sz="0" w:space="0" w:color="auto"/>
      </w:divBdr>
    </w:div>
    <w:div w:id="1759205200">
      <w:bodyDiv w:val="1"/>
      <w:marLeft w:val="0"/>
      <w:marRight w:val="0"/>
      <w:marTop w:val="0"/>
      <w:marBottom w:val="0"/>
      <w:divBdr>
        <w:top w:val="none" w:sz="0" w:space="0" w:color="auto"/>
        <w:left w:val="none" w:sz="0" w:space="0" w:color="auto"/>
        <w:bottom w:val="none" w:sz="0" w:space="0" w:color="auto"/>
        <w:right w:val="none" w:sz="0" w:space="0" w:color="auto"/>
      </w:divBdr>
    </w:div>
    <w:div w:id="1803302384">
      <w:bodyDiv w:val="1"/>
      <w:marLeft w:val="0"/>
      <w:marRight w:val="0"/>
      <w:marTop w:val="0"/>
      <w:marBottom w:val="0"/>
      <w:divBdr>
        <w:top w:val="none" w:sz="0" w:space="0" w:color="auto"/>
        <w:left w:val="none" w:sz="0" w:space="0" w:color="auto"/>
        <w:bottom w:val="none" w:sz="0" w:space="0" w:color="auto"/>
        <w:right w:val="none" w:sz="0" w:space="0" w:color="auto"/>
      </w:divBdr>
    </w:div>
    <w:div w:id="1861162817">
      <w:bodyDiv w:val="1"/>
      <w:marLeft w:val="0"/>
      <w:marRight w:val="0"/>
      <w:marTop w:val="0"/>
      <w:marBottom w:val="0"/>
      <w:divBdr>
        <w:top w:val="none" w:sz="0" w:space="0" w:color="auto"/>
        <w:left w:val="none" w:sz="0" w:space="0" w:color="auto"/>
        <w:bottom w:val="none" w:sz="0" w:space="0" w:color="auto"/>
        <w:right w:val="none" w:sz="0" w:space="0" w:color="auto"/>
      </w:divBdr>
    </w:div>
    <w:div w:id="1904681172">
      <w:bodyDiv w:val="1"/>
      <w:marLeft w:val="0"/>
      <w:marRight w:val="0"/>
      <w:marTop w:val="0"/>
      <w:marBottom w:val="0"/>
      <w:divBdr>
        <w:top w:val="none" w:sz="0" w:space="0" w:color="auto"/>
        <w:left w:val="none" w:sz="0" w:space="0" w:color="auto"/>
        <w:bottom w:val="none" w:sz="0" w:space="0" w:color="auto"/>
        <w:right w:val="none" w:sz="0" w:space="0" w:color="auto"/>
      </w:divBdr>
    </w:div>
    <w:div w:id="1954510846">
      <w:bodyDiv w:val="1"/>
      <w:marLeft w:val="0"/>
      <w:marRight w:val="0"/>
      <w:marTop w:val="0"/>
      <w:marBottom w:val="0"/>
      <w:divBdr>
        <w:top w:val="none" w:sz="0" w:space="0" w:color="auto"/>
        <w:left w:val="none" w:sz="0" w:space="0" w:color="auto"/>
        <w:bottom w:val="none" w:sz="0" w:space="0" w:color="auto"/>
        <w:right w:val="none" w:sz="0" w:space="0" w:color="auto"/>
      </w:divBdr>
    </w:div>
    <w:div w:id="1982687024">
      <w:bodyDiv w:val="1"/>
      <w:marLeft w:val="0"/>
      <w:marRight w:val="0"/>
      <w:marTop w:val="0"/>
      <w:marBottom w:val="0"/>
      <w:divBdr>
        <w:top w:val="none" w:sz="0" w:space="0" w:color="auto"/>
        <w:left w:val="none" w:sz="0" w:space="0" w:color="auto"/>
        <w:bottom w:val="none" w:sz="0" w:space="0" w:color="auto"/>
        <w:right w:val="none" w:sz="0" w:space="0" w:color="auto"/>
      </w:divBdr>
    </w:div>
    <w:div w:id="2031565307">
      <w:bodyDiv w:val="1"/>
      <w:marLeft w:val="0"/>
      <w:marRight w:val="0"/>
      <w:marTop w:val="0"/>
      <w:marBottom w:val="0"/>
      <w:divBdr>
        <w:top w:val="none" w:sz="0" w:space="0" w:color="auto"/>
        <w:left w:val="none" w:sz="0" w:space="0" w:color="auto"/>
        <w:bottom w:val="none" w:sz="0" w:space="0" w:color="auto"/>
        <w:right w:val="none" w:sz="0" w:space="0" w:color="auto"/>
      </w:divBdr>
    </w:div>
    <w:div w:id="2094233370">
      <w:bodyDiv w:val="1"/>
      <w:marLeft w:val="0"/>
      <w:marRight w:val="0"/>
      <w:marTop w:val="0"/>
      <w:marBottom w:val="0"/>
      <w:divBdr>
        <w:top w:val="none" w:sz="0" w:space="0" w:color="auto"/>
        <w:left w:val="none" w:sz="0" w:space="0" w:color="auto"/>
        <w:bottom w:val="none" w:sz="0" w:space="0" w:color="auto"/>
        <w:right w:val="none" w:sz="0" w:space="0" w:color="auto"/>
      </w:divBdr>
    </w:div>
    <w:div w:id="2105803878">
      <w:bodyDiv w:val="1"/>
      <w:marLeft w:val="0"/>
      <w:marRight w:val="0"/>
      <w:marTop w:val="0"/>
      <w:marBottom w:val="0"/>
      <w:divBdr>
        <w:top w:val="none" w:sz="0" w:space="0" w:color="auto"/>
        <w:left w:val="none" w:sz="0" w:space="0" w:color="auto"/>
        <w:bottom w:val="none" w:sz="0" w:space="0" w:color="auto"/>
        <w:right w:val="none" w:sz="0" w:space="0" w:color="auto"/>
      </w:divBdr>
    </w:div>
    <w:div w:id="214029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s://www.kfbio.c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B6D08-340F-374F-BAA7-C44315496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24</Pages>
  <Words>3519</Words>
  <Characters>20061</Characters>
  <Application>Microsoft Office Word</Application>
  <DocSecurity>0</DocSecurity>
  <Lines>167</Lines>
  <Paragraphs>47</Paragraphs>
  <ScaleCrop>false</ScaleCrop>
  <Company/>
  <LinksUpToDate>false</LinksUpToDate>
  <CharactersWithSpaces>23533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SQM</dc:creator>
  <cp:keywords/>
  <dc:description/>
  <cp:lastModifiedBy>SQM</cp:lastModifiedBy>
  <cp:revision>11</cp:revision>
  <cp:lastPrinted>2025-08-15T02:41:00Z</cp:lastPrinted>
  <dcterms:created xsi:type="dcterms:W3CDTF">2026-05-15T13:53:00Z</dcterms:created>
  <dcterms:modified xsi:type="dcterms:W3CDTF">2026-07-29T05:56:00Z</dcterms:modified>
</cp:coreProperties>
</file>