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8C814"/>
    <w:tbl>
      <w:tblPr>
        <w:tblStyle w:val="3"/>
        <w:tblW w:w="1000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95"/>
        <w:gridCol w:w="1167"/>
        <w:gridCol w:w="1595"/>
        <w:gridCol w:w="2083"/>
        <w:gridCol w:w="1556"/>
        <w:gridCol w:w="1055"/>
        <w:gridCol w:w="945"/>
      </w:tblGrid>
      <w:tr w14:paraId="3BAC92A8">
        <w:trPr>
          <w:trHeight w:val="397" w:hRule="atLeast"/>
          <w:jc w:val="center"/>
        </w:trPr>
        <w:tc>
          <w:tcPr>
            <w:tcW w:w="10008" w:type="dxa"/>
            <w:gridSpan w:val="8"/>
            <w:tcBorders>
              <w:top w:val="nil"/>
              <w:bottom w:val="single" w:color="auto" w:sz="12" w:space="0"/>
            </w:tcBorders>
            <w:vAlign w:val="center"/>
          </w:tcPr>
          <w:p w14:paraId="49829214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0"/>
                <w:lang w:val="en-US" w:eastAsia="zh-CN"/>
              </w:rPr>
              <w:t>Table 1 Baseline characteristics of participants with different etiologies of acute pancreatitis (N=146)</w:t>
            </w:r>
          </w:p>
        </w:tc>
      </w:tr>
      <w:tr w14:paraId="0970CC55">
        <w:trPr>
          <w:trHeight w:val="397" w:hRule="atLeast"/>
          <w:jc w:val="center"/>
        </w:trPr>
        <w:tc>
          <w:tcPr>
            <w:tcW w:w="912" w:type="dxa"/>
            <w:tcBorders>
              <w:bottom w:val="single" w:color="auto" w:sz="12" w:space="0"/>
            </w:tcBorders>
            <w:vAlign w:val="center"/>
          </w:tcPr>
          <w:p w14:paraId="389C035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Item</w:t>
            </w:r>
          </w:p>
        </w:tc>
        <w:tc>
          <w:tcPr>
            <w:tcW w:w="1862" w:type="dxa"/>
            <w:gridSpan w:val="2"/>
            <w:tcBorders>
              <w:bottom w:val="single" w:color="auto" w:sz="12" w:space="0"/>
            </w:tcBorders>
            <w:vAlign w:val="center"/>
          </w:tcPr>
          <w:p w14:paraId="290EFF0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Classification</w:t>
            </w:r>
          </w:p>
        </w:tc>
        <w:tc>
          <w:tcPr>
            <w:tcW w:w="1595" w:type="dxa"/>
            <w:tcBorders>
              <w:bottom w:val="single" w:color="auto" w:sz="12" w:space="0"/>
            </w:tcBorders>
            <w:vAlign w:val="center"/>
          </w:tcPr>
          <w:p w14:paraId="5180497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Biliary AP</w:t>
            </w:r>
          </w:p>
          <w:p w14:paraId="76AB831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(n=62)</w:t>
            </w:r>
          </w:p>
        </w:tc>
        <w:tc>
          <w:tcPr>
            <w:tcW w:w="2083" w:type="dxa"/>
            <w:tcBorders>
              <w:bottom w:val="single" w:color="auto" w:sz="12" w:space="0"/>
            </w:tcBorders>
            <w:vAlign w:val="center"/>
          </w:tcPr>
          <w:p w14:paraId="750B10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Hypertriglyceridemi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AP (n=56)</w:t>
            </w:r>
          </w:p>
        </w:tc>
        <w:tc>
          <w:tcPr>
            <w:tcW w:w="1556" w:type="dxa"/>
            <w:tcBorders>
              <w:bottom w:val="single" w:color="auto" w:sz="12" w:space="0"/>
            </w:tcBorders>
            <w:vAlign w:val="center"/>
          </w:tcPr>
          <w:p w14:paraId="597D458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etiology AP (n=28)</w:t>
            </w:r>
          </w:p>
        </w:tc>
        <w:tc>
          <w:tcPr>
            <w:tcW w:w="1055" w:type="dxa"/>
            <w:tcBorders>
              <w:bottom w:val="single" w:color="auto" w:sz="12" w:space="0"/>
            </w:tcBorders>
            <w:vAlign w:val="center"/>
          </w:tcPr>
          <w:p w14:paraId="122C467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945" w:type="dxa"/>
            <w:tcBorders>
              <w:bottom w:val="single" w:color="auto" w:sz="12" w:space="0"/>
            </w:tcBorders>
            <w:vAlign w:val="center"/>
          </w:tcPr>
          <w:p w14:paraId="2A49021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 xml:space="preserve"> value</w:t>
            </w:r>
          </w:p>
        </w:tc>
      </w:tr>
      <w:tr w14:paraId="209CEED2">
        <w:trPr>
          <w:trHeight w:val="397" w:hRule="atLeast"/>
          <w:jc w:val="center"/>
        </w:trPr>
        <w:tc>
          <w:tcPr>
            <w:tcW w:w="277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2B87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/>
              </w:rPr>
              <w:t>Age (years)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B274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62.00</w:t>
            </w:r>
          </w:p>
          <w:p w14:paraId="7F7D59D0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[47.75,73.25]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D672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37.00[33.00,46.00]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B540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46.00</w:t>
            </w:r>
          </w:p>
          <w:p w14:paraId="704ED73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[38.00,57.75]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D37E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  <w:t>44.485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23F5A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0.001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**</w:t>
            </w:r>
          </w:p>
        </w:tc>
      </w:tr>
      <w:tr w14:paraId="1F8BBE21">
        <w:trPr>
          <w:trHeight w:val="397" w:hRule="atLeast"/>
          <w:jc w:val="center"/>
        </w:trPr>
        <w:tc>
          <w:tcPr>
            <w:tcW w:w="91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861F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Sex</w:t>
            </w: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A6B0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M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ale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2259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35(42.5)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D626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42(38.4)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0DAD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23(19.2)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11DA3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7.682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2183F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0.021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</w:t>
            </w:r>
          </w:p>
        </w:tc>
      </w:tr>
      <w:tr w14:paraId="48DD0662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8EC5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CF54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F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emale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A01A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27(19.5)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48A30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14(17.6)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E883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5(8.8)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D865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6203C5B1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5A09BE86">
        <w:trPr>
          <w:trHeight w:val="397" w:hRule="atLeast"/>
          <w:jc w:val="center"/>
        </w:trPr>
        <w:tc>
          <w:tcPr>
            <w:tcW w:w="912" w:type="dxa"/>
            <w:vMerge w:val="restart"/>
            <w:tcBorders>
              <w:tl2br w:val="nil"/>
              <w:tr2bl w:val="nil"/>
            </w:tcBorders>
            <w:vAlign w:val="center"/>
          </w:tcPr>
          <w:p w14:paraId="26C1C35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Educational level</w:t>
            </w: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5455D42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Primary school and below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3548285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28(17.4)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4A6115B0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9(15.7)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6F9DE38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4(7.9)</w:t>
            </w: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vAlign w:val="center"/>
          </w:tcPr>
          <w:p w14:paraId="49352CC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22.263</w:t>
            </w:r>
          </w:p>
        </w:tc>
        <w:tc>
          <w:tcPr>
            <w:tcW w:w="945" w:type="dxa"/>
            <w:vMerge w:val="restart"/>
            <w:tcBorders>
              <w:tl2br w:val="nil"/>
              <w:tr2bl w:val="nil"/>
            </w:tcBorders>
            <w:vAlign w:val="center"/>
          </w:tcPr>
          <w:p w14:paraId="519DBADA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0.004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</w:t>
            </w:r>
          </w:p>
        </w:tc>
      </w:tr>
      <w:tr w14:paraId="5D2396A2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vAlign w:val="center"/>
          </w:tcPr>
          <w:p w14:paraId="130CCABB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6516673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Junior high school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7A36C3E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14(16.4)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07C2A47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15(15.0)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084F7C0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10(7.5)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2012316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1CE5C3E2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3CB78360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vAlign w:val="center"/>
          </w:tcPr>
          <w:p w14:paraId="70BE5F2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10CFDE1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High school/Technical secondary school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33B4E19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12(12.7)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2063D7B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11(11.5)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4EFA9E8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7(5.8)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1C9141D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0E35CDEF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06659A08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8169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43F3C99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Junior college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75497BE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4(4.2)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6AF9BC9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4(3.8)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01B2757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2(1.9)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7F1F83F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16AD3A8E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51566B6C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vAlign w:val="center"/>
          </w:tcPr>
          <w:p w14:paraId="722DEAC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2CB6F0F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Bachelor’s degree and above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7877950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4(11.0)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14E7396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17(10)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21D996D0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5(5.0)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70C6701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4477F1D7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3CAE898C">
        <w:trPr>
          <w:trHeight w:val="397" w:hRule="atLeast"/>
          <w:jc w:val="center"/>
        </w:trPr>
        <w:tc>
          <w:tcPr>
            <w:tcW w:w="912" w:type="dxa"/>
            <w:vMerge w:val="restart"/>
            <w:tcBorders>
              <w:tl2br w:val="nil"/>
              <w:tr2bl w:val="nil"/>
            </w:tcBorders>
            <w:vAlign w:val="center"/>
          </w:tcPr>
          <w:p w14:paraId="4C4B7FC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Disease severity</w:t>
            </w: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38D3511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Mild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62F672C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1(3.0)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6F1177E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1(2.7)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365A489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5(1.3)</w:t>
            </w: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vAlign w:val="center"/>
          </w:tcPr>
          <w:p w14:paraId="5DD98A4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13.152</w:t>
            </w:r>
          </w:p>
        </w:tc>
        <w:tc>
          <w:tcPr>
            <w:tcW w:w="945" w:type="dxa"/>
            <w:vMerge w:val="restart"/>
            <w:tcBorders>
              <w:tl2br w:val="nil"/>
              <w:tr2bl w:val="nil"/>
            </w:tcBorders>
            <w:vAlign w:val="center"/>
          </w:tcPr>
          <w:p w14:paraId="138221DD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0.001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**</w:t>
            </w:r>
          </w:p>
        </w:tc>
      </w:tr>
      <w:tr w14:paraId="115FE7E0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vAlign w:val="center"/>
          </w:tcPr>
          <w:p w14:paraId="5D8AD80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400D6FB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Moderate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severe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4E65FDE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42(39.9)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7F55AA3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36(36.1)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7844896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16(18.0)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427EC24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5DA67578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32E00F92">
        <w:trPr>
          <w:trHeight w:val="397" w:hRule="atLeast"/>
          <w:jc w:val="center"/>
        </w:trPr>
        <w:tc>
          <w:tcPr>
            <w:tcW w:w="912" w:type="dxa"/>
            <w:vMerge w:val="continue"/>
            <w:tcBorders>
              <w:tl2br w:val="nil"/>
              <w:tr2bl w:val="nil"/>
            </w:tcBorders>
            <w:vAlign w:val="center"/>
          </w:tcPr>
          <w:p w14:paraId="0E23052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862" w:type="dxa"/>
            <w:gridSpan w:val="2"/>
            <w:tcBorders>
              <w:tl2br w:val="nil"/>
              <w:tr2bl w:val="nil"/>
            </w:tcBorders>
            <w:vAlign w:val="center"/>
          </w:tcPr>
          <w:p w14:paraId="6DE2539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Severe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4F42C63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19(19.9)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4E61D50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19(17.3)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5D2F62F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7(8.6)</w:t>
            </w: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vAlign w:val="center"/>
          </w:tcPr>
          <w:p w14:paraId="21DB01E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38727987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7B13AC50">
        <w:trPr>
          <w:trHeight w:val="397" w:hRule="atLeast"/>
          <w:jc w:val="center"/>
        </w:trPr>
        <w:tc>
          <w:tcPr>
            <w:tcW w:w="2774" w:type="dxa"/>
            <w:gridSpan w:val="3"/>
            <w:tcBorders>
              <w:tl2br w:val="nil"/>
              <w:tr2bl w:val="nil"/>
            </w:tcBorders>
            <w:vAlign w:val="center"/>
          </w:tcPr>
          <w:p w14:paraId="5C9F87F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First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time pancreatic stent placement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593038C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42(30.6)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6EAF2D1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24(27.6)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74065C3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6(13.8)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13B4742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18.068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5EDF9844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0.001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**</w:t>
            </w:r>
          </w:p>
        </w:tc>
      </w:tr>
      <w:tr w14:paraId="0DDEF4A3">
        <w:trPr>
          <w:trHeight w:val="397" w:hRule="atLeast"/>
          <w:jc w:val="center"/>
        </w:trPr>
        <w:tc>
          <w:tcPr>
            <w:tcW w:w="2774" w:type="dxa"/>
            <w:gridSpan w:val="3"/>
            <w:tcBorders>
              <w:tl2br w:val="nil"/>
              <w:tr2bl w:val="nil"/>
            </w:tcBorders>
            <w:vAlign w:val="center"/>
          </w:tcPr>
          <w:p w14:paraId="07AF00A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Biliary tract intervention performed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vAlign w:val="center"/>
          </w:tcPr>
          <w:p w14:paraId="503F59D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46(23.8)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793D488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9(21.5)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 w14:paraId="52D665E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1(10.7)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2FA4930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59.768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7AD971A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  <w:t>0.001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**</w:t>
            </w:r>
          </w:p>
        </w:tc>
      </w:tr>
      <w:tr w14:paraId="7482D50A">
        <w:trPr>
          <w:trHeight w:val="397" w:hRule="atLeast"/>
          <w:jc w:val="center"/>
        </w:trPr>
        <w:tc>
          <w:tcPr>
            <w:tcW w:w="160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E78B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Self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perceived disease recovery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0C7A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Very good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49C4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48(50.1)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8560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46(45.3)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5BC3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24(22.6)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A29FBB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0.959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4A78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0.619</w:t>
            </w:r>
          </w:p>
        </w:tc>
      </w:tr>
      <w:tr w14:paraId="2CFA9771">
        <w:trPr>
          <w:trHeight w:val="397" w:hRule="atLeast"/>
          <w:jc w:val="center"/>
        </w:trPr>
        <w:tc>
          <w:tcPr>
            <w:tcW w:w="160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D58F8E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3119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Good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25B9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14(11.9)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15B6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10(10.7)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3B74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4(5.4)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6EC18A0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01FD37A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</w:tr>
      <w:tr w14:paraId="669B654F">
        <w:trPr>
          <w:trHeight w:val="397" w:hRule="atLeast"/>
          <w:jc w:val="center"/>
        </w:trPr>
        <w:tc>
          <w:tcPr>
            <w:tcW w:w="160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5A79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Dietary recovery status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A449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Very good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68C7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3(4.7)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3132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5(4.2)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AEFB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3(2.1)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9130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1.908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4FFB3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0.753</w:t>
            </w:r>
          </w:p>
        </w:tc>
      </w:tr>
      <w:tr w14:paraId="2A3D1A76">
        <w:trPr>
          <w:trHeight w:val="397" w:hRule="atLeast"/>
          <w:jc w:val="center"/>
        </w:trPr>
        <w:tc>
          <w:tcPr>
            <w:tcW w:w="160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8C61DD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99BDB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Good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26CC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45(45.4)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467F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41(41.0)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BD20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21(20.5)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1D27AFB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5B8AA48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</w:tr>
      <w:tr w14:paraId="0EAA1A71">
        <w:trPr>
          <w:trHeight w:val="397" w:hRule="atLeast"/>
          <w:jc w:val="center"/>
        </w:trPr>
        <w:tc>
          <w:tcPr>
            <w:tcW w:w="160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375903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</w:rPr>
            </w:pP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E068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Fair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A7D0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14(11.9)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07C8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10(10.7)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061D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4(5.4)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vAlign w:val="center"/>
          </w:tcPr>
          <w:p w14:paraId="010F502B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5B58F46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</w:p>
        </w:tc>
      </w:tr>
      <w:tr w14:paraId="0C6AD8CA">
        <w:trPr>
          <w:trHeight w:val="397" w:hRule="atLeast"/>
          <w:jc w:val="center"/>
        </w:trPr>
        <w:tc>
          <w:tcPr>
            <w:tcW w:w="277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59C4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Discharge with drainage tube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4203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5(3.8)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8E07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3(3.5)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7F13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1(1.7)</w:t>
            </w:r>
          </w:p>
        </w:tc>
        <w:tc>
          <w:tcPr>
            <w:tcW w:w="10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2DD7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0.776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8519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0.679</w:t>
            </w:r>
          </w:p>
        </w:tc>
      </w:tr>
      <w:tr w14:paraId="3910E10C">
        <w:trPr>
          <w:trHeight w:val="397" w:hRule="atLeast"/>
          <w:jc w:val="center"/>
        </w:trPr>
        <w:tc>
          <w:tcPr>
            <w:tcW w:w="10008" w:type="dxa"/>
            <w:gridSpan w:val="8"/>
            <w:shd w:val="clear" w:color="auto" w:fill="auto"/>
            <w:vAlign w:val="center"/>
          </w:tcPr>
          <w:p w14:paraId="04CFF065">
            <w:pPr>
              <w:spacing w:after="0" w:line="240" w:lineRule="auto"/>
              <w:jc w:val="left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: 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&lt;0.0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5,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superscript"/>
                <w:lang w:eastAsia="zh-CN"/>
              </w:rPr>
              <w:t>**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: </w:t>
            </w:r>
            <w:r>
              <w:rPr>
                <w:rFonts w:hint="default" w:ascii="Times New Roman Bold Italic" w:hAnsi="Times New Roman Bold Italic" w:eastAsia="宋体" w:cs="Times New Roman Bold Italic"/>
                <w:b/>
                <w:bCs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&lt;0.001.</w:t>
            </w:r>
          </w:p>
        </w:tc>
      </w:tr>
    </w:tbl>
    <w:p w14:paraId="51F6E0D9"/>
    <w:tbl>
      <w:tblPr>
        <w:tblStyle w:val="3"/>
        <w:tblpPr w:leftFromText="180" w:rightFromText="180" w:vertAnchor="text" w:horzAnchor="page" w:tblpX="1666" w:tblpY="462"/>
        <w:tblOverlap w:val="never"/>
        <w:tblW w:w="878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5"/>
        <w:gridCol w:w="1749"/>
        <w:gridCol w:w="1708"/>
        <w:gridCol w:w="1288"/>
        <w:gridCol w:w="972"/>
      </w:tblGrid>
      <w:tr w14:paraId="4D0558DE">
        <w:trPr>
          <w:trHeight w:val="397" w:hRule="atLeast"/>
        </w:trPr>
        <w:tc>
          <w:tcPr>
            <w:tcW w:w="8782" w:type="dxa"/>
            <w:gridSpan w:val="5"/>
            <w:tcBorders>
              <w:top w:val="nil"/>
              <w:bottom w:val="single" w:color="auto" w:sz="8" w:space="0"/>
              <w:tl2br w:val="nil"/>
              <w:tr2bl w:val="nil"/>
            </w:tcBorders>
            <w:vAlign w:val="center"/>
          </w:tcPr>
          <w:p w14:paraId="17C4C37C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 xml:space="preserve">Table 2 Comparison of inflammatory biomarkers among participants at different time points 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 xml:space="preserve">(N=146, </w:t>
            </w: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lang w:val="en-US" w:eastAsia="zh-CN"/>
              </w:rPr>
              <w:t>xˉ±s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>)</w:t>
            </w:r>
          </w:p>
        </w:tc>
      </w:tr>
      <w:tr w14:paraId="788F1E7A">
        <w:trPr>
          <w:trHeight w:val="397" w:hRule="atLeast"/>
        </w:trPr>
        <w:tc>
          <w:tcPr>
            <w:tcW w:w="3065" w:type="dxa"/>
            <w:tcBorders>
              <w:top w:val="single" w:color="auto" w:sz="8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242754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Inflammatory biomarkers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5B4F361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/>
              </w:rPr>
              <w:t>At admission</w:t>
            </w:r>
          </w:p>
        </w:tc>
        <w:tc>
          <w:tcPr>
            <w:tcW w:w="1708" w:type="dxa"/>
            <w:tcBorders>
              <w:top w:val="single" w:color="auto" w:sz="8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4BCA7CB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/>
              </w:rPr>
              <w:t>Before discharge</w:t>
            </w:r>
          </w:p>
        </w:tc>
        <w:tc>
          <w:tcPr>
            <w:tcW w:w="1288" w:type="dxa"/>
            <w:tcBorders>
              <w:top w:val="single" w:color="auto" w:sz="8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649D440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972" w:type="dxa"/>
            <w:tcBorders>
              <w:top w:val="single" w:color="auto" w:sz="8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09F7DF6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b w:val="0"/>
                <w:bCs w:val="0"/>
                <w:i/>
                <w:iCs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1"/>
                <w:szCs w:val="21"/>
                <w:lang w:val="en-US" w:eastAsia="zh-CN"/>
              </w:rPr>
              <w:t xml:space="preserve"> value</w:t>
            </w:r>
          </w:p>
        </w:tc>
      </w:tr>
      <w:tr w14:paraId="47E0004F">
        <w:trPr>
          <w:trHeight w:val="397" w:hRule="atLeast"/>
        </w:trPr>
        <w:tc>
          <w:tcPr>
            <w:tcW w:w="3065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91B07C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Serum amylase (U/L)</w:t>
            </w:r>
          </w:p>
        </w:tc>
        <w:tc>
          <w:tcPr>
            <w:tcW w:w="1749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top"/>
          </w:tcPr>
          <w:p w14:paraId="1C30F69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65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.4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808.77</w:t>
            </w:r>
          </w:p>
        </w:tc>
        <w:tc>
          <w:tcPr>
            <w:tcW w:w="1708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top"/>
          </w:tcPr>
          <w:p w14:paraId="2B59793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83.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74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±65.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288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top"/>
          </w:tcPr>
          <w:p w14:paraId="7AECB7E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62.234</w:t>
            </w:r>
          </w:p>
        </w:tc>
        <w:tc>
          <w:tcPr>
            <w:tcW w:w="972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top"/>
          </w:tcPr>
          <w:p w14:paraId="63FC319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492A9803">
        <w:trPr>
          <w:trHeight w:val="397" w:hRule="atLeast"/>
        </w:trPr>
        <w:tc>
          <w:tcPr>
            <w:tcW w:w="3065" w:type="dxa"/>
            <w:tcBorders>
              <w:tl2br w:val="nil"/>
              <w:tr2bl w:val="nil"/>
            </w:tcBorders>
            <w:vAlign w:val="center"/>
          </w:tcPr>
          <w:p w14:paraId="7FE0ED7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Serum lipase (U/L)</w:t>
            </w:r>
          </w:p>
        </w:tc>
        <w:tc>
          <w:tcPr>
            <w:tcW w:w="1749" w:type="dxa"/>
            <w:tcBorders>
              <w:tl2br w:val="nil"/>
              <w:tr2bl w:val="nil"/>
            </w:tcBorders>
          </w:tcPr>
          <w:p w14:paraId="2F40CDD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5285.62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6922.52</w:t>
            </w:r>
          </w:p>
        </w:tc>
        <w:tc>
          <w:tcPr>
            <w:tcW w:w="1708" w:type="dxa"/>
            <w:tcBorders>
              <w:tl2br w:val="nil"/>
              <w:tr2bl w:val="nil"/>
            </w:tcBorders>
          </w:tcPr>
          <w:p w14:paraId="78BAC93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448.29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601.87</w:t>
            </w:r>
          </w:p>
        </w:tc>
        <w:tc>
          <w:tcPr>
            <w:tcW w:w="1288" w:type="dxa"/>
            <w:tcBorders>
              <w:tl2br w:val="nil"/>
              <w:tr2bl w:val="nil"/>
            </w:tcBorders>
          </w:tcPr>
          <w:p w14:paraId="55BEE58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62.773</w:t>
            </w:r>
          </w:p>
        </w:tc>
        <w:tc>
          <w:tcPr>
            <w:tcW w:w="972" w:type="dxa"/>
            <w:tcBorders>
              <w:tl2br w:val="nil"/>
              <w:tr2bl w:val="nil"/>
            </w:tcBorders>
          </w:tcPr>
          <w:p w14:paraId="08A6ED5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7A8532F1">
        <w:trPr>
          <w:trHeight w:val="397" w:hRule="atLeast"/>
        </w:trPr>
        <w:tc>
          <w:tcPr>
            <w:tcW w:w="3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9060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White blood cell count (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eastAsia="zh-CN"/>
              </w:rPr>
              <w:t>×10^9/L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51744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10.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96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±5.23</w:t>
            </w:r>
          </w:p>
        </w:tc>
        <w:tc>
          <w:tcPr>
            <w:tcW w:w="17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61056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7.5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±3.04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F3EF2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66.796</w:t>
            </w:r>
          </w:p>
        </w:tc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8D109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10A5BB04">
        <w:trPr>
          <w:trHeight w:val="397" w:hRule="atLeast"/>
        </w:trPr>
        <w:tc>
          <w:tcPr>
            <w:tcW w:w="3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AEF4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CRP(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eastAsia="zh-CN"/>
              </w:rPr>
              <w:t>mg/L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749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7EF35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82.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±118.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7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B9823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41.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±48.46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6CDB7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9.850</w:t>
            </w:r>
          </w:p>
        </w:tc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425ED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02</w:t>
            </w:r>
          </w:p>
        </w:tc>
      </w:tr>
      <w:tr w14:paraId="3F4AA803">
        <w:trPr>
          <w:trHeight w:val="397" w:hRule="atLeast"/>
        </w:trPr>
        <w:tc>
          <w:tcPr>
            <w:tcW w:w="3065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3E2EBB0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Serum procalcitonin (ng/mL)</w:t>
            </w:r>
          </w:p>
        </w:tc>
        <w:tc>
          <w:tcPr>
            <w:tcW w:w="174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top"/>
          </w:tcPr>
          <w:p w14:paraId="42B393C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  <w:t>2.70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10.84</w:t>
            </w:r>
          </w:p>
        </w:tc>
        <w:tc>
          <w:tcPr>
            <w:tcW w:w="170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top"/>
          </w:tcPr>
          <w:p w14:paraId="1528A72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  <w:t>0.67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2.70</w:t>
            </w:r>
          </w:p>
        </w:tc>
        <w:tc>
          <w:tcPr>
            <w:tcW w:w="128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top"/>
          </w:tcPr>
          <w:p w14:paraId="586F368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  <w:t>3.717</w:t>
            </w:r>
          </w:p>
        </w:tc>
        <w:tc>
          <w:tcPr>
            <w:tcW w:w="97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vAlign w:val="top"/>
          </w:tcPr>
          <w:p w14:paraId="37843ED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  <w:t>0.057</w:t>
            </w:r>
          </w:p>
        </w:tc>
      </w:tr>
    </w:tbl>
    <w:p w14:paraId="6CE8EAE5"/>
    <w:tbl>
      <w:tblPr>
        <w:tblStyle w:val="3"/>
        <w:tblpPr w:leftFromText="180" w:rightFromText="180" w:vertAnchor="text" w:horzAnchor="page" w:tblpX="1081" w:tblpY="468"/>
        <w:tblOverlap w:val="never"/>
        <w:tblW w:w="995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6"/>
        <w:gridCol w:w="1416"/>
        <w:gridCol w:w="1889"/>
        <w:gridCol w:w="1527"/>
        <w:gridCol w:w="1077"/>
        <w:gridCol w:w="885"/>
      </w:tblGrid>
      <w:tr w14:paraId="46877828">
        <w:trPr>
          <w:trHeight w:val="397" w:hRule="atLeast"/>
        </w:trPr>
        <w:tc>
          <w:tcPr>
            <w:tcW w:w="9950" w:type="dxa"/>
            <w:gridSpan w:val="6"/>
            <w:tcBorders>
              <w:top w:val="nil"/>
              <w:bottom w:val="single" w:color="auto" w:sz="8" w:space="0"/>
            </w:tcBorders>
            <w:vAlign w:val="center"/>
          </w:tcPr>
          <w:p w14:paraId="1F713C45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0"/>
                <w:lang w:val="en-US" w:eastAsia="zh-CN"/>
              </w:rPr>
              <w:t>Table 3 Comparison of post-operative efficacy indicators among participants with different etiologies of acute pancreatitis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0"/>
                <w:lang w:val="en-US" w:eastAsia="zh-CN"/>
              </w:rPr>
              <w:t xml:space="preserve"> 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 xml:space="preserve">(N=146,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xˉ±s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>)</w:t>
            </w:r>
          </w:p>
        </w:tc>
      </w:tr>
      <w:tr w14:paraId="47B8979E">
        <w:trPr>
          <w:trHeight w:val="397" w:hRule="atLeast"/>
        </w:trPr>
        <w:tc>
          <w:tcPr>
            <w:tcW w:w="3156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597AECC4">
            <w:pPr>
              <w:spacing w:after="0"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Indicators</w:t>
            </w:r>
          </w:p>
        </w:tc>
        <w:tc>
          <w:tcPr>
            <w:tcW w:w="1416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18A500B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Biliary AP</w:t>
            </w:r>
          </w:p>
          <w:p w14:paraId="5300BA4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(n=62)</w:t>
            </w:r>
          </w:p>
        </w:tc>
        <w:tc>
          <w:tcPr>
            <w:tcW w:w="1889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4D0D7B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Hypertriglyceridemi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AP (n=56)</w:t>
            </w:r>
          </w:p>
        </w:tc>
        <w:tc>
          <w:tcPr>
            <w:tcW w:w="1527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7FD8D9D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etiology AP (n=28)</w:t>
            </w:r>
          </w:p>
        </w:tc>
        <w:tc>
          <w:tcPr>
            <w:tcW w:w="1077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6CECC9A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885" w:type="dxa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4AB9AE7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 xml:space="preserve"> value</w:t>
            </w:r>
          </w:p>
        </w:tc>
      </w:tr>
      <w:tr w14:paraId="1BC96D4E">
        <w:trPr>
          <w:trHeight w:val="397" w:hRule="atLeast"/>
        </w:trPr>
        <w:tc>
          <w:tcPr>
            <w:tcW w:w="3156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1D8C362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Post-operative pain relief time (h)</w:t>
            </w:r>
          </w:p>
        </w:tc>
        <w:tc>
          <w:tcPr>
            <w:tcW w:w="1416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64013C3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24.00</w:t>
            </w:r>
          </w:p>
          <w:p w14:paraId="0A04DD6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[12.00,24.00]</w:t>
            </w:r>
          </w:p>
        </w:tc>
        <w:tc>
          <w:tcPr>
            <w:tcW w:w="1889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26128806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24.00[12.00,24.00]</w:t>
            </w:r>
          </w:p>
        </w:tc>
        <w:tc>
          <w:tcPr>
            <w:tcW w:w="1527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788A2EA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12.00</w:t>
            </w:r>
          </w:p>
          <w:p w14:paraId="1FCA5D62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[6.00,24.00]</w:t>
            </w:r>
          </w:p>
        </w:tc>
        <w:tc>
          <w:tcPr>
            <w:tcW w:w="1077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3A1CC9E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2.715</w:t>
            </w:r>
          </w:p>
        </w:tc>
        <w:tc>
          <w:tcPr>
            <w:tcW w:w="885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4BCE04AB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0.257</w:t>
            </w:r>
          </w:p>
        </w:tc>
      </w:tr>
      <w:tr w14:paraId="75E10CAC">
        <w:trPr>
          <w:trHeight w:val="397" w:hRule="atLeast"/>
        </w:trPr>
        <w:tc>
          <w:tcPr>
            <w:tcW w:w="3156" w:type="dxa"/>
            <w:tcBorders>
              <w:top w:val="nil"/>
            </w:tcBorders>
            <w:shd w:val="clear" w:color="auto" w:fill="auto"/>
            <w:vAlign w:val="center"/>
          </w:tcPr>
          <w:p w14:paraId="4ECAB9A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Time to first postoperative dietary resumption (h)</w:t>
            </w:r>
          </w:p>
        </w:tc>
        <w:tc>
          <w:tcPr>
            <w:tcW w:w="1416" w:type="dxa"/>
            <w:tcBorders>
              <w:top w:val="nil"/>
            </w:tcBorders>
            <w:shd w:val="clear" w:color="auto" w:fill="auto"/>
            <w:vAlign w:val="center"/>
          </w:tcPr>
          <w:p w14:paraId="00F1CD3A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40.65±22.4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89" w:type="dxa"/>
            <w:tcBorders>
              <w:top w:val="nil"/>
            </w:tcBorders>
            <w:shd w:val="clear" w:color="auto" w:fill="auto"/>
            <w:vAlign w:val="center"/>
          </w:tcPr>
          <w:p w14:paraId="2F09C48D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37.61±24.63</w:t>
            </w:r>
          </w:p>
        </w:tc>
        <w:tc>
          <w:tcPr>
            <w:tcW w:w="1527" w:type="dxa"/>
            <w:tcBorders>
              <w:top w:val="nil"/>
            </w:tcBorders>
            <w:shd w:val="clear" w:color="auto" w:fill="auto"/>
            <w:vAlign w:val="center"/>
          </w:tcPr>
          <w:p w14:paraId="67731847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35.32±31.0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77" w:type="dxa"/>
            <w:tcBorders>
              <w:top w:val="nil"/>
            </w:tcBorders>
            <w:shd w:val="clear" w:color="auto" w:fill="auto"/>
            <w:vAlign w:val="center"/>
          </w:tcPr>
          <w:p w14:paraId="33EBF14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0.485</w:t>
            </w:r>
          </w:p>
        </w:tc>
        <w:tc>
          <w:tcPr>
            <w:tcW w:w="885" w:type="dxa"/>
            <w:tcBorders>
              <w:top w:val="nil"/>
            </w:tcBorders>
            <w:shd w:val="clear" w:color="auto" w:fill="auto"/>
            <w:vAlign w:val="center"/>
          </w:tcPr>
          <w:p w14:paraId="714C6B3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0.617</w:t>
            </w:r>
          </w:p>
        </w:tc>
      </w:tr>
      <w:tr w14:paraId="74D46F00">
        <w:trPr>
          <w:trHeight w:val="397" w:hRule="atLeast"/>
        </w:trPr>
        <w:tc>
          <w:tcPr>
            <w:tcW w:w="3156" w:type="dxa"/>
            <w:shd w:val="clear" w:color="auto" w:fill="auto"/>
            <w:vAlign w:val="center"/>
          </w:tcPr>
          <w:p w14:paraId="1E034F9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Post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operative hospital stay (d)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569DBD5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5.05±3.07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5ED4501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4.71±3.00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6FBB693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3.75±3.90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C5B6614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1.577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6A66B3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0.210</w:t>
            </w:r>
          </w:p>
        </w:tc>
      </w:tr>
      <w:tr w14:paraId="318470A7">
        <w:trPr>
          <w:trHeight w:val="397" w:hRule="atLeast"/>
        </w:trPr>
        <w:tc>
          <w:tcPr>
            <w:tcW w:w="315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836435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Total hospital stay (d)</w:t>
            </w:r>
          </w:p>
        </w:tc>
        <w:tc>
          <w:tcPr>
            <w:tcW w:w="141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7619B5F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6.50±3.2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8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F11E6FE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6.32±3.5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2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65206C18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5.00±3.79</w:t>
            </w:r>
          </w:p>
        </w:tc>
        <w:tc>
          <w:tcPr>
            <w:tcW w:w="107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90B73D9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1.906</w:t>
            </w:r>
          </w:p>
        </w:tc>
        <w:tc>
          <w:tcPr>
            <w:tcW w:w="88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EA1094C">
            <w:pPr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0.152</w:t>
            </w:r>
          </w:p>
        </w:tc>
      </w:tr>
      <w:tr w14:paraId="4659B857">
        <w:trPr>
          <w:trHeight w:val="397" w:hRule="atLeast"/>
        </w:trPr>
        <w:tc>
          <w:tcPr>
            <w:tcW w:w="9950" w:type="dxa"/>
            <w:gridSpan w:val="6"/>
            <w:tcBorders>
              <w:top w:val="single" w:color="auto" w:sz="8" w:space="0"/>
              <w:bottom w:val="nil"/>
            </w:tcBorders>
            <w:shd w:val="clear" w:color="auto" w:fill="auto"/>
            <w:vAlign w:val="center"/>
          </w:tcPr>
          <w:p w14:paraId="1D942106">
            <w:pPr>
              <w:spacing w:after="0" w:line="240" w:lineRule="auto"/>
              <w:jc w:val="left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Note: Median [interquartile range] was presented for non-normally distributed variables; normally-distributed data were expressed as mean ± standard deviation.</w:t>
            </w:r>
          </w:p>
        </w:tc>
      </w:tr>
    </w:tbl>
    <w:p w14:paraId="461D5AF5"/>
    <w:tbl>
      <w:tblPr>
        <w:tblStyle w:val="3"/>
        <w:tblpPr w:leftFromText="180" w:rightFromText="180" w:vertAnchor="text" w:horzAnchor="page" w:tblpX="1820" w:tblpY="304"/>
        <w:tblOverlap w:val="never"/>
        <w:tblW w:w="870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736"/>
        <w:gridCol w:w="1789"/>
        <w:gridCol w:w="1618"/>
        <w:gridCol w:w="1265"/>
        <w:gridCol w:w="1031"/>
      </w:tblGrid>
      <w:tr w14:paraId="64126F34">
        <w:trPr>
          <w:trHeight w:val="454" w:hRule="atLeast"/>
        </w:trPr>
        <w:tc>
          <w:tcPr>
            <w:tcW w:w="8707" w:type="dxa"/>
            <w:gridSpan w:val="6"/>
            <w:tcBorders>
              <w:top w:val="nil"/>
              <w:bottom w:val="single" w:color="auto" w:sz="12" w:space="0"/>
            </w:tcBorders>
            <w:vAlign w:val="center"/>
          </w:tcPr>
          <w:p w14:paraId="6AD57A01">
            <w:pPr>
              <w:pStyle w:val="5"/>
              <w:spacing w:before="0" w:after="0" w:line="240" w:lineRule="auto"/>
              <w:jc w:val="center"/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</w:rPr>
            </w:pP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>Table 4 Comparison of PANQOLI sub</w:t>
            </w:r>
            <w:r>
              <w:rPr>
                <w:rStyle w:val="6"/>
                <w:rFonts w:hint="eastAsia" w:ascii="Times New Roman Bold" w:hAnsi="Times New Roman Bold" w:cs="Times New Roman Bold"/>
                <w:b/>
                <w:bCs w:val="0"/>
                <w:sz w:val="21"/>
                <w:szCs w:val="21"/>
                <w:lang w:val="en-US" w:eastAsia="zh-CN"/>
              </w:rPr>
              <w:t>-</w:t>
            </w: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>domain scores of participants at different time points</w:t>
            </w:r>
          </w:p>
          <w:p w14:paraId="63FBA304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(</w:t>
            </w:r>
            <w:r>
              <w:rPr>
                <w:rStyle w:val="6"/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lang w:val="en-US"/>
              </w:rPr>
              <w:t>N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</w:rPr>
              <w:t>=146</w:t>
            </w:r>
            <w:r>
              <w:rPr>
                <w:rStyle w:val="6"/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lang w:val="en-US"/>
              </w:rPr>
              <w:t xml:space="preserve">, </w:t>
            </w: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lang w:val="en-US" w:eastAsia="zh-CN"/>
              </w:rPr>
              <w:t>xˉ±s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)</w:t>
            </w:r>
          </w:p>
        </w:tc>
      </w:tr>
      <w:tr w14:paraId="3F09ACA9">
        <w:trPr>
          <w:trHeight w:val="454" w:hRule="atLeast"/>
        </w:trPr>
        <w:tc>
          <w:tcPr>
            <w:tcW w:w="1268" w:type="dxa"/>
            <w:tcBorders>
              <w:bottom w:val="single" w:color="auto" w:sz="12" w:space="0"/>
            </w:tcBorders>
            <w:vAlign w:val="center"/>
          </w:tcPr>
          <w:p w14:paraId="0B8006E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Sub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domain</w:t>
            </w:r>
          </w:p>
        </w:tc>
        <w:tc>
          <w:tcPr>
            <w:tcW w:w="1736" w:type="dxa"/>
            <w:tcBorders>
              <w:bottom w:val="single" w:color="auto" w:sz="12" w:space="0"/>
            </w:tcBorders>
            <w:vAlign w:val="center"/>
          </w:tcPr>
          <w:p w14:paraId="69378C1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At admission</w:t>
            </w:r>
          </w:p>
        </w:tc>
        <w:tc>
          <w:tcPr>
            <w:tcW w:w="1789" w:type="dxa"/>
            <w:tcBorders>
              <w:bottom w:val="single" w:color="auto" w:sz="12" w:space="0"/>
            </w:tcBorders>
            <w:vAlign w:val="center"/>
          </w:tcPr>
          <w:p w14:paraId="3FEA603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Before discharge</w:t>
            </w:r>
          </w:p>
        </w:tc>
        <w:tc>
          <w:tcPr>
            <w:tcW w:w="1618" w:type="dxa"/>
            <w:tcBorders>
              <w:bottom w:val="single" w:color="auto" w:sz="12" w:space="0"/>
            </w:tcBorders>
            <w:vAlign w:val="center"/>
          </w:tcPr>
          <w:p w14:paraId="21D1501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week post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discharge</w:t>
            </w:r>
          </w:p>
        </w:tc>
        <w:tc>
          <w:tcPr>
            <w:tcW w:w="1265" w:type="dxa"/>
            <w:tcBorders>
              <w:bottom w:val="single" w:color="auto" w:sz="12" w:space="0"/>
            </w:tcBorders>
            <w:vAlign w:val="center"/>
          </w:tcPr>
          <w:p w14:paraId="4854BC0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1031" w:type="dxa"/>
            <w:tcBorders>
              <w:bottom w:val="single" w:color="auto" w:sz="12" w:space="0"/>
            </w:tcBorders>
            <w:vAlign w:val="center"/>
          </w:tcPr>
          <w:p w14:paraId="40D4E8C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 value</w:t>
            </w:r>
          </w:p>
        </w:tc>
      </w:tr>
      <w:tr w14:paraId="266E7CFF">
        <w:trPr>
          <w:trHeight w:val="454" w:hRule="atLeast"/>
        </w:trPr>
        <w:tc>
          <w:tcPr>
            <w:tcW w:w="1268" w:type="dxa"/>
            <w:tcBorders>
              <w:top w:val="single" w:color="auto" w:sz="12" w:space="0"/>
              <w:bottom w:val="nil"/>
            </w:tcBorders>
            <w:vAlign w:val="center"/>
          </w:tcPr>
          <w:p w14:paraId="74760D9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Physical function</w:t>
            </w:r>
          </w:p>
        </w:tc>
        <w:tc>
          <w:tcPr>
            <w:tcW w:w="1736" w:type="dxa"/>
            <w:tcBorders>
              <w:top w:val="single" w:color="auto" w:sz="12" w:space="0"/>
              <w:bottom w:val="nil"/>
            </w:tcBorders>
            <w:vAlign w:val="center"/>
          </w:tcPr>
          <w:p w14:paraId="2C07FF9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6.79±2.0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89" w:type="dxa"/>
            <w:tcBorders>
              <w:top w:val="single" w:color="auto" w:sz="12" w:space="0"/>
              <w:bottom w:val="nil"/>
            </w:tcBorders>
            <w:vAlign w:val="center"/>
          </w:tcPr>
          <w:p w14:paraId="13C77B5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24.17±1.48</w:t>
            </w:r>
          </w:p>
        </w:tc>
        <w:tc>
          <w:tcPr>
            <w:tcW w:w="1618" w:type="dxa"/>
            <w:tcBorders>
              <w:top w:val="single" w:color="auto" w:sz="12" w:space="0"/>
              <w:bottom w:val="nil"/>
            </w:tcBorders>
            <w:vAlign w:val="center"/>
          </w:tcPr>
          <w:p w14:paraId="60DBCF2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28.83±0.50</w:t>
            </w:r>
          </w:p>
        </w:tc>
        <w:tc>
          <w:tcPr>
            <w:tcW w:w="1265" w:type="dxa"/>
            <w:tcBorders>
              <w:top w:val="single" w:color="auto" w:sz="12" w:space="0"/>
              <w:bottom w:val="nil"/>
            </w:tcBorders>
            <w:vAlign w:val="center"/>
          </w:tcPr>
          <w:p w14:paraId="417A120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9856.084</w:t>
            </w:r>
          </w:p>
        </w:tc>
        <w:tc>
          <w:tcPr>
            <w:tcW w:w="1031" w:type="dxa"/>
            <w:tcBorders>
              <w:top w:val="single" w:color="auto" w:sz="12" w:space="0"/>
              <w:bottom w:val="nil"/>
            </w:tcBorders>
            <w:vAlign w:val="center"/>
          </w:tcPr>
          <w:p w14:paraId="37B0E46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63F53329">
        <w:trPr>
          <w:trHeight w:val="454" w:hRule="atLeast"/>
        </w:trPr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14:paraId="554AC63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Role function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14:paraId="5304549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4.75±1.43</w:t>
            </w:r>
          </w:p>
        </w:tc>
        <w:tc>
          <w:tcPr>
            <w:tcW w:w="1789" w:type="dxa"/>
            <w:tcBorders>
              <w:top w:val="nil"/>
              <w:bottom w:val="nil"/>
            </w:tcBorders>
            <w:vAlign w:val="center"/>
          </w:tcPr>
          <w:p w14:paraId="3029383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13.06±1.53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23EEC29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17.92±1.62</w:t>
            </w:r>
          </w:p>
        </w:tc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65259A0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3075.437</w:t>
            </w:r>
          </w:p>
        </w:tc>
        <w:tc>
          <w:tcPr>
            <w:tcW w:w="1031" w:type="dxa"/>
            <w:tcBorders>
              <w:top w:val="nil"/>
              <w:bottom w:val="nil"/>
            </w:tcBorders>
            <w:vAlign w:val="center"/>
          </w:tcPr>
          <w:p w14:paraId="5F7B31C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14FD77D8">
        <w:trPr>
          <w:trHeight w:val="454" w:hRule="atLeast"/>
        </w:trPr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14:paraId="4030D79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Emotional function</w:t>
            </w:r>
          </w:p>
        </w:tc>
        <w:tc>
          <w:tcPr>
            <w:tcW w:w="1736" w:type="dxa"/>
            <w:tcBorders>
              <w:top w:val="nil"/>
            </w:tcBorders>
            <w:vAlign w:val="center"/>
          </w:tcPr>
          <w:p w14:paraId="00DA486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3.72±2.10</w:t>
            </w:r>
          </w:p>
        </w:tc>
        <w:tc>
          <w:tcPr>
            <w:tcW w:w="1789" w:type="dxa"/>
            <w:tcBorders>
              <w:top w:val="nil"/>
            </w:tcBorders>
            <w:vAlign w:val="center"/>
          </w:tcPr>
          <w:p w14:paraId="5B75F45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15.47±0.77</w:t>
            </w:r>
          </w:p>
        </w:tc>
        <w:tc>
          <w:tcPr>
            <w:tcW w:w="1618" w:type="dxa"/>
            <w:tcBorders>
              <w:top w:val="nil"/>
            </w:tcBorders>
            <w:vAlign w:val="center"/>
          </w:tcPr>
          <w:p w14:paraId="79D5109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17.66±0.78</w:t>
            </w:r>
          </w:p>
        </w:tc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773D639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4480.219</w:t>
            </w:r>
          </w:p>
        </w:tc>
        <w:tc>
          <w:tcPr>
            <w:tcW w:w="1031" w:type="dxa"/>
            <w:tcBorders>
              <w:top w:val="nil"/>
              <w:bottom w:val="nil"/>
            </w:tcBorders>
            <w:vAlign w:val="center"/>
          </w:tcPr>
          <w:p w14:paraId="5AACD53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3D1AEFC8">
        <w:trPr>
          <w:trHeight w:val="454" w:hRule="atLeast"/>
        </w:trPr>
        <w:tc>
          <w:tcPr>
            <w:tcW w:w="1268" w:type="dxa"/>
            <w:tcBorders>
              <w:top w:val="nil"/>
              <w:bottom w:val="nil"/>
            </w:tcBorders>
            <w:vAlign w:val="center"/>
          </w:tcPr>
          <w:p w14:paraId="4B32082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Self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worth</w:t>
            </w:r>
          </w:p>
        </w:tc>
        <w:tc>
          <w:tcPr>
            <w:tcW w:w="1736" w:type="dxa"/>
            <w:vAlign w:val="center"/>
          </w:tcPr>
          <w:p w14:paraId="388F648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4.59±1.6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89" w:type="dxa"/>
            <w:vAlign w:val="center"/>
          </w:tcPr>
          <w:p w14:paraId="49D6ACA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15.34±1.14</w:t>
            </w:r>
          </w:p>
        </w:tc>
        <w:tc>
          <w:tcPr>
            <w:tcW w:w="1618" w:type="dxa"/>
            <w:vAlign w:val="center"/>
          </w:tcPr>
          <w:p w14:paraId="7A75BBB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17.82±0.7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4E830E0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5229.293</w:t>
            </w:r>
          </w:p>
        </w:tc>
        <w:tc>
          <w:tcPr>
            <w:tcW w:w="1031" w:type="dxa"/>
            <w:tcBorders>
              <w:top w:val="nil"/>
              <w:bottom w:val="nil"/>
            </w:tcBorders>
            <w:vAlign w:val="center"/>
          </w:tcPr>
          <w:p w14:paraId="4619384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3BA68E4D">
        <w:trPr>
          <w:trHeight w:val="454" w:hRule="atLeast"/>
        </w:trPr>
        <w:tc>
          <w:tcPr>
            <w:tcW w:w="1268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08D66DB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Total score</w:t>
            </w:r>
          </w:p>
        </w:tc>
        <w:tc>
          <w:tcPr>
            <w:tcW w:w="173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9A2310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19.84±3.9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8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94C0E3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68.04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2.93</w:t>
            </w:r>
          </w:p>
        </w:tc>
        <w:tc>
          <w:tcPr>
            <w:tcW w:w="1618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460E91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82.23±2.35</w:t>
            </w:r>
          </w:p>
        </w:tc>
        <w:tc>
          <w:tcPr>
            <w:tcW w:w="1265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1678E325">
            <w:pPr>
              <w:widowControl w:val="0"/>
              <w:spacing w:after="0"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18756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104</w:t>
            </w:r>
          </w:p>
        </w:tc>
        <w:tc>
          <w:tcPr>
            <w:tcW w:w="1031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3171D28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507A6D50">
        <w:trPr>
          <w:trHeight w:val="573" w:hRule="atLeast"/>
        </w:trPr>
        <w:tc>
          <w:tcPr>
            <w:tcW w:w="8707" w:type="dxa"/>
            <w:gridSpan w:val="6"/>
            <w:tcBorders>
              <w:top w:val="single" w:color="auto" w:sz="8" w:space="0"/>
              <w:bottom w:val="nil"/>
            </w:tcBorders>
            <w:vAlign w:val="center"/>
          </w:tcPr>
          <w:p w14:paraId="5187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Data are presented as mean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±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standard deviation. Repeated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measures analysis of variance was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applied for inter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time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 xml:space="preserve">point comparison. </w:t>
            </w:r>
            <w:r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&lt;0.001 indicates statistically significant difference.</w:t>
            </w:r>
          </w:p>
        </w:tc>
      </w:tr>
    </w:tbl>
    <w:p w14:paraId="0BFC5AF5"/>
    <w:p w14:paraId="7674D15E"/>
    <w:p w14:paraId="0CE18F4E"/>
    <w:tbl>
      <w:tblPr>
        <w:tblStyle w:val="3"/>
        <w:tblW w:w="870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1375"/>
        <w:gridCol w:w="1701"/>
        <w:gridCol w:w="1595"/>
        <w:gridCol w:w="1120"/>
        <w:gridCol w:w="1022"/>
      </w:tblGrid>
      <w:tr w14:paraId="02DD313B">
        <w:trPr>
          <w:trHeight w:val="397" w:hRule="atLeast"/>
          <w:jc w:val="center"/>
        </w:trPr>
        <w:tc>
          <w:tcPr>
            <w:tcW w:w="8707" w:type="dxa"/>
            <w:gridSpan w:val="6"/>
            <w:tcBorders>
              <w:top w:val="nil"/>
              <w:bottom w:val="single" w:color="auto" w:sz="12" w:space="0"/>
            </w:tcBorders>
            <w:vAlign w:val="center"/>
          </w:tcPr>
          <w:p w14:paraId="02986BBE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 xml:space="preserve">Table 5 Comparison of AP-related symptoms and emotional changes among participants at different time points 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 xml:space="preserve">(N=146,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xˉ±s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>)</w:t>
            </w:r>
          </w:p>
        </w:tc>
      </w:tr>
      <w:tr w14:paraId="2F18AE8D">
        <w:trPr>
          <w:trHeight w:val="397" w:hRule="atLeast"/>
          <w:jc w:val="center"/>
        </w:trPr>
        <w:tc>
          <w:tcPr>
            <w:tcW w:w="1894" w:type="dxa"/>
            <w:tcBorders>
              <w:bottom w:val="single" w:color="auto" w:sz="12" w:space="0"/>
            </w:tcBorders>
            <w:vAlign w:val="center"/>
          </w:tcPr>
          <w:p w14:paraId="5B5930A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tem</w:t>
            </w: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 w14:paraId="0E151BE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At admission</w:t>
            </w: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4D29E6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Before discharge</w:t>
            </w:r>
          </w:p>
        </w:tc>
        <w:tc>
          <w:tcPr>
            <w:tcW w:w="1595" w:type="dxa"/>
            <w:tcBorders>
              <w:bottom w:val="single" w:color="auto" w:sz="12" w:space="0"/>
            </w:tcBorders>
            <w:vAlign w:val="center"/>
          </w:tcPr>
          <w:p w14:paraId="78938F0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2-week post-discharge</w:t>
            </w:r>
          </w:p>
        </w:tc>
        <w:tc>
          <w:tcPr>
            <w:tcW w:w="1120" w:type="dxa"/>
            <w:tcBorders>
              <w:bottom w:val="single" w:color="auto" w:sz="12" w:space="0"/>
            </w:tcBorders>
            <w:vAlign w:val="center"/>
          </w:tcPr>
          <w:p w14:paraId="13384B0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1022" w:type="dxa"/>
            <w:tcBorders>
              <w:bottom w:val="single" w:color="auto" w:sz="12" w:space="0"/>
            </w:tcBorders>
            <w:vAlign w:val="center"/>
          </w:tcPr>
          <w:p w14:paraId="72B8333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sz w:val="21"/>
                <w:szCs w:val="21"/>
                <w:lang w:val="en-US" w:eastAsia="zh-CN"/>
              </w:rPr>
              <w:t xml:space="preserve">P 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value</w:t>
            </w:r>
          </w:p>
        </w:tc>
      </w:tr>
      <w:tr w14:paraId="57601626">
        <w:trPr>
          <w:trHeight w:val="397" w:hRule="atLeast"/>
          <w:jc w:val="center"/>
        </w:trPr>
        <w:tc>
          <w:tcPr>
            <w:tcW w:w="8707" w:type="dxa"/>
            <w:gridSpan w:val="6"/>
            <w:tcBorders>
              <w:top w:val="single" w:color="auto" w:sz="12" w:space="0"/>
              <w:bottom w:val="nil"/>
            </w:tcBorders>
            <w:shd w:val="clear" w:color="auto" w:fill="EDD1D7"/>
            <w:vAlign w:val="center"/>
          </w:tcPr>
          <w:p w14:paraId="7DF0F63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sz w:val="21"/>
                <w:szCs w:val="21"/>
                <w:lang w:val="en-US" w:eastAsia="zh-CN"/>
              </w:rPr>
              <w:t>Symptom changes</w:t>
            </w:r>
          </w:p>
        </w:tc>
      </w:tr>
      <w:tr w14:paraId="01056EB4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B3B45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Pain severity</w:t>
            </w:r>
          </w:p>
        </w:tc>
        <w:tc>
          <w:tcPr>
            <w:tcW w:w="137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9C1B4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0.21±0.4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FB1F0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4.92±0.2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085A5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4.96±0.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1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41FDB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12265.646</w:t>
            </w:r>
          </w:p>
        </w:tc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C3670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229DDF09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vAlign w:val="center"/>
          </w:tcPr>
          <w:p w14:paraId="481FD81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Vomiting severity</w:t>
            </w:r>
          </w:p>
        </w:tc>
        <w:tc>
          <w:tcPr>
            <w:tcW w:w="1375" w:type="dxa"/>
            <w:tcBorders>
              <w:top w:val="nil"/>
              <w:bottom w:val="nil"/>
            </w:tcBorders>
            <w:vAlign w:val="center"/>
          </w:tcPr>
          <w:p w14:paraId="36442E4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0.96±0.66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C35ED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4.91±0.2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14:paraId="1F82F07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4.97±0.16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891FE5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4331.723</w:t>
            </w:r>
          </w:p>
        </w:tc>
        <w:tc>
          <w:tcPr>
            <w:tcW w:w="1022" w:type="dxa"/>
            <w:tcBorders>
              <w:top w:val="nil"/>
              <w:bottom w:val="nil"/>
            </w:tcBorders>
            <w:vAlign w:val="center"/>
          </w:tcPr>
          <w:p w14:paraId="40129A3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05593066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vAlign w:val="center"/>
          </w:tcPr>
          <w:p w14:paraId="626AA9B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Nausea severity</w:t>
            </w:r>
          </w:p>
        </w:tc>
        <w:tc>
          <w:tcPr>
            <w:tcW w:w="1375" w:type="dxa"/>
            <w:tcBorders>
              <w:top w:val="nil"/>
            </w:tcBorders>
            <w:vAlign w:val="center"/>
          </w:tcPr>
          <w:p w14:paraId="3E4F2B2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0.91±0.67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740EB9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4.87±0.41</w:t>
            </w:r>
          </w:p>
        </w:tc>
        <w:tc>
          <w:tcPr>
            <w:tcW w:w="1595" w:type="dxa"/>
            <w:tcBorders>
              <w:top w:val="nil"/>
            </w:tcBorders>
            <w:vAlign w:val="center"/>
          </w:tcPr>
          <w:p w14:paraId="7F0E065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4.97±0.1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74E9155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3579.748</w:t>
            </w:r>
          </w:p>
        </w:tc>
        <w:tc>
          <w:tcPr>
            <w:tcW w:w="1022" w:type="dxa"/>
            <w:tcBorders>
              <w:top w:val="nil"/>
              <w:bottom w:val="nil"/>
            </w:tcBorders>
            <w:vAlign w:val="center"/>
          </w:tcPr>
          <w:p w14:paraId="23AC40F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74C3330B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vAlign w:val="center"/>
          </w:tcPr>
          <w:p w14:paraId="29EF305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Diarrhea severity</w:t>
            </w:r>
          </w:p>
        </w:tc>
        <w:tc>
          <w:tcPr>
            <w:tcW w:w="1375" w:type="dxa"/>
            <w:vAlign w:val="center"/>
          </w:tcPr>
          <w:p w14:paraId="7491FBE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1.97±1.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701" w:type="dxa"/>
            <w:vAlign w:val="center"/>
          </w:tcPr>
          <w:p w14:paraId="009E37B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4.89±0.31</w:t>
            </w:r>
          </w:p>
        </w:tc>
        <w:tc>
          <w:tcPr>
            <w:tcW w:w="1595" w:type="dxa"/>
            <w:vAlign w:val="center"/>
          </w:tcPr>
          <w:p w14:paraId="014FD7D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4.97±0.16</w:t>
            </w: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2116412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730.381</w:t>
            </w:r>
          </w:p>
        </w:tc>
        <w:tc>
          <w:tcPr>
            <w:tcW w:w="1022" w:type="dxa"/>
            <w:tcBorders>
              <w:top w:val="nil"/>
              <w:bottom w:val="nil"/>
            </w:tcBorders>
            <w:vAlign w:val="center"/>
          </w:tcPr>
          <w:p w14:paraId="0D7D420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1E255FE7">
        <w:trPr>
          <w:trHeight w:val="397" w:hRule="atLeast"/>
          <w:jc w:val="center"/>
        </w:trPr>
        <w:tc>
          <w:tcPr>
            <w:tcW w:w="8707" w:type="dxa"/>
            <w:gridSpan w:val="6"/>
            <w:tcBorders>
              <w:top w:val="nil"/>
              <w:bottom w:val="nil"/>
            </w:tcBorders>
            <w:shd w:val="clear" w:color="auto" w:fill="EDD1D7"/>
            <w:vAlign w:val="center"/>
          </w:tcPr>
          <w:p w14:paraId="673003C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sz w:val="21"/>
                <w:szCs w:val="21"/>
                <w:highlight w:val="none"/>
                <w:lang w:val="en-US" w:eastAsia="zh-CN"/>
              </w:rPr>
              <w:t>Emotional changes</w:t>
            </w:r>
          </w:p>
        </w:tc>
      </w:tr>
      <w:tr w14:paraId="61D8B17A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2D584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Depression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frustration severity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E68D883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1.07±1.14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6E5E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3.89±0.31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45CE1B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4.07±0.25</w:t>
            </w:r>
          </w:p>
        </w:tc>
        <w:tc>
          <w:tcPr>
            <w:tcW w:w="11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EFE74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  <w:t>801.763</w:t>
            </w:r>
          </w:p>
        </w:tc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3BB76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19201489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21A89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Anxiety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worry severity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455AD7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0.43±0.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51BF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3.84±0.37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23A1A58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4.00±0.33</w:t>
            </w:r>
          </w:p>
        </w:tc>
        <w:tc>
          <w:tcPr>
            <w:tcW w:w="11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C0C00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  <w:t>3874.924</w:t>
            </w:r>
          </w:p>
        </w:tc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FA239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322FD013">
        <w:trPr>
          <w:trHeight w:val="397" w:hRule="atLeast"/>
          <w:jc w:val="center"/>
        </w:trPr>
        <w:tc>
          <w:tcPr>
            <w:tcW w:w="1894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 w14:paraId="5553392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Irritability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anger severity</w:t>
            </w:r>
          </w:p>
        </w:tc>
        <w:tc>
          <w:tcPr>
            <w:tcW w:w="1375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6F619CE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0.94±0.6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01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14D3768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3.86±0.3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95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65EE0C2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4.84±0.38</w:t>
            </w:r>
          </w:p>
        </w:tc>
        <w:tc>
          <w:tcPr>
            <w:tcW w:w="1120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 w14:paraId="3AE238D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  <w:t>2676.975</w:t>
            </w:r>
          </w:p>
        </w:tc>
        <w:tc>
          <w:tcPr>
            <w:tcW w:w="1022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 w14:paraId="430D496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</w:tbl>
    <w:p w14:paraId="5883502B"/>
    <w:tbl>
      <w:tblPr>
        <w:tblStyle w:val="3"/>
        <w:tblpPr w:leftFromText="180" w:rightFromText="180" w:vertAnchor="text" w:horzAnchor="page" w:tblpX="1820" w:tblpY="304"/>
        <w:tblOverlap w:val="never"/>
        <w:tblW w:w="870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1466"/>
        <w:gridCol w:w="1757"/>
        <w:gridCol w:w="1720"/>
        <w:gridCol w:w="1146"/>
        <w:gridCol w:w="1124"/>
      </w:tblGrid>
      <w:tr w14:paraId="09A1E6B0">
        <w:trPr>
          <w:trHeight w:val="454" w:hRule="atLeast"/>
        </w:trPr>
        <w:tc>
          <w:tcPr>
            <w:tcW w:w="8707" w:type="dxa"/>
            <w:gridSpan w:val="6"/>
            <w:tcBorders>
              <w:top w:val="nil"/>
              <w:bottom w:val="single" w:color="auto" w:sz="12" w:space="0"/>
            </w:tcBorders>
            <w:vAlign w:val="center"/>
          </w:tcPr>
          <w:p w14:paraId="338BA0F9">
            <w:pPr>
              <w:pStyle w:val="5"/>
              <w:spacing w:before="0" w:after="0" w:line="240" w:lineRule="auto"/>
              <w:jc w:val="center"/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</w:rPr>
            </w:pP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>Table 6 Comparison of GCQ sub</w:t>
            </w:r>
            <w:r>
              <w:rPr>
                <w:rStyle w:val="6"/>
                <w:rFonts w:hint="default" w:ascii="Times New Roman Bold" w:hAnsi="Times New Roman Bold" w:cs="Times New Roman Bold"/>
                <w:b/>
                <w:bCs w:val="0"/>
                <w:sz w:val="21"/>
                <w:szCs w:val="21"/>
                <w:lang w:val="en-US" w:eastAsia="zh-CN"/>
              </w:rPr>
              <w:t>-</w:t>
            </w:r>
            <w:r>
              <w:rPr>
                <w:rStyle w:val="6"/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val="en-US" w:eastAsia="zh-CN"/>
              </w:rPr>
              <w:t>domain scores of participants at different time points</w:t>
            </w:r>
          </w:p>
          <w:p w14:paraId="5B690BDF">
            <w:pPr>
              <w:pStyle w:val="5"/>
              <w:spacing w:before="0"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sz w:val="21"/>
                <w:szCs w:val="21"/>
                <w:lang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(</w:t>
            </w:r>
            <w:r>
              <w:rPr>
                <w:rStyle w:val="6"/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lang w:val="en-US"/>
              </w:rPr>
              <w:t>N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</w:rPr>
              <w:t>=146</w:t>
            </w:r>
            <w:r>
              <w:rPr>
                <w:rStyle w:val="6"/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lang w:val="en-US"/>
              </w:rPr>
              <w:t xml:space="preserve">, </w:t>
            </w: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lang w:val="en-US" w:eastAsia="zh-CN"/>
              </w:rPr>
              <w:t>xˉ±s</w:t>
            </w:r>
            <w:r>
              <w:rPr>
                <w:rStyle w:val="6"/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)</w:t>
            </w:r>
          </w:p>
        </w:tc>
      </w:tr>
      <w:tr w14:paraId="1EEBBFD9">
        <w:trPr>
          <w:trHeight w:val="454" w:hRule="atLeast"/>
        </w:trPr>
        <w:tc>
          <w:tcPr>
            <w:tcW w:w="1494" w:type="dxa"/>
            <w:tcBorders>
              <w:bottom w:val="single" w:color="auto" w:sz="12" w:space="0"/>
            </w:tcBorders>
            <w:vAlign w:val="center"/>
          </w:tcPr>
          <w:p w14:paraId="67C38C7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Sub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noBreakHyphen/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domain</w:t>
            </w:r>
          </w:p>
        </w:tc>
        <w:tc>
          <w:tcPr>
            <w:tcW w:w="1466" w:type="dxa"/>
            <w:tcBorders>
              <w:bottom w:val="single" w:color="auto" w:sz="12" w:space="0"/>
            </w:tcBorders>
            <w:vAlign w:val="center"/>
          </w:tcPr>
          <w:p w14:paraId="1234A29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At admission</w:t>
            </w:r>
          </w:p>
        </w:tc>
        <w:tc>
          <w:tcPr>
            <w:tcW w:w="1757" w:type="dxa"/>
            <w:tcBorders>
              <w:bottom w:val="single" w:color="auto" w:sz="12" w:space="0"/>
            </w:tcBorders>
            <w:vAlign w:val="center"/>
          </w:tcPr>
          <w:p w14:paraId="09BC4CD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Before discharge</w:t>
            </w:r>
          </w:p>
        </w:tc>
        <w:tc>
          <w:tcPr>
            <w:tcW w:w="1720" w:type="dxa"/>
            <w:tcBorders>
              <w:bottom w:val="single" w:color="auto" w:sz="12" w:space="0"/>
            </w:tcBorders>
            <w:vAlign w:val="center"/>
          </w:tcPr>
          <w:p w14:paraId="56AFF6B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week post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discharge</w:t>
            </w:r>
          </w:p>
        </w:tc>
        <w:tc>
          <w:tcPr>
            <w:tcW w:w="1146" w:type="dxa"/>
            <w:tcBorders>
              <w:bottom w:val="single" w:color="auto" w:sz="12" w:space="0"/>
            </w:tcBorders>
            <w:vAlign w:val="center"/>
          </w:tcPr>
          <w:p w14:paraId="75A0229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Statistical value</w:t>
            </w:r>
          </w:p>
        </w:tc>
        <w:tc>
          <w:tcPr>
            <w:tcW w:w="1124" w:type="dxa"/>
            <w:tcBorders>
              <w:bottom w:val="single" w:color="auto" w:sz="12" w:space="0"/>
            </w:tcBorders>
            <w:vAlign w:val="center"/>
          </w:tcPr>
          <w:p w14:paraId="1F66BBF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 value</w:t>
            </w:r>
          </w:p>
        </w:tc>
      </w:tr>
      <w:tr w14:paraId="1754D6CB">
        <w:trPr>
          <w:trHeight w:val="454" w:hRule="atLeast"/>
        </w:trPr>
        <w:tc>
          <w:tcPr>
            <w:tcW w:w="1494" w:type="dxa"/>
            <w:tcBorders>
              <w:top w:val="single" w:color="auto" w:sz="12" w:space="0"/>
              <w:bottom w:val="nil"/>
            </w:tcBorders>
            <w:vAlign w:val="center"/>
          </w:tcPr>
          <w:p w14:paraId="5EE70E1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Physiological domain</w:t>
            </w:r>
          </w:p>
        </w:tc>
        <w:tc>
          <w:tcPr>
            <w:tcW w:w="1466" w:type="dxa"/>
            <w:tcBorders>
              <w:top w:val="single" w:color="auto" w:sz="12" w:space="0"/>
              <w:bottom w:val="nil"/>
            </w:tcBorders>
            <w:vAlign w:val="center"/>
          </w:tcPr>
          <w:p w14:paraId="4D96EAE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7.88±1.27</w:t>
            </w:r>
          </w:p>
        </w:tc>
        <w:tc>
          <w:tcPr>
            <w:tcW w:w="1757" w:type="dxa"/>
            <w:tcBorders>
              <w:top w:val="single" w:color="auto" w:sz="12" w:space="0"/>
              <w:bottom w:val="nil"/>
            </w:tcBorders>
            <w:vAlign w:val="center"/>
          </w:tcPr>
          <w:p w14:paraId="6D45132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16.10±0.92</w:t>
            </w:r>
          </w:p>
        </w:tc>
        <w:tc>
          <w:tcPr>
            <w:tcW w:w="1720" w:type="dxa"/>
            <w:tcBorders>
              <w:top w:val="single" w:color="auto" w:sz="12" w:space="0"/>
              <w:bottom w:val="nil"/>
            </w:tcBorders>
            <w:vAlign w:val="center"/>
          </w:tcPr>
          <w:p w14:paraId="4D353D95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18.67±0.86</w:t>
            </w:r>
          </w:p>
        </w:tc>
        <w:tc>
          <w:tcPr>
            <w:tcW w:w="1146" w:type="dxa"/>
            <w:tcBorders>
              <w:top w:val="single" w:color="auto" w:sz="12" w:space="0"/>
              <w:bottom w:val="nil"/>
            </w:tcBorders>
            <w:vAlign w:val="center"/>
          </w:tcPr>
          <w:p w14:paraId="3E4400C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4291.312</w:t>
            </w:r>
          </w:p>
        </w:tc>
        <w:tc>
          <w:tcPr>
            <w:tcW w:w="1124" w:type="dxa"/>
            <w:tcBorders>
              <w:top w:val="single" w:color="auto" w:sz="12" w:space="0"/>
              <w:bottom w:val="nil"/>
            </w:tcBorders>
            <w:vAlign w:val="center"/>
          </w:tcPr>
          <w:p w14:paraId="3212AF3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303CC274">
        <w:trPr>
          <w:trHeight w:val="454" w:hRule="atLeast"/>
        </w:trPr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0C0AEB8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Psychological domain</w:t>
            </w:r>
          </w:p>
        </w:tc>
        <w:tc>
          <w:tcPr>
            <w:tcW w:w="1466" w:type="dxa"/>
            <w:tcBorders>
              <w:top w:val="nil"/>
              <w:bottom w:val="nil"/>
            </w:tcBorders>
            <w:vAlign w:val="center"/>
          </w:tcPr>
          <w:p w14:paraId="4F00945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19.73±1.3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4FA884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30.95±1.2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 w14:paraId="29D3ED5C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34.47±1.2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6" w:type="dxa"/>
            <w:tcBorders>
              <w:top w:val="nil"/>
              <w:bottom w:val="nil"/>
            </w:tcBorders>
            <w:vAlign w:val="center"/>
          </w:tcPr>
          <w:p w14:paraId="0964A6D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5116.861</w:t>
            </w:r>
          </w:p>
        </w:tc>
        <w:tc>
          <w:tcPr>
            <w:tcW w:w="1124" w:type="dxa"/>
            <w:tcBorders>
              <w:top w:val="nil"/>
              <w:bottom w:val="nil"/>
            </w:tcBorders>
            <w:vAlign w:val="center"/>
          </w:tcPr>
          <w:p w14:paraId="26D4D50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1DAF499A">
        <w:trPr>
          <w:trHeight w:val="454" w:hRule="atLeast"/>
        </w:trPr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09EF4D6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Social domain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6ACD2579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17.32±1.7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57" w:type="dxa"/>
            <w:tcBorders>
              <w:top w:val="nil"/>
            </w:tcBorders>
            <w:vAlign w:val="center"/>
          </w:tcPr>
          <w:p w14:paraId="2966E87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24.36±2.0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20" w:type="dxa"/>
            <w:tcBorders>
              <w:top w:val="nil"/>
            </w:tcBorders>
            <w:vAlign w:val="center"/>
          </w:tcPr>
          <w:p w14:paraId="2F30E45D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27.01±1.3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6" w:type="dxa"/>
            <w:tcBorders>
              <w:top w:val="nil"/>
              <w:bottom w:val="nil"/>
            </w:tcBorders>
            <w:vAlign w:val="center"/>
          </w:tcPr>
          <w:p w14:paraId="464E46F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1197.874</w:t>
            </w:r>
          </w:p>
        </w:tc>
        <w:tc>
          <w:tcPr>
            <w:tcW w:w="1124" w:type="dxa"/>
            <w:tcBorders>
              <w:top w:val="nil"/>
              <w:bottom w:val="nil"/>
            </w:tcBorders>
            <w:vAlign w:val="center"/>
          </w:tcPr>
          <w:p w14:paraId="10D3EDD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6E2522F8">
        <w:trPr>
          <w:trHeight w:val="454" w:hRule="atLeast"/>
        </w:trPr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5BE9FA1E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Environmental domain</w:t>
            </w:r>
          </w:p>
        </w:tc>
        <w:tc>
          <w:tcPr>
            <w:tcW w:w="1466" w:type="dxa"/>
            <w:vAlign w:val="center"/>
          </w:tcPr>
          <w:p w14:paraId="37FC36F7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12.89±1.39</w:t>
            </w:r>
          </w:p>
        </w:tc>
        <w:tc>
          <w:tcPr>
            <w:tcW w:w="1757" w:type="dxa"/>
            <w:vAlign w:val="center"/>
          </w:tcPr>
          <w:p w14:paraId="6B7B2D7F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22.10±1.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720" w:type="dxa"/>
            <w:vAlign w:val="center"/>
          </w:tcPr>
          <w:p w14:paraId="5B30A036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23.40±1.30</w:t>
            </w:r>
          </w:p>
        </w:tc>
        <w:tc>
          <w:tcPr>
            <w:tcW w:w="1146" w:type="dxa"/>
            <w:tcBorders>
              <w:top w:val="nil"/>
              <w:bottom w:val="nil"/>
            </w:tcBorders>
            <w:vAlign w:val="center"/>
          </w:tcPr>
          <w:p w14:paraId="6DC1FD9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2104.306</w:t>
            </w:r>
          </w:p>
        </w:tc>
        <w:tc>
          <w:tcPr>
            <w:tcW w:w="1124" w:type="dxa"/>
            <w:tcBorders>
              <w:top w:val="nil"/>
              <w:bottom w:val="nil"/>
            </w:tcBorders>
            <w:vAlign w:val="center"/>
          </w:tcPr>
          <w:p w14:paraId="3DB8DA30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6968181A">
        <w:trPr>
          <w:trHeight w:val="454" w:hRule="atLeast"/>
        </w:trPr>
        <w:tc>
          <w:tcPr>
            <w:tcW w:w="1494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0F71FCDA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Total score</w:t>
            </w:r>
          </w:p>
        </w:tc>
        <w:tc>
          <w:tcPr>
            <w:tcW w:w="146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47B096F8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57.82±3.35</w:t>
            </w:r>
          </w:p>
        </w:tc>
        <w:tc>
          <w:tcPr>
            <w:tcW w:w="175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9305A5B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93.51±3.31</w:t>
            </w:r>
          </w:p>
        </w:tc>
        <w:tc>
          <w:tcPr>
            <w:tcW w:w="172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53F0A01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103.55±2.4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6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6FC3704E">
            <w:pPr>
              <w:widowControl w:val="0"/>
              <w:spacing w:after="0"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highlight w:val="none"/>
                <w:lang w:val="en-US" w:eastAsia="zh-CN"/>
              </w:rPr>
              <w:t>7985.350</w:t>
            </w:r>
          </w:p>
        </w:tc>
        <w:tc>
          <w:tcPr>
            <w:tcW w:w="1124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4C4D45F4">
            <w:pPr>
              <w:widowControl w:val="0"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＜0.001</w:t>
            </w:r>
          </w:p>
        </w:tc>
      </w:tr>
      <w:tr w14:paraId="7E92DFC7">
        <w:trPr>
          <w:trHeight w:val="573" w:hRule="atLeast"/>
        </w:trPr>
        <w:tc>
          <w:tcPr>
            <w:tcW w:w="8707" w:type="dxa"/>
            <w:gridSpan w:val="6"/>
            <w:tcBorders>
              <w:top w:val="single" w:color="auto" w:sz="8" w:space="0"/>
              <w:bottom w:val="nil"/>
            </w:tcBorders>
            <w:vAlign w:val="center"/>
          </w:tcPr>
          <w:p w14:paraId="67AE1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Data are expressed as mean ± standard deviation. Repeated‑measures analysis of variance was used for comparisons across different time points.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sz w:val="21"/>
                <w:szCs w:val="21"/>
                <w:lang w:val="en-US" w:eastAsia="zh-CN"/>
              </w:rPr>
              <w:t xml:space="preserve"> P </w:t>
            </w: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&lt; 0.001 was considered statistically significant.</w:t>
            </w:r>
          </w:p>
        </w:tc>
      </w:tr>
    </w:tbl>
    <w:p w14:paraId="5ECA8817"/>
    <w:tbl>
      <w:tblPr>
        <w:tblStyle w:val="2"/>
        <w:tblW w:w="8981" w:type="dxa"/>
        <w:tblInd w:w="-1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949"/>
        <w:gridCol w:w="1191"/>
        <w:gridCol w:w="714"/>
        <w:gridCol w:w="942"/>
        <w:gridCol w:w="948"/>
        <w:gridCol w:w="777"/>
        <w:gridCol w:w="874"/>
        <w:gridCol w:w="815"/>
        <w:gridCol w:w="790"/>
      </w:tblGrid>
      <w:tr w14:paraId="2FDB5339">
        <w:trPr>
          <w:trHeight w:val="642" w:hRule="atLeast"/>
        </w:trPr>
        <w:tc>
          <w:tcPr>
            <w:tcW w:w="8981" w:type="dxa"/>
            <w:gridSpan w:val="10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D5E0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sz w:val="21"/>
                <w:szCs w:val="21"/>
                <w:lang w:eastAsia="zh-CN"/>
              </w:rPr>
              <w:t xml:space="preserve">Table 7  Pearson correlation matrix for the reduction range of objective inflammatory indicators and improvement range of subjective outcomes in participants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=146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val="en-US" w:eastAsia="zh-CN"/>
              </w:rPr>
              <w:t>, r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lang w:eastAsia="zh-CN"/>
              </w:rPr>
              <w:t>)</w:t>
            </w:r>
          </w:p>
        </w:tc>
      </w:tr>
      <w:tr w14:paraId="0E67B3D9">
        <w:trPr>
          <w:trHeight w:val="397" w:hRule="atLeast"/>
        </w:trPr>
        <w:tc>
          <w:tcPr>
            <w:tcW w:w="98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06F8D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 w:eastAsia="zh-CN"/>
              </w:rPr>
              <w:t>Variable</w:t>
            </w:r>
          </w:p>
        </w:tc>
        <w:tc>
          <w:tcPr>
            <w:tcW w:w="949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36926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GCQ S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cale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improvement</w:t>
            </w:r>
          </w:p>
        </w:tc>
        <w:tc>
          <w:tcPr>
            <w:tcW w:w="119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7404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PANQOLI S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cale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improvement</w:t>
            </w:r>
          </w:p>
        </w:tc>
        <w:tc>
          <w:tcPr>
            <w:tcW w:w="7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07DF1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Pain relief range</w:t>
            </w:r>
          </w:p>
        </w:tc>
        <w:tc>
          <w:tcPr>
            <w:tcW w:w="94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1B4D4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Vomiting relief range</w:t>
            </w:r>
          </w:p>
        </w:tc>
        <w:tc>
          <w:tcPr>
            <w:tcW w:w="948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4729E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Nausea relief range</w:t>
            </w:r>
          </w:p>
        </w:tc>
        <w:tc>
          <w:tcPr>
            <w:tcW w:w="77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14B99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Diarrhea relief range</w:t>
            </w:r>
          </w:p>
        </w:tc>
        <w:tc>
          <w:tcPr>
            <w:tcW w:w="87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7818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Depression relief range</w:t>
            </w:r>
          </w:p>
        </w:tc>
        <w:tc>
          <w:tcPr>
            <w:tcW w:w="815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7F31B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Anxiety relief range</w:t>
            </w:r>
          </w:p>
        </w:tc>
        <w:tc>
          <w:tcPr>
            <w:tcW w:w="79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 w14:paraId="162F2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Irritability relief range</w:t>
            </w:r>
          </w:p>
        </w:tc>
      </w:tr>
      <w:tr w14:paraId="3F8516C4">
        <w:trPr>
          <w:trHeight w:val="23" w:hRule="atLeast"/>
        </w:trPr>
        <w:tc>
          <w:tcPr>
            <w:tcW w:w="98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222C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Amylase reduction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166E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-0.02</w:t>
            </w:r>
          </w:p>
        </w:tc>
        <w:tc>
          <w:tcPr>
            <w:tcW w:w="119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206A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0.01</w:t>
            </w:r>
          </w:p>
        </w:tc>
        <w:tc>
          <w:tcPr>
            <w:tcW w:w="71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CD0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-0.09</w:t>
            </w:r>
          </w:p>
        </w:tc>
        <w:tc>
          <w:tcPr>
            <w:tcW w:w="94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1EF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-0.02</w:t>
            </w:r>
          </w:p>
        </w:tc>
        <w:tc>
          <w:tcPr>
            <w:tcW w:w="94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3A4C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0.06</w:t>
            </w:r>
          </w:p>
        </w:tc>
        <w:tc>
          <w:tcPr>
            <w:tcW w:w="77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959B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-0.11</w:t>
            </w:r>
          </w:p>
        </w:tc>
        <w:tc>
          <w:tcPr>
            <w:tcW w:w="8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9FA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0.18</w:t>
            </w:r>
          </w:p>
        </w:tc>
        <w:tc>
          <w:tcPr>
            <w:tcW w:w="8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C19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-0.13</w:t>
            </w:r>
          </w:p>
        </w:tc>
        <w:tc>
          <w:tcPr>
            <w:tcW w:w="79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246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0.09</w:t>
            </w:r>
          </w:p>
        </w:tc>
      </w:tr>
      <w:tr w14:paraId="198C6D4B">
        <w:trPr>
          <w:trHeight w:val="23" w:hRule="atLeast"/>
        </w:trPr>
        <w:tc>
          <w:tcPr>
            <w:tcW w:w="981" w:type="dxa"/>
            <w:shd w:val="clear" w:color="auto" w:fill="auto"/>
            <w:vAlign w:val="center"/>
          </w:tcPr>
          <w:p w14:paraId="68EA2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Lipase reduction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9352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095D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7BD04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-0.15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40F94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0.01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22FF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-0.04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55083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-0.02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97C8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0.17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664D1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-0.10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72F3A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0.15</w:t>
            </w:r>
          </w:p>
        </w:tc>
      </w:tr>
      <w:tr w14:paraId="11CBAF72">
        <w:trPr>
          <w:trHeight w:val="23" w:hRule="atLeast"/>
        </w:trPr>
        <w:tc>
          <w:tcPr>
            <w:tcW w:w="981" w:type="dxa"/>
            <w:shd w:val="clear" w:color="auto" w:fill="auto"/>
            <w:vAlign w:val="center"/>
          </w:tcPr>
          <w:p w14:paraId="1D6E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CRP reduction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CF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-0.24*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94C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-0.11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57C1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89ED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-0.09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892F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0.09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147F8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-0.03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1B5C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-0.01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9BF8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-0.01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0BE8A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0.00</w:t>
            </w:r>
          </w:p>
        </w:tc>
      </w:tr>
      <w:tr w14:paraId="3E2DF59F">
        <w:trPr>
          <w:trHeight w:val="23" w:hRule="atLeast"/>
        </w:trPr>
        <w:tc>
          <w:tcPr>
            <w:tcW w:w="981" w:type="dxa"/>
            <w:shd w:val="clear" w:color="auto" w:fill="auto"/>
            <w:vAlign w:val="center"/>
          </w:tcPr>
          <w:p w14:paraId="0937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PCT reduction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8A8D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ABA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0.11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661E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-0.07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FA7D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-0.02*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FC7B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-0.08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3BE03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0.23*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8D2E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-0.04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271F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0.00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1C6E0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0.11</w:t>
            </w:r>
          </w:p>
        </w:tc>
      </w:tr>
      <w:tr w14:paraId="0DB81DC9">
        <w:trPr>
          <w:trHeight w:val="23" w:hRule="atLeast"/>
        </w:trPr>
        <w:tc>
          <w:tcPr>
            <w:tcW w:w="98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D3BF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 reduction</w:t>
            </w:r>
          </w:p>
        </w:tc>
        <w:tc>
          <w:tcPr>
            <w:tcW w:w="949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301B4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0.16</w:t>
            </w:r>
          </w:p>
        </w:tc>
        <w:tc>
          <w:tcPr>
            <w:tcW w:w="119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7157E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0.07</w:t>
            </w:r>
          </w:p>
        </w:tc>
        <w:tc>
          <w:tcPr>
            <w:tcW w:w="71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6875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-0.08</w:t>
            </w:r>
          </w:p>
        </w:tc>
        <w:tc>
          <w:tcPr>
            <w:tcW w:w="94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10670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0.08</w:t>
            </w:r>
          </w:p>
        </w:tc>
        <w:tc>
          <w:tcPr>
            <w:tcW w:w="948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0A98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0.06</w:t>
            </w:r>
          </w:p>
        </w:tc>
        <w:tc>
          <w:tcPr>
            <w:tcW w:w="77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CE81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0.14</w:t>
            </w:r>
          </w:p>
        </w:tc>
        <w:tc>
          <w:tcPr>
            <w:tcW w:w="87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3B61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0.07</w:t>
            </w:r>
          </w:p>
        </w:tc>
        <w:tc>
          <w:tcPr>
            <w:tcW w:w="815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D933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-0.07</w:t>
            </w:r>
          </w:p>
        </w:tc>
        <w:tc>
          <w:tcPr>
            <w:tcW w:w="79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56BD1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  <w:t>0.23*</w:t>
            </w:r>
          </w:p>
        </w:tc>
      </w:tr>
      <w:tr w14:paraId="6E93A905">
        <w:trPr>
          <w:trHeight w:val="684" w:hRule="atLeast"/>
        </w:trPr>
        <w:tc>
          <w:tcPr>
            <w:tcW w:w="8981" w:type="dxa"/>
            <w:gridSpan w:val="10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520EE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Note. Pearson’s correlation coefficients (r) are presented in cells. N=146. *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&lt;0.05, two-tailed.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pairwise correlations were tested via two-tailed Pearson correlation analysis.</w:t>
            </w:r>
          </w:p>
        </w:tc>
      </w:tr>
    </w:tbl>
    <w:p w14:paraId="449F8AC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6AE54"/>
    <w:rsid w:val="2ED6A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MdParagraph"/>
    <w:qFormat/>
    <w:uiPriority w:val="0"/>
    <w:pPr>
      <w:spacing w:before="120" w:after="12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customStyle="1" w:styleId="6">
    <w:name w:val="MdStrong"/>
    <w:unhideWhenUsed/>
    <w:qFormat/>
    <w:uiPriority w:val="99"/>
    <w:rPr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2026-08-13T10:57:00Z</dcterms:created>
  <dc:creator>姚彦蓉</dc:creator>
  <cp:lastModifiedBy>姚彦蓉</cp:lastModifiedBy>
  <dcterms:modified xsi:type="dcterms:W3CDTF">2026-08-13T10:59:10Z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7C1BE23E8C00D064A4327D6AF6458A85_41</vt:lpwstr>
  </property>
</Properties>
</file>