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1.svg" ContentType="image/svg+xml"/>
  <Override PartName="/word/media/image6.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3D203">
      <w:pPr>
        <w:spacing w:line="480" w:lineRule="auto"/>
        <w:ind w:firstLine="0" w:firstLineChars="0"/>
        <w:jc w:val="center"/>
        <w:rPr>
          <w:rFonts w:eastAsia="黑体" w:cs="Times New Roman"/>
          <w:b/>
          <w:bCs/>
          <w:sz w:val="32"/>
          <w:szCs w:val="32"/>
        </w:rPr>
      </w:pPr>
      <w:r>
        <w:rPr>
          <w:rFonts w:eastAsia="黑体" w:cs="Times New Roman"/>
          <w:b/>
          <w:bCs/>
          <w:sz w:val="32"/>
          <w:szCs w:val="32"/>
        </w:rPr>
        <w:t>Supplementary Information</w:t>
      </w:r>
    </w:p>
    <w:p w14:paraId="496C9761">
      <w:pPr>
        <w:spacing w:line="480" w:lineRule="auto"/>
        <w:ind w:firstLine="0" w:firstLineChars="0"/>
        <w:jc w:val="center"/>
        <w:rPr>
          <w:rFonts w:eastAsia="黑体" w:cs="Times New Roman"/>
          <w:b/>
          <w:bCs/>
          <w:sz w:val="32"/>
          <w:szCs w:val="32"/>
        </w:rPr>
      </w:pPr>
    </w:p>
    <w:p w14:paraId="65F8395B">
      <w:pPr>
        <w:spacing w:line="480" w:lineRule="auto"/>
        <w:ind w:firstLine="0" w:firstLineChars="0"/>
        <w:jc w:val="both"/>
        <w:rPr>
          <w:b/>
          <w:bCs/>
          <w:color w:val="000000"/>
          <w:sz w:val="28"/>
          <w:szCs w:val="28"/>
        </w:rPr>
      </w:pPr>
      <w:r>
        <w:rPr>
          <w:rFonts w:hint="eastAsia" w:ascii="Times New Roman" w:hAnsi="Times New Roman" w:eastAsia="宋体" w:cstheme="minorBidi"/>
          <w:b/>
          <w:bCs/>
          <w:i w:val="0"/>
          <w:iCs w:val="0"/>
          <w:caps w:val="0"/>
          <w:color w:val="000000"/>
          <w:spacing w:val="0"/>
          <w:sz w:val="28"/>
          <w:szCs w:val="28"/>
          <w:shd w:val="clear"/>
        </w:rPr>
        <w:t xml:space="preserve">Viral </w:t>
      </w:r>
      <w:r>
        <w:rPr>
          <w:rFonts w:hint="eastAsia" w:cstheme="minorBidi"/>
          <w:b/>
          <w:bCs/>
          <w:i w:val="0"/>
          <w:iCs w:val="0"/>
          <w:caps w:val="0"/>
          <w:color w:val="000000"/>
          <w:spacing w:val="0"/>
          <w:sz w:val="28"/>
          <w:szCs w:val="28"/>
          <w:shd w:val="clear"/>
          <w:lang w:val="en-US" w:eastAsia="zh-CN"/>
        </w:rPr>
        <w:t>L</w:t>
      </w:r>
      <w:r>
        <w:rPr>
          <w:rFonts w:hint="eastAsia" w:ascii="Times New Roman" w:hAnsi="Times New Roman" w:eastAsia="宋体" w:cstheme="minorBidi"/>
          <w:b/>
          <w:bCs/>
          <w:i w:val="0"/>
          <w:iCs w:val="0"/>
          <w:caps w:val="0"/>
          <w:color w:val="000000"/>
          <w:spacing w:val="0"/>
          <w:sz w:val="28"/>
          <w:szCs w:val="28"/>
          <w:shd w:val="clear"/>
        </w:rPr>
        <w:t>ysis and</w:t>
      </w:r>
      <w:r>
        <w:rPr>
          <w:rFonts w:hint="eastAsia" w:cstheme="minorBidi"/>
          <w:b/>
          <w:bCs/>
          <w:i w:val="0"/>
          <w:iCs w:val="0"/>
          <w:caps w:val="0"/>
          <w:color w:val="000000"/>
          <w:spacing w:val="0"/>
          <w:sz w:val="28"/>
          <w:szCs w:val="28"/>
          <w:shd w:val="clear"/>
          <w:lang w:val="en-US" w:eastAsia="zh-CN"/>
        </w:rPr>
        <w:t xml:space="preserve"> A</w:t>
      </w:r>
      <w:r>
        <w:rPr>
          <w:rFonts w:hint="eastAsia" w:ascii="Times New Roman" w:hAnsi="Times New Roman" w:eastAsia="宋体" w:cstheme="minorBidi"/>
          <w:b/>
          <w:bCs/>
          <w:i w:val="0"/>
          <w:iCs w:val="0"/>
          <w:caps w:val="0"/>
          <w:color w:val="000000"/>
          <w:spacing w:val="0"/>
          <w:sz w:val="28"/>
          <w:szCs w:val="28"/>
          <w:shd w:val="clear"/>
        </w:rPr>
        <w:t xml:space="preserve">ttenuated </w:t>
      </w:r>
      <w:r>
        <w:rPr>
          <w:rFonts w:hint="eastAsia" w:cstheme="minorBidi"/>
          <w:b/>
          <w:bCs/>
          <w:i w:val="0"/>
          <w:iCs w:val="0"/>
          <w:caps w:val="0"/>
          <w:color w:val="000000"/>
          <w:spacing w:val="0"/>
          <w:sz w:val="28"/>
          <w:szCs w:val="28"/>
          <w:shd w:val="clear"/>
          <w:lang w:val="en-US" w:eastAsia="zh-CN"/>
        </w:rPr>
        <w:t>M</w:t>
      </w:r>
      <w:r>
        <w:rPr>
          <w:rFonts w:hint="eastAsia" w:ascii="Times New Roman" w:hAnsi="Times New Roman" w:eastAsia="宋体" w:cstheme="minorBidi"/>
          <w:b/>
          <w:bCs/>
          <w:i w:val="0"/>
          <w:iCs w:val="0"/>
          <w:caps w:val="0"/>
          <w:color w:val="000000"/>
          <w:spacing w:val="0"/>
          <w:sz w:val="28"/>
          <w:szCs w:val="28"/>
          <w:shd w:val="clear"/>
        </w:rPr>
        <w:t xml:space="preserve">icrobial </w:t>
      </w:r>
      <w:r>
        <w:rPr>
          <w:rFonts w:hint="eastAsia" w:cstheme="minorBidi"/>
          <w:b/>
          <w:bCs/>
          <w:i w:val="0"/>
          <w:iCs w:val="0"/>
          <w:caps w:val="0"/>
          <w:color w:val="000000"/>
          <w:spacing w:val="0"/>
          <w:sz w:val="28"/>
          <w:szCs w:val="28"/>
          <w:shd w:val="clear"/>
          <w:lang w:val="en-US" w:eastAsia="zh-CN"/>
        </w:rPr>
        <w:t>D</w:t>
      </w:r>
      <w:r>
        <w:rPr>
          <w:rFonts w:hint="eastAsia" w:ascii="Times New Roman" w:hAnsi="Times New Roman" w:eastAsia="宋体" w:cstheme="minorBidi"/>
          <w:b/>
          <w:bCs/>
          <w:i w:val="0"/>
          <w:iCs w:val="0"/>
          <w:caps w:val="0"/>
          <w:color w:val="000000"/>
          <w:spacing w:val="0"/>
          <w:sz w:val="28"/>
          <w:szCs w:val="28"/>
          <w:shd w:val="clear"/>
        </w:rPr>
        <w:t xml:space="preserve">egradation </w:t>
      </w:r>
      <w:r>
        <w:rPr>
          <w:rFonts w:hint="eastAsia" w:cstheme="minorBidi"/>
          <w:b/>
          <w:bCs/>
          <w:i w:val="0"/>
          <w:iCs w:val="0"/>
          <w:caps w:val="0"/>
          <w:color w:val="000000"/>
          <w:spacing w:val="0"/>
          <w:sz w:val="28"/>
          <w:szCs w:val="28"/>
          <w:shd w:val="clear"/>
          <w:lang w:val="en-US" w:eastAsia="zh-CN"/>
        </w:rPr>
        <w:t>S</w:t>
      </w:r>
      <w:r>
        <w:rPr>
          <w:rFonts w:hint="eastAsia" w:ascii="Times New Roman" w:hAnsi="Times New Roman" w:eastAsia="宋体" w:cstheme="minorBidi"/>
          <w:b/>
          <w:bCs/>
          <w:i w:val="0"/>
          <w:iCs w:val="0"/>
          <w:caps w:val="0"/>
          <w:color w:val="000000"/>
          <w:spacing w:val="0"/>
          <w:sz w:val="28"/>
          <w:szCs w:val="28"/>
          <w:shd w:val="clear"/>
        </w:rPr>
        <w:t>ynergistically Turn Eutrophic Reservoirs into Emerging RDOC Hotspots</w:t>
      </w:r>
    </w:p>
    <w:p w14:paraId="7EBD3F15">
      <w:pPr>
        <w:spacing w:line="480" w:lineRule="auto"/>
        <w:ind w:firstLine="0" w:firstLineChars="0"/>
        <w:jc w:val="left"/>
        <w:rPr>
          <w:b/>
          <w:bCs/>
          <w:color w:val="000000"/>
          <w:sz w:val="28"/>
          <w:szCs w:val="28"/>
        </w:rPr>
      </w:pPr>
    </w:p>
    <w:p w14:paraId="3D29FF77">
      <w:pPr>
        <w:spacing w:line="480" w:lineRule="auto"/>
        <w:ind w:firstLine="0" w:firstLineChars="0"/>
        <w:rPr>
          <w:i/>
          <w:iCs/>
          <w:color w:val="000000"/>
          <w:szCs w:val="21"/>
          <w:vertAlign w:val="superscript"/>
        </w:rPr>
      </w:pPr>
      <w:r>
        <w:rPr>
          <w:rFonts w:hint="eastAsia"/>
          <w:i/>
          <w:iCs/>
          <w:color w:val="000000"/>
          <w:szCs w:val="21"/>
        </w:rPr>
        <w:t>Junhai Wu</w:t>
      </w:r>
      <w:r>
        <w:rPr>
          <w:i/>
          <w:iCs/>
          <w:color w:val="000000"/>
          <w:szCs w:val="21"/>
          <w:vertAlign w:val="superscript"/>
        </w:rPr>
        <w:t>1</w:t>
      </w:r>
      <w:r>
        <w:rPr>
          <w:rFonts w:hint="eastAsia"/>
          <w:i/>
          <w:iCs/>
          <w:color w:val="000000"/>
          <w:szCs w:val="21"/>
          <w:vertAlign w:val="superscript"/>
        </w:rPr>
        <w:t xml:space="preserve">, </w:t>
      </w:r>
      <w:r>
        <w:rPr>
          <w:i/>
          <w:iCs/>
          <w:color w:val="000000"/>
          <w:szCs w:val="21"/>
          <w:vertAlign w:val="superscript"/>
        </w:rPr>
        <w:t>3</w:t>
      </w:r>
      <w:r>
        <w:rPr>
          <w:i/>
          <w:iCs/>
          <w:color w:val="000000"/>
          <w:szCs w:val="21"/>
        </w:rPr>
        <w:t>, Jingfu Wang</w:t>
      </w:r>
      <w:r>
        <w:rPr>
          <w:i/>
          <w:iCs/>
          <w:color w:val="000000"/>
          <w:szCs w:val="21"/>
          <w:vertAlign w:val="superscript"/>
        </w:rPr>
        <w:t>1</w:t>
      </w:r>
      <w:r>
        <w:rPr>
          <w:rFonts w:hint="eastAsia"/>
          <w:i/>
          <w:iCs/>
          <w:color w:val="000000"/>
          <w:szCs w:val="21"/>
          <w:vertAlign w:val="superscript"/>
        </w:rPr>
        <w:t xml:space="preserve">, </w:t>
      </w:r>
      <w:r>
        <w:rPr>
          <w:i/>
          <w:iCs/>
          <w:color w:val="000000"/>
          <w:szCs w:val="21"/>
          <w:vertAlign w:val="superscript"/>
        </w:rPr>
        <w:t>2</w:t>
      </w:r>
      <w:r>
        <w:rPr>
          <w:rFonts w:hint="eastAsia"/>
          <w:i/>
          <w:iCs/>
          <w:color w:val="000000"/>
          <w:szCs w:val="21"/>
          <w:vertAlign w:val="superscript"/>
        </w:rPr>
        <w:t xml:space="preserve">, </w:t>
      </w:r>
      <w:r>
        <w:rPr>
          <w:i/>
          <w:iCs/>
          <w:color w:val="000000"/>
          <w:szCs w:val="21"/>
          <w:vertAlign w:val="superscript"/>
        </w:rPr>
        <w:t>6*</w:t>
      </w:r>
      <w:r>
        <w:rPr>
          <w:i/>
          <w:iCs/>
          <w:color w:val="000000"/>
          <w:szCs w:val="21"/>
        </w:rPr>
        <w:t xml:space="preserve">, </w:t>
      </w:r>
      <w:r>
        <w:rPr>
          <w:rFonts w:hint="eastAsia"/>
          <w:i/>
          <w:iCs/>
          <w:color w:val="000000"/>
          <w:szCs w:val="21"/>
        </w:rPr>
        <w:t>Yufeng Xiao</w:t>
      </w:r>
      <w:r>
        <w:rPr>
          <w:i/>
          <w:iCs/>
          <w:color w:val="000000"/>
          <w:szCs w:val="21"/>
          <w:vertAlign w:val="superscript"/>
        </w:rPr>
        <w:t>1</w:t>
      </w:r>
      <w:r>
        <w:rPr>
          <w:rFonts w:hint="eastAsia"/>
          <w:i/>
          <w:iCs/>
          <w:color w:val="000000"/>
          <w:szCs w:val="21"/>
          <w:vertAlign w:val="superscript"/>
        </w:rPr>
        <w:t xml:space="preserve">, </w:t>
      </w:r>
      <w:r>
        <w:rPr>
          <w:i/>
          <w:iCs/>
          <w:color w:val="000000"/>
          <w:szCs w:val="21"/>
          <w:vertAlign w:val="superscript"/>
        </w:rPr>
        <w:t>2</w:t>
      </w:r>
      <w:r>
        <w:rPr>
          <w:i/>
          <w:iCs/>
          <w:color w:val="000000"/>
          <w:szCs w:val="21"/>
        </w:rPr>
        <w:t>,</w:t>
      </w:r>
      <w:r>
        <w:rPr>
          <w:rFonts w:hint="eastAsia"/>
          <w:i/>
          <w:iCs/>
          <w:color w:val="000000"/>
          <w:szCs w:val="21"/>
        </w:rPr>
        <w:t xml:space="preserve"> </w:t>
      </w:r>
      <w:r>
        <w:rPr>
          <w:rFonts w:hint="eastAsia"/>
          <w:i/>
          <w:iCs/>
          <w:color w:val="000000" w:themeColor="text1"/>
          <w:szCs w:val="21"/>
          <w14:textFill>
            <w14:solidFill>
              <w14:schemeClr w14:val="tx1"/>
            </w14:solidFill>
          </w14:textFill>
        </w:rPr>
        <w:t>Qiusheng Wu</w:t>
      </w:r>
      <w:r>
        <w:rPr>
          <w:i/>
          <w:iCs/>
          <w:color w:val="000000" w:themeColor="text1"/>
          <w:szCs w:val="21"/>
          <w:vertAlign w:val="superscript"/>
          <w14:textFill>
            <w14:solidFill>
              <w14:schemeClr w14:val="tx1"/>
            </w14:solidFill>
          </w14:textFill>
        </w:rPr>
        <w:t>1</w:t>
      </w:r>
      <w:r>
        <w:rPr>
          <w:rFonts w:hint="eastAsia"/>
          <w:i/>
          <w:iCs/>
          <w:color w:val="000000" w:themeColor="text1"/>
          <w:szCs w:val="21"/>
          <w:vertAlign w:val="superscript"/>
          <w14:textFill>
            <w14:solidFill>
              <w14:schemeClr w14:val="tx1"/>
            </w14:solidFill>
          </w14:textFill>
        </w:rPr>
        <w:t xml:space="preserve"> </w:t>
      </w:r>
      <w:r>
        <w:rPr>
          <w:i/>
          <w:iCs/>
          <w:color w:val="000000" w:themeColor="text1"/>
          <w:szCs w:val="21"/>
          <w14:textFill>
            <w14:solidFill>
              <w14:schemeClr w14:val="tx1"/>
            </w14:solidFill>
          </w14:textFill>
        </w:rPr>
        <w:t xml:space="preserve">, </w:t>
      </w:r>
      <w:r>
        <w:rPr>
          <w:rFonts w:hint="eastAsia"/>
          <w:i/>
          <w:iCs/>
          <w:color w:val="000000"/>
          <w:szCs w:val="21"/>
        </w:rPr>
        <w:t>Qinglong Fu</w:t>
      </w:r>
      <w:r>
        <w:rPr>
          <w:i/>
          <w:iCs/>
          <w:color w:val="000000"/>
          <w:szCs w:val="21"/>
          <w:vertAlign w:val="superscript"/>
        </w:rPr>
        <w:t>4</w:t>
      </w:r>
      <w:r>
        <w:rPr>
          <w:i/>
          <w:iCs/>
          <w:color w:val="000000"/>
          <w:szCs w:val="21"/>
        </w:rPr>
        <w:t xml:space="preserve">, </w:t>
      </w:r>
      <w:r>
        <w:rPr>
          <w:rFonts w:hint="eastAsia"/>
          <w:i/>
          <w:iCs/>
          <w:color w:val="000000"/>
          <w:szCs w:val="21"/>
        </w:rPr>
        <w:t>Qiuhua Li</w:t>
      </w:r>
      <w:r>
        <w:rPr>
          <w:i/>
          <w:iCs/>
          <w:color w:val="000000"/>
          <w:szCs w:val="21"/>
          <w:vertAlign w:val="superscript"/>
        </w:rPr>
        <w:t>5</w:t>
      </w:r>
      <w:r>
        <w:rPr>
          <w:rFonts w:hint="eastAsia"/>
          <w:i/>
          <w:iCs/>
          <w:color w:val="000000"/>
          <w:szCs w:val="21"/>
        </w:rPr>
        <w:t>, Xujiang Yu</w:t>
      </w:r>
      <w:r>
        <w:rPr>
          <w:i/>
          <w:iCs/>
          <w:color w:val="000000"/>
          <w:szCs w:val="21"/>
          <w:vertAlign w:val="superscript"/>
        </w:rPr>
        <w:t>5</w:t>
      </w:r>
      <w:r>
        <w:rPr>
          <w:rFonts w:hint="eastAsia"/>
          <w:i/>
          <w:iCs/>
          <w:color w:val="000000"/>
          <w:szCs w:val="21"/>
        </w:rPr>
        <w:t>, Yun He</w:t>
      </w:r>
      <w:r>
        <w:rPr>
          <w:i/>
          <w:iCs/>
          <w:color w:val="000000"/>
          <w:szCs w:val="21"/>
          <w:vertAlign w:val="superscript"/>
        </w:rPr>
        <w:t>1</w:t>
      </w:r>
      <w:r>
        <w:rPr>
          <w:rFonts w:hint="eastAsia"/>
          <w:i/>
          <w:iCs/>
          <w:color w:val="000000"/>
          <w:szCs w:val="21"/>
          <w:vertAlign w:val="superscript"/>
        </w:rPr>
        <w:t xml:space="preserve">, </w:t>
      </w:r>
      <w:r>
        <w:rPr>
          <w:i/>
          <w:iCs/>
          <w:color w:val="000000"/>
          <w:szCs w:val="21"/>
          <w:vertAlign w:val="superscript"/>
        </w:rPr>
        <w:t>2</w:t>
      </w:r>
      <w:r>
        <w:rPr>
          <w:i/>
          <w:iCs/>
          <w:color w:val="000000"/>
          <w:szCs w:val="21"/>
        </w:rPr>
        <w:t>, Jingan Chen</w:t>
      </w:r>
      <w:r>
        <w:rPr>
          <w:i/>
          <w:iCs/>
          <w:color w:val="000000"/>
          <w:szCs w:val="21"/>
          <w:vertAlign w:val="superscript"/>
        </w:rPr>
        <w:t>1</w:t>
      </w:r>
      <w:r>
        <w:rPr>
          <w:rFonts w:hint="eastAsia"/>
          <w:i/>
          <w:iCs/>
          <w:color w:val="000000"/>
          <w:szCs w:val="21"/>
          <w:vertAlign w:val="superscript"/>
        </w:rPr>
        <w:t xml:space="preserve">, </w:t>
      </w:r>
      <w:r>
        <w:rPr>
          <w:i/>
          <w:iCs/>
          <w:color w:val="000000"/>
          <w:szCs w:val="21"/>
          <w:vertAlign w:val="superscript"/>
        </w:rPr>
        <w:t>2</w:t>
      </w:r>
    </w:p>
    <w:p w14:paraId="0F3A555F">
      <w:pPr>
        <w:spacing w:line="480" w:lineRule="auto"/>
        <w:ind w:firstLine="0" w:firstLineChars="0"/>
        <w:rPr>
          <w:color w:val="000000"/>
          <w:szCs w:val="21"/>
          <w:vertAlign w:val="superscript"/>
        </w:rPr>
      </w:pPr>
    </w:p>
    <w:p w14:paraId="4BE9C885">
      <w:pPr>
        <w:spacing w:line="480" w:lineRule="auto"/>
        <w:ind w:firstLine="0" w:firstLineChars="0"/>
        <w:rPr>
          <w:color w:val="000000"/>
        </w:rPr>
      </w:pPr>
      <w:r>
        <w:rPr>
          <w:color w:val="000000"/>
          <w:vertAlign w:val="superscript"/>
        </w:rPr>
        <w:t>1</w:t>
      </w:r>
      <w:r>
        <w:rPr>
          <w:color w:val="000000"/>
        </w:rPr>
        <w:t xml:space="preserve"> State Key Laboratory of Environmental Geochemistry, Institute of Geochemistry, Chinese Academy of Sciences, Guiyang, </w:t>
      </w:r>
      <w:r>
        <w:t>550081</w:t>
      </w:r>
      <w:r>
        <w:rPr>
          <w:rFonts w:hint="eastAsia"/>
        </w:rPr>
        <w:t xml:space="preserve">, PR </w:t>
      </w:r>
      <w:r>
        <w:rPr>
          <w:color w:val="000000"/>
        </w:rPr>
        <w:t xml:space="preserve">China. </w:t>
      </w:r>
    </w:p>
    <w:p w14:paraId="62BE7A32">
      <w:pPr>
        <w:spacing w:line="480" w:lineRule="auto"/>
        <w:ind w:firstLine="0" w:firstLineChars="0"/>
        <w:rPr>
          <w:color w:val="000000"/>
        </w:rPr>
      </w:pPr>
      <w:r>
        <w:rPr>
          <w:color w:val="000000"/>
          <w:vertAlign w:val="superscript"/>
        </w:rPr>
        <w:t>2</w:t>
      </w:r>
      <w:r>
        <w:rPr>
          <w:color w:val="000000"/>
        </w:rPr>
        <w:t xml:space="preserve"> University of Chinese Academy of Sciences, Beijing, </w:t>
      </w:r>
      <w:r>
        <w:t>100049</w:t>
      </w:r>
      <w:r>
        <w:rPr>
          <w:rFonts w:hint="eastAsia"/>
        </w:rPr>
        <w:t xml:space="preserve">, PR </w:t>
      </w:r>
      <w:r>
        <w:rPr>
          <w:color w:val="000000"/>
        </w:rPr>
        <w:t>China.</w:t>
      </w:r>
    </w:p>
    <w:p w14:paraId="4062AEE0">
      <w:pPr>
        <w:spacing w:line="480" w:lineRule="auto"/>
        <w:ind w:firstLine="0" w:firstLineChars="0"/>
        <w:rPr>
          <w:color w:val="000000"/>
        </w:rPr>
      </w:pPr>
      <w:r>
        <w:rPr>
          <w:color w:val="000000"/>
          <w:vertAlign w:val="superscript"/>
        </w:rPr>
        <w:t>3</w:t>
      </w:r>
      <w:r>
        <w:rPr>
          <w:color w:val="000000"/>
        </w:rPr>
        <w:t xml:space="preserve"> </w:t>
      </w:r>
      <w:r>
        <w:rPr>
          <w:rFonts w:hint="eastAsia"/>
          <w:color w:val="000000"/>
        </w:rPr>
        <w:t xml:space="preserve">School of Resources and Environmental Engineering, Guizhou University, </w:t>
      </w:r>
      <w:r>
        <w:rPr>
          <w:color w:val="000000"/>
        </w:rPr>
        <w:t xml:space="preserve">Guiyang, </w:t>
      </w:r>
      <w:r>
        <w:t>550025</w:t>
      </w:r>
      <w:r>
        <w:rPr>
          <w:rFonts w:hint="eastAsia"/>
        </w:rPr>
        <w:t xml:space="preserve">, PR </w:t>
      </w:r>
      <w:r>
        <w:rPr>
          <w:color w:val="000000"/>
        </w:rPr>
        <w:t>China</w:t>
      </w:r>
      <w:r>
        <w:rPr>
          <w:rFonts w:hint="eastAsia"/>
          <w:color w:val="000000"/>
        </w:rPr>
        <w:t>.</w:t>
      </w:r>
    </w:p>
    <w:p w14:paraId="24DB91A2">
      <w:pPr>
        <w:spacing w:line="480" w:lineRule="auto"/>
        <w:ind w:firstLine="0" w:firstLineChars="0"/>
        <w:rPr>
          <w:color w:val="000000"/>
        </w:rPr>
      </w:pPr>
      <w:r>
        <w:rPr>
          <w:color w:val="000000"/>
          <w:vertAlign w:val="superscript"/>
        </w:rPr>
        <w:t>4</w:t>
      </w:r>
      <w:r>
        <w:rPr>
          <w:color w:val="000000"/>
        </w:rPr>
        <w:t xml:space="preserve"> </w:t>
      </w:r>
      <w:r>
        <w:rPr>
          <w:rFonts w:hint="eastAsia"/>
          <w:color w:val="000000"/>
        </w:rPr>
        <w:t>School of Environment, China University of Geosciences (Wuhan), Wuhan, 430074</w:t>
      </w:r>
      <w:r>
        <w:rPr>
          <w:color w:val="000000"/>
        </w:rPr>
        <w:t xml:space="preserve">, </w:t>
      </w:r>
      <w:r>
        <w:rPr>
          <w:rFonts w:hint="eastAsia"/>
        </w:rPr>
        <w:t xml:space="preserve">PR </w:t>
      </w:r>
      <w:r>
        <w:rPr>
          <w:color w:val="000000"/>
        </w:rPr>
        <w:t>China</w:t>
      </w:r>
      <w:r>
        <w:rPr>
          <w:rFonts w:hint="eastAsia"/>
          <w:color w:val="000000"/>
        </w:rPr>
        <w:t>.</w:t>
      </w:r>
    </w:p>
    <w:p w14:paraId="166EA78E">
      <w:pPr>
        <w:spacing w:line="480" w:lineRule="auto"/>
        <w:ind w:firstLine="0" w:firstLineChars="0"/>
        <w:rPr>
          <w:color w:val="000000"/>
        </w:rPr>
      </w:pPr>
      <w:r>
        <w:rPr>
          <w:color w:val="000000"/>
          <w:vertAlign w:val="superscript"/>
        </w:rPr>
        <w:t>5</w:t>
      </w:r>
      <w:r>
        <w:rPr>
          <w:rFonts w:hint="eastAsia"/>
          <w:color w:val="000000"/>
          <w:vertAlign w:val="superscript"/>
        </w:rPr>
        <w:t xml:space="preserve"> </w:t>
      </w:r>
      <w:r>
        <w:rPr>
          <w:rFonts w:hint="eastAsia"/>
          <w:color w:val="000000"/>
        </w:rPr>
        <w:t>Guizhou Advanced Computing Provincial Key Laboratory, Guizhou Normal University, 550025, P</w:t>
      </w:r>
      <w:r>
        <w:rPr>
          <w:rFonts w:hint="eastAsia"/>
        </w:rPr>
        <w:t xml:space="preserve">R </w:t>
      </w:r>
      <w:r>
        <w:rPr>
          <w:color w:val="000000"/>
        </w:rPr>
        <w:t>China.</w:t>
      </w:r>
    </w:p>
    <w:p w14:paraId="2E1EB2CD">
      <w:pPr>
        <w:spacing w:line="480" w:lineRule="auto"/>
        <w:ind w:firstLine="0" w:firstLineChars="0"/>
        <w:rPr>
          <w:color w:val="000000"/>
        </w:rPr>
      </w:pPr>
      <w:r>
        <w:rPr>
          <w:color w:val="000000"/>
          <w:vertAlign w:val="superscript"/>
        </w:rPr>
        <w:t>6</w:t>
      </w:r>
      <w:r>
        <w:rPr>
          <w:rFonts w:hint="eastAsia"/>
          <w:color w:val="000000"/>
          <w:vertAlign w:val="superscript"/>
        </w:rPr>
        <w:t xml:space="preserve"> </w:t>
      </w:r>
      <w:r>
        <w:rPr>
          <w:color w:val="000000"/>
        </w:rPr>
        <w:t xml:space="preserve">Guizhou Province Field Scientific Observation and Research Station of Hongfeng Lake Reservoir Ecosystem, Guiyang, </w:t>
      </w:r>
      <w:r>
        <w:rPr>
          <w:rFonts w:hint="eastAsia"/>
        </w:rPr>
        <w:t xml:space="preserve">551499, PR </w:t>
      </w:r>
      <w:r>
        <w:rPr>
          <w:color w:val="000000"/>
        </w:rPr>
        <w:t>China</w:t>
      </w:r>
    </w:p>
    <w:p w14:paraId="6ABE2F7F">
      <w:pPr>
        <w:spacing w:line="480" w:lineRule="auto"/>
        <w:ind w:firstLine="0" w:firstLineChars="0"/>
        <w:rPr>
          <w:color w:val="000000"/>
          <w:vertAlign w:val="superscript"/>
        </w:rPr>
      </w:pPr>
    </w:p>
    <w:p w14:paraId="384DECF9">
      <w:pPr>
        <w:spacing w:line="480" w:lineRule="auto"/>
        <w:ind w:firstLine="0" w:firstLineChars="0"/>
        <w:rPr>
          <w:color w:val="000000"/>
        </w:rPr>
        <w:sectPr>
          <w:headerReference r:id="rId7" w:type="first"/>
          <w:footerReference r:id="rId10" w:type="first"/>
          <w:headerReference r:id="rId5" w:type="default"/>
          <w:footerReference r:id="rId8" w:type="default"/>
          <w:headerReference r:id="rId6" w:type="even"/>
          <w:footerReference r:id="rId9" w:type="even"/>
          <w:pgSz w:w="11906" w:h="16838"/>
          <w:pgMar w:top="1440" w:right="1080" w:bottom="1440" w:left="1080" w:header="851" w:footer="992" w:gutter="0"/>
          <w:lnNumType w:countBy="1" w:restart="continuous"/>
          <w:cols w:space="425" w:num="1"/>
          <w:docGrid w:type="linesAndChars" w:linePitch="312" w:charSpace="0"/>
        </w:sectPr>
      </w:pPr>
      <w:r>
        <w:rPr>
          <w:color w:val="000000"/>
          <w:vertAlign w:val="superscript"/>
        </w:rPr>
        <w:t xml:space="preserve">* </w:t>
      </w:r>
      <w:r>
        <w:rPr>
          <w:color w:val="000000"/>
        </w:rPr>
        <w:t xml:space="preserve">Corresponding author: Prof. Jingfu Wang, </w:t>
      </w:r>
      <w:r>
        <w:fldChar w:fldCharType="begin"/>
      </w:r>
      <w:r>
        <w:instrText xml:space="preserve"> HYPERLINK "mailto:wangjingfu@vip.skleg.cn" </w:instrText>
      </w:r>
      <w:r>
        <w:fldChar w:fldCharType="separate"/>
      </w:r>
      <w:r>
        <w:rPr>
          <w:rStyle w:val="13"/>
          <w:color w:val="000000"/>
        </w:rPr>
        <w:t>wangjingfu@vip.skleg.cn</w:t>
      </w:r>
      <w:r>
        <w:rPr>
          <w:rStyle w:val="13"/>
          <w:color w:val="000000"/>
        </w:rPr>
        <w:fldChar w:fldCharType="end"/>
      </w:r>
    </w:p>
    <w:p w14:paraId="4CF9567D">
      <w:pPr>
        <w:spacing w:line="480" w:lineRule="auto"/>
        <w:ind w:firstLine="0" w:firstLineChars="0"/>
        <w:jc w:val="left"/>
        <w:rPr>
          <w:rFonts w:cs="Times New Roman"/>
          <w:b/>
          <w:bCs/>
        </w:rPr>
      </w:pPr>
      <w:r>
        <w:rPr>
          <w:rFonts w:cs="Times New Roman"/>
          <w:b/>
          <w:bCs/>
        </w:rPr>
        <w:t>Appendix S1 TSI method</w:t>
      </w:r>
    </w:p>
    <w:p w14:paraId="1477DFFD">
      <w:pPr>
        <w:spacing w:line="480" w:lineRule="auto"/>
        <w:ind w:firstLine="480"/>
        <w:rPr>
          <w:rFonts w:cs="Times New Roman"/>
        </w:rPr>
      </w:pPr>
      <w:r>
        <w:rPr>
          <w:rFonts w:cs="Times New Roman"/>
        </w:rPr>
        <w:t>DOC concentration was measured using a total organic carbon analyzer</w:t>
      </w:r>
      <w:r>
        <w:rPr>
          <w:rFonts w:hint="eastAsia" w:cs="Times New Roman"/>
          <w:lang w:val="en-US" w:eastAsia="zh-CN"/>
        </w:rPr>
        <w:t xml:space="preserve"> </w:t>
      </w:r>
      <w:r>
        <w:rPr>
          <w:rFonts w:hint="eastAsia" w:cs="Times New Roman"/>
        </w:rPr>
        <w:t>(Elementar high TOC II)</w:t>
      </w:r>
      <w:r>
        <w:rPr>
          <w:rFonts w:cs="Times New Roman"/>
        </w:rPr>
        <w:t>. The samples were adjusted to pH 7.0 using 6 mol/L hydrochloric acid and sodium hydroxide solutions. Total nitrogen (TN) content in water samples was determined by alkaline potassium persulfate digestion–UV spectrophotometry (UV1200, China) according to the "National Environmental Protection Standard of the People's Republic of China" (HJ 636-2012). Total phosphorus (TP) content was determined by ammonium molybdate spectrophotometry (UV1200, China) according to the "National Standard of the People's Republic of China" (GB 11893-1989). Chlorophyll-a (Chla) was extracted with 90% ethanol and measured spectrophotometrically at 750 and 665 nm, with correction for Chla according to Jespersen and Christoffersen</w:t>
      </w:r>
      <w:bookmarkStart w:id="0" w:name="OLE_LINK4"/>
      <w:r>
        <w:rPr>
          <w:rFonts w:cs="Times New Roman"/>
        </w:rPr>
        <w:t xml:space="preserve"> </w:t>
      </w:r>
      <w:r>
        <w:rPr>
          <w:rFonts w:cs="Times New Roman"/>
        </w:rPr>
        <w:fldChar w:fldCharType="begin"/>
      </w:r>
      <w:r>
        <w:rPr>
          <w:rFonts w:cs="Times New Roman"/>
        </w:rPr>
        <w:instrText xml:space="preserve"> ADDIN EN.CITE &lt;EndNote&gt;&lt;Cite&gt;&lt;Author&gt;Jespersen&lt;/Author&gt;&lt;Year&gt;1987&lt;/Year&gt;&lt;RecNum&gt;243&lt;/RecNum&gt;&lt;DisplayText&gt;&lt;style face="superscript"&gt;1&lt;/style&gt;&lt;/DisplayText&gt;&lt;record&gt;&lt;rec-number&gt;243&lt;/rec-number&gt;&lt;foreign-keys&gt;&lt;key app="EN" db-id="sxapvfs2jva2dnear9bpeaa2dfarraz9wtfe" timestamp="1778588611"&gt;243&lt;/key&gt;&lt;/foreign-keys&gt;&lt;ref-type name="Journal Article"&gt;17&lt;/ref-type&gt;&lt;contributors&gt;&lt;authors&gt;&lt;author&gt;Jespersen, Anne-Mette&lt;/author&gt;&lt;author&gt;Christoffersen, Kirsten&lt;/author&gt;&lt;/authors&gt;&lt;/contributors&gt;&lt;titles&gt;&lt;title&gt;Measurements of chlorophyll-a from phytoplankton using ethanol as extraction solvent&lt;/title&gt;&lt;secondary-title&gt;Archiv für Hydrobiologie&lt;/secondary-title&gt;&lt;/titles&gt;&lt;periodical&gt;&lt;full-title&gt;Archiv für Hydrobiologie&lt;/full-title&gt;&lt;/periodical&gt;&lt;pages&gt;445-454&lt;/pages&gt;&lt;dates&gt;&lt;year&gt;1987&lt;/year&gt;&lt;/dates&gt;&lt;urls&gt;&lt;/urls&gt;&lt;/record&gt;&lt;/Cite&gt;&lt;/EndNote&gt;</w:instrText>
      </w:r>
      <w:r>
        <w:rPr>
          <w:rFonts w:cs="Times New Roman"/>
        </w:rPr>
        <w:fldChar w:fldCharType="separate"/>
      </w:r>
      <w:r>
        <w:rPr>
          <w:rFonts w:cs="Times New Roman"/>
          <w:vertAlign w:val="superscript"/>
        </w:rPr>
        <w:t>1</w:t>
      </w:r>
      <w:r>
        <w:rPr>
          <w:rFonts w:cs="Times New Roman"/>
        </w:rPr>
        <w:fldChar w:fldCharType="end"/>
      </w:r>
      <w:bookmarkEnd w:id="0"/>
      <w:r>
        <w:rPr>
          <w:rFonts w:cs="Times New Roman"/>
        </w:rPr>
        <w:t>. COD</w:t>
      </w:r>
      <w:r>
        <w:rPr>
          <w:rFonts w:cs="Times New Roman"/>
          <w:vertAlign w:val="subscript"/>
        </w:rPr>
        <w:t>Mn</w:t>
      </w:r>
      <w:r>
        <w:rPr>
          <w:rFonts w:cs="Times New Roman"/>
        </w:rPr>
        <w:t xml:space="preserve"> was measured by the colorimetric method specified in GB 1</w:t>
      </w:r>
      <w:r>
        <w:rPr>
          <w:rFonts w:hint="eastAsia" w:cs="Times New Roman"/>
          <w:lang w:val="en-US" w:eastAsia="zh-CN"/>
        </w:rPr>
        <w:t>1</w:t>
      </w:r>
      <w:r>
        <w:rPr>
          <w:rFonts w:cs="Times New Roman"/>
        </w:rPr>
        <w:t>892-89</w:t>
      </w:r>
      <w:r>
        <w:rPr>
          <w:rFonts w:hint="eastAsia" w:cs="Times New Roman"/>
          <w:lang w:val="en-US" w:eastAsia="zh-CN"/>
        </w:rPr>
        <w:t>. All</w:t>
      </w:r>
      <w:r>
        <w:rPr>
          <w:rFonts w:hint="eastAsia" w:cs="Times New Roman"/>
        </w:rPr>
        <w:t xml:space="preserve"> measurements were performed in triplicate, and each analytical batch included procedural blanks and calibration standards.</w:t>
      </w:r>
    </w:p>
    <w:p w14:paraId="55D8B9EF">
      <w:pPr>
        <w:spacing w:line="480" w:lineRule="auto"/>
        <w:ind w:firstLine="480"/>
        <w:rPr>
          <w:rFonts w:cs="Times New Roman"/>
        </w:rPr>
      </w:pPr>
      <w:r>
        <w:rPr>
          <w:rFonts w:cs="Times New Roman"/>
        </w:rPr>
        <w:t>The trophic state index (TSI) for each sample was calculated as a weighted average according to the formulas in the "Technical Regulations for Lake (Reservoir) Eutrophication Assessment and Classification" issued by the China National Environmental Monitoring Centre:</w:t>
      </w:r>
    </w:p>
    <w:p w14:paraId="7661FB89">
      <w:pPr>
        <w:spacing w:line="480" w:lineRule="auto"/>
        <w:ind w:firstLine="480"/>
        <w:jc w:val="center"/>
        <w:rPr>
          <w:rFonts w:hint="eastAsia" w:eastAsia="宋体" w:cs="Times New Roman"/>
          <w:lang w:eastAsia="zh-CN"/>
        </w:rPr>
      </w:pPr>
      <w:r>
        <w:rPr>
          <w:rFonts w:hint="eastAsia" w:cs="Times New Roman"/>
        </w:rPr>
        <w:t xml:space="preserve">TSI (Chl-a) = 10 × (2.5 + 1.086 × ln(Chl-a))  </w:t>
      </w:r>
      <w:r>
        <w:rPr>
          <w:rFonts w:cs="Times New Roman"/>
        </w:rPr>
        <w:t xml:space="preserve"> </w:t>
      </w:r>
      <w:r>
        <w:rPr>
          <w:rFonts w:hint="eastAsia" w:cs="Times New Roman"/>
          <w:lang w:val="en-US" w:eastAsia="zh-CN"/>
        </w:rPr>
        <w:t xml:space="preserve"> </w:t>
      </w:r>
      <w:r>
        <w:rPr>
          <w:rFonts w:cs="Times New Roman"/>
        </w:rPr>
        <w:t xml:space="preserve"> </w:t>
      </w:r>
      <w:r>
        <w:rPr>
          <w:rFonts w:hint="eastAsia" w:cs="Times New Roman"/>
        </w:rPr>
        <w:t xml:space="preserve"> </w:t>
      </w:r>
      <w:r>
        <w:rPr>
          <w:rFonts w:hint="eastAsia" w:cs="Times New Roman"/>
          <w:lang w:eastAsia="zh-CN"/>
        </w:rPr>
        <w:t>(</w:t>
      </w:r>
      <w:r>
        <w:rPr>
          <w:rFonts w:hint="eastAsia" w:cs="Times New Roman"/>
        </w:rPr>
        <w:t>1</w:t>
      </w:r>
      <w:r>
        <w:rPr>
          <w:rFonts w:hint="eastAsia" w:cs="Times New Roman"/>
          <w:lang w:eastAsia="zh-CN"/>
        </w:rPr>
        <w:t>)</w:t>
      </w:r>
    </w:p>
    <w:p w14:paraId="27FB9E52">
      <w:pPr>
        <w:spacing w:line="480" w:lineRule="auto"/>
        <w:ind w:firstLine="480"/>
        <w:jc w:val="center"/>
        <w:rPr>
          <w:rFonts w:hint="eastAsia" w:eastAsia="宋体" w:cs="Times New Roman"/>
          <w:lang w:eastAsia="zh-CN"/>
        </w:rPr>
      </w:pPr>
      <w:r>
        <w:rPr>
          <w:rFonts w:hint="eastAsia" w:cs="Times New Roman"/>
        </w:rPr>
        <w:t xml:space="preserve">TSI (TP) = 10 × (9.436 + 1.624 × ln(TP))   </w:t>
      </w:r>
      <w:r>
        <w:rPr>
          <w:rFonts w:cs="Times New Roman"/>
        </w:rPr>
        <w:t xml:space="preserve">   </w:t>
      </w:r>
      <w:r>
        <w:rPr>
          <w:rFonts w:hint="eastAsia" w:cs="Times New Roman"/>
        </w:rPr>
        <w:t xml:space="preserve">  </w:t>
      </w:r>
      <w:r>
        <w:rPr>
          <w:rFonts w:hint="eastAsia" w:cs="Times New Roman"/>
          <w:lang w:eastAsia="zh-CN"/>
        </w:rPr>
        <w:t>(</w:t>
      </w:r>
      <w:r>
        <w:rPr>
          <w:rFonts w:hint="eastAsia" w:cs="Times New Roman"/>
        </w:rPr>
        <w:t>2</w:t>
      </w:r>
      <w:r>
        <w:rPr>
          <w:rFonts w:hint="eastAsia" w:cs="Times New Roman"/>
          <w:lang w:eastAsia="zh-CN"/>
        </w:rPr>
        <w:t>)</w:t>
      </w:r>
    </w:p>
    <w:p w14:paraId="7AF58AD3">
      <w:pPr>
        <w:spacing w:line="480" w:lineRule="auto"/>
        <w:ind w:firstLine="480"/>
        <w:jc w:val="center"/>
        <w:rPr>
          <w:rFonts w:hint="eastAsia" w:eastAsia="宋体" w:cs="Times New Roman"/>
          <w:lang w:eastAsia="zh-CN"/>
        </w:rPr>
      </w:pPr>
      <w:r>
        <w:rPr>
          <w:rFonts w:hint="eastAsia" w:cs="Times New Roman"/>
        </w:rPr>
        <w:t xml:space="preserve">TSI (TN) = 10 × (5.453 + 1.694 × ln(TN))     </w:t>
      </w:r>
      <w:r>
        <w:rPr>
          <w:rFonts w:cs="Times New Roman"/>
        </w:rPr>
        <w:t xml:space="preserve"> </w:t>
      </w:r>
      <w:r>
        <w:rPr>
          <w:rFonts w:hint="eastAsia" w:cs="Times New Roman"/>
        </w:rPr>
        <w:t xml:space="preserve"> </w:t>
      </w:r>
      <w:r>
        <w:rPr>
          <w:rFonts w:hint="eastAsia" w:cs="Times New Roman"/>
          <w:lang w:eastAsia="zh-CN"/>
        </w:rPr>
        <w:t>(</w:t>
      </w:r>
      <w:r>
        <w:rPr>
          <w:rFonts w:hint="eastAsia" w:cs="Times New Roman"/>
        </w:rPr>
        <w:t>3</w:t>
      </w:r>
      <w:r>
        <w:rPr>
          <w:rFonts w:hint="eastAsia" w:cs="Times New Roman"/>
          <w:lang w:eastAsia="zh-CN"/>
        </w:rPr>
        <w:t>)</w:t>
      </w:r>
    </w:p>
    <w:p w14:paraId="38DBB517">
      <w:pPr>
        <w:spacing w:line="480" w:lineRule="auto"/>
        <w:ind w:firstLine="480"/>
        <w:jc w:val="center"/>
        <w:rPr>
          <w:rFonts w:hint="eastAsia" w:eastAsia="宋体" w:cs="Times New Roman"/>
          <w:lang w:eastAsia="zh-CN"/>
        </w:rPr>
      </w:pPr>
      <w:r>
        <w:rPr>
          <w:rFonts w:hint="eastAsia" w:cs="Times New Roman"/>
        </w:rPr>
        <w:t>TSI (SD</w:t>
      </w:r>
      <w:r>
        <w:rPr>
          <w:rFonts w:cs="Times New Roman"/>
        </w:rPr>
        <w:t>D</w:t>
      </w:r>
      <w:r>
        <w:rPr>
          <w:rFonts w:hint="eastAsia" w:cs="Times New Roman"/>
        </w:rPr>
        <w:t>) = 10 × (5.118 - 1.94 × ln(SD</w:t>
      </w:r>
      <w:r>
        <w:rPr>
          <w:rFonts w:cs="Times New Roman"/>
        </w:rPr>
        <w:t>D</w:t>
      </w:r>
      <w:r>
        <w:rPr>
          <w:rFonts w:hint="eastAsia" w:cs="Times New Roman"/>
        </w:rPr>
        <w:t xml:space="preserve">)) </w:t>
      </w:r>
      <w:r>
        <w:rPr>
          <w:rFonts w:cs="Times New Roman"/>
        </w:rPr>
        <w:t xml:space="preserve">     </w:t>
      </w:r>
      <w:r>
        <w:rPr>
          <w:rFonts w:hint="eastAsia" w:cs="Times New Roman"/>
          <w:lang w:eastAsia="zh-CN"/>
        </w:rPr>
        <w:t>(</w:t>
      </w:r>
      <w:r>
        <w:rPr>
          <w:rFonts w:hint="eastAsia" w:cs="Times New Roman"/>
        </w:rPr>
        <w:t>4</w:t>
      </w:r>
      <w:r>
        <w:rPr>
          <w:rFonts w:hint="eastAsia" w:cs="Times New Roman"/>
          <w:lang w:eastAsia="zh-CN"/>
        </w:rPr>
        <w:t>)</w:t>
      </w:r>
    </w:p>
    <w:p w14:paraId="5FBF17AF">
      <w:pPr>
        <w:spacing w:line="480" w:lineRule="auto"/>
        <w:ind w:firstLine="480"/>
        <w:jc w:val="center"/>
        <w:rPr>
          <w:rFonts w:hint="eastAsia" w:eastAsia="宋体" w:cs="Times New Roman"/>
          <w:lang w:eastAsia="zh-CN"/>
        </w:rPr>
      </w:pPr>
      <w:r>
        <w:rPr>
          <w:rFonts w:hint="eastAsia" w:cs="Times New Roman"/>
        </w:rPr>
        <w:t xml:space="preserve">TSI (COD) = 10 × (0.109 + 2.66 × ln(COD))    </w:t>
      </w:r>
      <w:r>
        <w:rPr>
          <w:rFonts w:cs="Times New Roman"/>
        </w:rPr>
        <w:t xml:space="preserve"> </w:t>
      </w:r>
      <w:r>
        <w:rPr>
          <w:rFonts w:hint="eastAsia" w:cs="Times New Roman"/>
          <w:lang w:eastAsia="zh-CN"/>
        </w:rPr>
        <w:t>(</w:t>
      </w:r>
      <w:r>
        <w:rPr>
          <w:rFonts w:hint="eastAsia" w:cs="Times New Roman"/>
        </w:rPr>
        <w:t>5</w:t>
      </w:r>
      <w:r>
        <w:rPr>
          <w:rFonts w:hint="eastAsia" w:cs="Times New Roman"/>
          <w:lang w:eastAsia="zh-CN"/>
        </w:rPr>
        <w:t>)</w:t>
      </w:r>
    </w:p>
    <w:p w14:paraId="40FC76BB">
      <w:pPr>
        <w:spacing w:line="480" w:lineRule="auto"/>
        <w:ind w:firstLine="480"/>
        <w:jc w:val="center"/>
        <w:rPr>
          <w:rFonts w:hint="eastAsia" w:cs="Times New Roman"/>
          <w:lang w:eastAsia="zh-CN"/>
        </w:rPr>
      </w:pPr>
      <w:r>
        <w:rPr>
          <w:rFonts w:cs="Times New Roman"/>
        </w:rPr>
        <w:t>TSI = Σ(W</w:t>
      </w:r>
      <w:r>
        <w:rPr>
          <w:rFonts w:cs="Times New Roman"/>
          <w:vertAlign w:val="subscript"/>
        </w:rPr>
        <w:t>i</w:t>
      </w:r>
      <w:r>
        <w:rPr>
          <w:rFonts w:cs="Times New Roman"/>
        </w:rPr>
        <w:t xml:space="preserve"> × TSI</w:t>
      </w:r>
      <w:r>
        <w:rPr>
          <w:rFonts w:cs="Times New Roman"/>
          <w:vertAlign w:val="subscript"/>
        </w:rPr>
        <w:t>i</w:t>
      </w:r>
      <w:r>
        <w:rPr>
          <w:rFonts w:cs="Times New Roman"/>
        </w:rPr>
        <w:t xml:space="preserve">)                             </w:t>
      </w:r>
      <w:r>
        <w:rPr>
          <w:rFonts w:hint="eastAsia" w:cs="Times New Roman"/>
          <w:lang w:eastAsia="zh-CN"/>
        </w:rPr>
        <w:t>(</w:t>
      </w:r>
      <w:r>
        <w:rPr>
          <w:rFonts w:hint="eastAsia" w:cs="Times New Roman"/>
        </w:rPr>
        <w:t>6</w:t>
      </w:r>
      <w:r>
        <w:rPr>
          <w:rFonts w:hint="eastAsia" w:cs="Times New Roman"/>
          <w:lang w:eastAsia="zh-CN"/>
        </w:rPr>
        <w:t>)</w:t>
      </w:r>
    </w:p>
    <w:p w14:paraId="3063BBD3">
      <w:pPr>
        <w:spacing w:line="480" w:lineRule="auto"/>
        <w:ind w:firstLine="480"/>
        <w:rPr>
          <w:rFonts w:cs="Times New Roman"/>
        </w:rPr>
      </w:pPr>
      <w:r>
        <w:rPr>
          <w:rFonts w:cs="Times New Roman"/>
        </w:rPr>
        <w:t>where TSI(TN), TSI(TP), TSI(Chla), TSI(COD</w:t>
      </w:r>
      <w:r>
        <w:rPr>
          <w:rFonts w:cs="Times New Roman"/>
          <w:vertAlign w:val="subscript"/>
        </w:rPr>
        <w:t>Mn</w:t>
      </w:r>
      <w:r>
        <w:rPr>
          <w:rFonts w:cs="Times New Roman"/>
        </w:rPr>
        <w:t>), and TSI(SDD) are the trophic state indices associated with TN, TP, Chla, COD</w:t>
      </w:r>
      <w:r>
        <w:rPr>
          <w:rFonts w:cs="Times New Roman"/>
          <w:vertAlign w:val="subscript"/>
        </w:rPr>
        <w:t>Mn</w:t>
      </w:r>
      <w:r>
        <w:rPr>
          <w:rFonts w:cs="Times New Roman"/>
        </w:rPr>
        <w:t>, and SDD, respectively, and W represents the weight of each trophic state indicator. The units of TN, TP, Chla, COD</w:t>
      </w:r>
      <w:r>
        <w:rPr>
          <w:rFonts w:cs="Times New Roman"/>
          <w:vertAlign w:val="subscript"/>
        </w:rPr>
        <w:t>Mn</w:t>
      </w:r>
      <w:r>
        <w:rPr>
          <w:rFonts w:cs="Times New Roman"/>
        </w:rPr>
        <w:t>, and SDD are mg/L, mg/L, µg/L, mg/L (determined by potassium permanganate method), and m, respectively. The weights for Chl-a, TP, TN, SDD, and COD</w:t>
      </w:r>
      <w:r>
        <w:rPr>
          <w:rFonts w:cs="Times New Roman"/>
          <w:vertAlign w:val="subscript"/>
        </w:rPr>
        <w:t>Mn</w:t>
      </w:r>
      <w:r>
        <w:rPr>
          <w:rFonts w:cs="Times New Roman"/>
        </w:rPr>
        <w:t xml:space="preserve"> are 0.2663, 0.1879, 0.1790, 0.1834, and 0.1834, respectively.</w:t>
      </w:r>
    </w:p>
    <w:p w14:paraId="7D2969F6">
      <w:pPr>
        <w:spacing w:line="480" w:lineRule="auto"/>
        <w:ind w:firstLine="0" w:firstLineChars="0"/>
      </w:pPr>
      <w:bookmarkStart w:id="1" w:name="OLE_LINK1"/>
    </w:p>
    <w:bookmarkEnd w:id="1"/>
    <w:p w14:paraId="38D2FA2E">
      <w:pPr>
        <w:spacing w:line="480" w:lineRule="auto"/>
        <w:ind w:right="240" w:firstLine="0" w:firstLineChars="0"/>
        <w:rPr>
          <w:b/>
          <w:bCs/>
        </w:rPr>
      </w:pPr>
      <w:r>
        <w:rPr>
          <w:b/>
          <w:bCs/>
        </w:rPr>
        <w:t>Appendix S2 Three-dimensional fluorescence spectroscopy</w:t>
      </w:r>
    </w:p>
    <w:p w14:paraId="10D47B46">
      <w:pPr>
        <w:spacing w:line="480" w:lineRule="auto"/>
        <w:ind w:right="238" w:firstLine="480"/>
      </w:pPr>
      <w:r>
        <w:t>Filtered samples were stored in the dark at 4°C prior to measurement. Samples were placed in a 10-mm quartz cuvette and measured using an Aqualog fluorescence spectrophotometer (HORIBA, Japan) with ultrapure water as a blank. The scan speed was 1200 nm min</w:t>
      </w:r>
      <w:r>
        <w:rPr>
          <w:rFonts w:hint="eastAsia"/>
          <w:vertAlign w:val="superscript"/>
        </w:rPr>
        <w:t>-1</w:t>
      </w:r>
      <w:r>
        <w:t xml:space="preserve">, and the photomultiplier tube voltage was 700 V. The excitation (Ex) wavelength ranged from 240 to 450 nm at 2-nm intervals, and the emission (Em) wavelength ranged from 300 to 600 nm at 5-nm intervals. Each sample was measured in triplicate. Parallel factor analysis (PARAFAC) was performed using the DOMFluor toolbox in MATLAB </w:t>
      </w:r>
      <w:r>
        <w:fldChar w:fldCharType="begin"/>
      </w:r>
      <w:r>
        <w:instrText xml:space="preserve"> ADDIN EN.CITE &lt;EndNote&gt;&lt;Cite&gt;&lt;Author&gt;Stedmon&lt;/Author&gt;&lt;Year&gt;2003&lt;/Year&gt;&lt;RecNum&gt;85&lt;/RecNum&gt;&lt;DisplayText&gt;&lt;style face="superscript"&gt;2&lt;/style&gt;&lt;/DisplayText&gt;&lt;record&gt;&lt;rec-number&gt;85&lt;/rec-number&gt;&lt;foreign-keys&gt;&lt;key app="EN" db-id="sxapvfs2jva2dnear9bpeaa2dfarraz9wtfe" timestamp="1774964400"&gt;85&lt;/key&gt;&lt;/foreign-keys&gt;&lt;ref-type name="Journal Article"&gt;17&lt;/ref-type&gt;&lt;contributors&gt;&lt;authors&gt;&lt;author&gt;Stedmon, Colin A&lt;/author&gt;&lt;author&gt;Markager, Stiig&lt;/author&gt;&lt;author&gt;Bro, Rasmus&lt;/author&gt;&lt;/authors&gt;&lt;/contributors&gt;&lt;titles&gt;&lt;title&gt;Tracing dissolved organic matter in aquatic environments using a new approach to fluorescence spectroscopy&lt;/title&gt;&lt;secondary-title&gt;Marine chemistry&lt;/secondary-title&gt;&lt;/titles&gt;&lt;periodical&gt;&lt;full-title&gt;Marine chemistry&lt;/full-title&gt;&lt;/periodical&gt;&lt;pages&gt;239-254&lt;/pages&gt;&lt;volume&gt;82&lt;/volume&gt;&lt;number&gt;3-4&lt;/number&gt;&lt;dates&gt;&lt;year&gt;2003&lt;/year&gt;&lt;/dates&gt;&lt;isbn&gt;0304-4203&lt;/isbn&gt;&lt;urls&gt;&lt;/urls&gt;&lt;/record&gt;&lt;/Cite&gt;&lt;/EndNote&gt;</w:instrText>
      </w:r>
      <w:r>
        <w:fldChar w:fldCharType="separate"/>
      </w:r>
      <w:r>
        <w:rPr>
          <w:vertAlign w:val="superscript"/>
        </w:rPr>
        <w:t>2</w:t>
      </w:r>
      <w:r>
        <w:fldChar w:fldCharType="end"/>
      </w:r>
      <w:r>
        <w:t>. The HORIBA program automatically subtracted the blank and removed Rayleigh and Raman scattering. Non-negativity constraints were applied in the PARAFAC model to avoid negative values in the three identified components (i.e., excitation loadings, emission loadings, and concentration scores (fluorescence intensities) for each sample).</w:t>
      </w:r>
    </w:p>
    <w:p w14:paraId="4289E7A0">
      <w:pPr>
        <w:spacing w:line="480" w:lineRule="auto"/>
        <w:ind w:right="238" w:firstLine="480"/>
      </w:pPr>
      <w:r>
        <w:t>The Biological Index (BIX) is an indicator used to assess the freshness or recent biological activity contribution of dissolved organic matter (DOM). It is calculated as the ratio of fluorescence intensity at emission wavelength (Em) 380 nm to that at 430 nm with excitation wavelength (Ex) 310 nm. The general thresholds for BIX are as follows: BIX &lt; 0.6 indicates that DOM has limited recent autochthonous characteristics; 0.6 &lt; BIX &lt; 1.0 indicates a moderate degree of recent autochthonous characteristics; and BIX &gt; 1.0 indicates that DOM is predominantly composed of freshly produced microbial sources.</w:t>
      </w:r>
    </w:p>
    <w:p w14:paraId="3F87ABA2">
      <w:pPr>
        <w:spacing w:line="480" w:lineRule="auto"/>
        <w:ind w:right="238" w:firstLine="480"/>
      </w:pPr>
      <w:r>
        <w:t>The Fluorescence Index (FI) is defined as the ratio of fluorescence intensity at emission 470 nm to that at 520 nm with excitation at 370 nm. This index is used to indicate the source of humic-like components in DOM. When FI &lt; 1.2, DOM is mainly derived from allochthonous inputs, such as terrestrial organic matter or soil organic matter. When FI &gt; 1.8, DOM is mainly derived from autochthonous processes, such as microbial degradation. When FI is between 1.2 and 1.8, DOM exhibits mixed allochthonous and autochthonous characteristics.</w:t>
      </w:r>
    </w:p>
    <w:p w14:paraId="52D03CC4">
      <w:pPr>
        <w:spacing w:line="480" w:lineRule="auto"/>
        <w:ind w:right="238" w:firstLine="480"/>
      </w:pPr>
      <w:r>
        <w:t xml:space="preserve">The Humification Index (HIX) is defined as the ratio of the integrated fluorescence intensity in the emission region of 435–480 nm to that in the combined region of 300–345 nm and 435–480 nm at excitation 254 nm. This index is used to characterize the degree of humification of DOM; higher HIX values indicate a greater proportion of complex, recalcitrant humic-like components and a longer residence time of organic matter in the environment </w:t>
      </w:r>
      <w:r>
        <w:fldChar w:fldCharType="begin"/>
      </w:r>
      <w:r>
        <w:instrText xml:space="preserve"> ADDIN EN.CITE &lt;EndNote&gt;&lt;Cite&gt;&lt;Author&gt;Huguet&lt;/Author&gt;&lt;Year&gt;2009&lt;/Year&gt;&lt;RecNum&gt;245&lt;/RecNum&gt;&lt;DisplayText&gt;&lt;style face="superscript"&gt;3, 4&lt;/style&gt;&lt;/DisplayText&gt;&lt;record&gt;&lt;rec-number&gt;245&lt;/rec-number&gt;&lt;foreign-keys&gt;&lt;key app="EN" db-id="sxapvfs2jva2dnear9bpeaa2dfarraz9wtfe" timestamp="1778588819"&gt;245&lt;/key&gt;&lt;/foreign-keys&gt;&lt;ref-type name="Journal Article"&gt;17&lt;/ref-type&gt;&lt;contributors&gt;&lt;authors&gt;&lt;author&gt;Huguet, Arnaud&lt;/author&gt;&lt;author&gt;Vacher, Lilian&lt;/author&gt;&lt;author&gt;Relexans, Stéphane&lt;/author&gt;&lt;author&gt;Saubusse, Sylvain&lt;/author&gt;&lt;author&gt;Froidefond, Jean-Marie&lt;/author&gt;&lt;author&gt;Parlanti, Edith&lt;/author&gt;&lt;/authors&gt;&lt;/contributors&gt;&lt;titles&gt;&lt;title&gt;Properties of fluorescent dissolved organic matter in the Gironde Estuary&lt;/title&gt;&lt;secondary-title&gt;Organic Geochemistry&lt;/secondary-title&gt;&lt;/titles&gt;&lt;periodical&gt;&lt;full-title&gt;Organic Geochemistry&lt;/full-title&gt;&lt;/periodical&gt;&lt;pages&gt;706-719&lt;/pages&gt;&lt;volume&gt;40&lt;/volume&gt;&lt;number&gt;6&lt;/number&gt;&lt;dates&gt;&lt;year&gt;2009&lt;/year&gt;&lt;/dates&gt;&lt;isbn&gt;0146-6380&lt;/isbn&gt;&lt;urls&gt;&lt;/urls&gt;&lt;/record&gt;&lt;/Cite&gt;&lt;Cite&gt;&lt;Author&gt;Ohno&lt;/Author&gt;&lt;Year&gt;2002&lt;/Year&gt;&lt;RecNum&gt;246&lt;/RecNum&gt;&lt;record&gt;&lt;rec-number&gt;246&lt;/rec-number&gt;&lt;foreign-keys&gt;&lt;key app="EN" db-id="sxapvfs2jva2dnear9bpeaa2dfarraz9wtfe" timestamp="1778588833"&gt;246&lt;/key&gt;&lt;/foreign-keys&gt;&lt;ref-type name="Journal Article"&gt;17&lt;/ref-type&gt;&lt;contributors&gt;&lt;authors&gt;&lt;author&gt;Ohno, Tsutomu&lt;/author&gt;&lt;/authors&gt;&lt;/contributors&gt;&lt;titles&gt;&lt;title&gt;Fluorescence inner-filtering correction for determining the humification index of dissolved organic matter&lt;/title&gt;&lt;secondary-title&gt;Environmental science &amp;amp; technology&lt;/secondary-title&gt;&lt;/titles&gt;&lt;periodical&gt;&lt;full-title&gt;Environmental Science &amp;amp; Technology&lt;/full-title&gt;&lt;/periodical&gt;&lt;pages&gt;742-746&lt;/pages&gt;&lt;volume&gt;36&lt;/volume&gt;&lt;number&gt;4&lt;/number&gt;&lt;dates&gt;&lt;year&gt;2002&lt;/year&gt;&lt;/dates&gt;&lt;isbn&gt;0013-936X&lt;/isbn&gt;&lt;urls&gt;&lt;/urls&gt;&lt;/record&gt;&lt;/Cite&gt;&lt;/EndNote&gt;</w:instrText>
      </w:r>
      <w:r>
        <w:fldChar w:fldCharType="separate"/>
      </w:r>
      <w:r>
        <w:rPr>
          <w:vertAlign w:val="superscript"/>
        </w:rPr>
        <w:t>3, 4</w:t>
      </w:r>
      <w:r>
        <w:fldChar w:fldCharType="end"/>
      </w:r>
      <w:r>
        <w:t>.</w:t>
      </w:r>
    </w:p>
    <w:p w14:paraId="19B82005">
      <w:pPr>
        <w:spacing w:line="480" w:lineRule="auto"/>
        <w:ind w:right="240" w:firstLine="0" w:firstLineChars="0"/>
      </w:pPr>
      <w:bookmarkStart w:id="2" w:name="OLE_LINK5"/>
      <w:bookmarkStart w:id="3" w:name="OLE_LINK2"/>
    </w:p>
    <w:p w14:paraId="47B11A1C">
      <w:pPr>
        <w:spacing w:line="480" w:lineRule="auto"/>
        <w:ind w:right="240" w:firstLine="0" w:firstLineChars="0"/>
        <w:rPr>
          <w:b/>
          <w:bCs/>
        </w:rPr>
      </w:pPr>
      <w:r>
        <w:rPr>
          <w:b/>
          <w:bCs/>
        </w:rPr>
        <w:t>Appendix S3 FT-ICR MS analysis</w:t>
      </w:r>
    </w:p>
    <w:p w14:paraId="70438A26">
      <w:pPr>
        <w:spacing w:line="480" w:lineRule="auto"/>
        <w:ind w:firstLine="480"/>
      </w:pPr>
      <w:r>
        <w:t xml:space="preserve">The solid-phase extraction (SPE) procedure was as follows: PPL cartridges were first rinsed with 200 mL methanol, then sequentially rinsed with 20 mL formic acid-acidified ultrapure water and 20 mL ultrapure water. A 500-mL water sample acidified with formic acid (pH = 2) was passed through the PPL cartridge for extraction. After the entire water sample had passed through the PPL cartridge, the cartridge was rinsed successively with 20 mL formic acid-acidified ultrapure water and 20 mL ultrapure water, and then completely dried with ultrapure nitrogen gas </w:t>
      </w:r>
      <w:r>
        <w:fldChar w:fldCharType="begin"/>
      </w:r>
      <w:r>
        <w:instrText xml:space="preserve"> ADDIN EN.CITE &lt;EndNote&gt;&lt;Cite&gt;&lt;Author&gt;Dittmar&lt;/Author&gt;&lt;Year&gt;2008&lt;/Year&gt;&lt;RecNum&gt;247&lt;/RecNum&gt;&lt;DisplayText&gt;&lt;style face="superscript"&gt;5&lt;/style&gt;&lt;/DisplayText&gt;&lt;record&gt;&lt;rec-number&gt;247&lt;/rec-number&gt;&lt;foreign-keys&gt;&lt;key app="EN" db-id="sxapvfs2jva2dnear9bpeaa2dfarraz9wtfe" timestamp="1778588866"&gt;247&lt;/key&gt;&lt;/foreign-keys&gt;&lt;ref-type name="Journal Article"&gt;17&lt;/ref-type&gt;&lt;contributors&gt;&lt;authors&gt;&lt;author&gt;Dittmar, Thorsten&lt;/author&gt;&lt;author&gt;Koch, Boris&lt;/author&gt;&lt;author&gt;Hertkorn, Norbert&lt;/author&gt;&lt;author&gt;Kattner, Gerhard&lt;/author&gt;&lt;/a</w:instrText>
      </w:r>
      <w:r>
        <w:rPr>
          <w:rFonts w:hint="eastAsia"/>
        </w:rPr>
        <w:instrText xml:space="preserve">uthors&gt;&lt;/contributors&gt;&lt;titles&gt;&lt;title&gt;A simple and efficient method for the solid‐phase extraction of dissolved organic matter (SPE‐DOM) from seawater&lt;/title&gt;&lt;secondary-title&gt;Limnology and Oceanography: Methods&lt;/secondary-title&gt;&lt;/titles&gt;&lt;periodical&gt;&lt;full-t</w:instrText>
      </w:r>
      <w:r>
        <w:instrText xml:space="preserve">itle&gt;Limnology and Oceanography: Methods&lt;/full-title&gt;&lt;/periodical&gt;&lt;pages&gt;230-235&lt;/pages&gt;&lt;volume&gt;6&lt;/volume&gt;&lt;number&gt;6&lt;/number&gt;&lt;dates&gt;&lt;year&gt;2008&lt;/year&gt;&lt;/dates&gt;&lt;isbn&gt;1541-5856&lt;/isbn&gt;&lt;urls&gt;&lt;/urls&gt;&lt;/record&gt;&lt;/Cite&gt;&lt;/EndNote&gt;</w:instrText>
      </w:r>
      <w:r>
        <w:fldChar w:fldCharType="separate"/>
      </w:r>
      <w:r>
        <w:rPr>
          <w:vertAlign w:val="superscript"/>
        </w:rPr>
        <w:t>5</w:t>
      </w:r>
      <w:r>
        <w:fldChar w:fldCharType="end"/>
      </w:r>
      <w:r>
        <w:t xml:space="preserve"> Finally, the sample was eluted with 5 mL methanol. The eluate was stored in acid-washed and combusted glass vials at –18°C in the dark until subsequent FT-ICR MS analysis.</w:t>
      </w:r>
    </w:p>
    <w:p w14:paraId="6A17B5CF">
      <w:pPr>
        <w:spacing w:line="480" w:lineRule="auto"/>
        <w:ind w:firstLine="480"/>
      </w:pPr>
      <w:r>
        <w:t>After SPE, the eluates were transported to the Hubei Key Laboratory of Environmental Water Science in the Yangtze River Basin, China University of Geosciences (Wuhan), for analysis at 4°C in the dark. DOM was analyzed using a Bruker apex-ultra Fourier transform ion cyclotron resonance mass spectrometer (Bruker FT-ICR MS) equipped with a 7.0 T superconducting magnet and coupled with an electrospray ionization (ESI) source in negative-ion mode, and calibrated with Suwannee River humic acid standard. Samples were continuously infused into the ESI source using a syringe pump at a flow rate of 150 μL h</w:t>
      </w:r>
      <w:r>
        <w:rPr>
          <w:vertAlign w:val="superscript"/>
        </w:rPr>
        <w:t>-1</w:t>
      </w:r>
      <w:r>
        <w:t>. The capillary voltage and spray shield voltage were set at 4,000 V and –500 V, respectively. The drying gas flow rate was 5 L min</w:t>
      </w:r>
      <w:r>
        <w:rPr>
          <w:vertAlign w:val="superscript"/>
        </w:rPr>
        <w:t>-1</w:t>
      </w:r>
      <w:r>
        <w:t xml:space="preserve">, and the source was operated at 200°C. The mass range was set to m/z 200–1,000. A total of 256 scan transient signals were accumulated to improve the signal-to-noise ratio and dynamic range, with a transient acquisition point number of 4M. After mass spectrometric data acquisition, internal calibration was performed using DataAnalysis 5.0, with a mass error of less than 0.5 ppm. Peak intensities of each molecular formula were normalized using ICBM-OCEAN, and DOM molecular formulas were assigned with elemental composition constraints of </w:t>
      </w:r>
      <w:r>
        <w:rPr>
          <w:vertAlign w:val="superscript"/>
        </w:rPr>
        <w:t>12</w:t>
      </w:r>
      <w:r>
        <w:t>C</w:t>
      </w:r>
      <w:r>
        <w:rPr>
          <w:vertAlign w:val="subscript"/>
        </w:rPr>
        <w:t>1-50</w:t>
      </w:r>
      <w:r>
        <w:t xml:space="preserve">, </w:t>
      </w:r>
      <w:r>
        <w:rPr>
          <w:vertAlign w:val="superscript"/>
        </w:rPr>
        <w:t>1</w:t>
      </w:r>
      <w:r>
        <w:t>H</w:t>
      </w:r>
      <w:r>
        <w:rPr>
          <w:vertAlign w:val="subscript"/>
        </w:rPr>
        <w:t>1-100</w:t>
      </w:r>
      <w:r>
        <w:t xml:space="preserve">, </w:t>
      </w:r>
      <w:r>
        <w:rPr>
          <w:vertAlign w:val="superscript"/>
        </w:rPr>
        <w:t>16</w:t>
      </w:r>
      <w:r>
        <w:t>O</w:t>
      </w:r>
      <w:r>
        <w:rPr>
          <w:vertAlign w:val="subscript"/>
        </w:rPr>
        <w:t>1-50</w:t>
      </w:r>
      <w:r>
        <w:t xml:space="preserve">, </w:t>
      </w:r>
      <w:r>
        <w:rPr>
          <w:vertAlign w:val="superscript"/>
        </w:rPr>
        <w:t>14</w:t>
      </w:r>
      <w:r>
        <w:t>N</w:t>
      </w:r>
      <w:r>
        <w:rPr>
          <w:vertAlign w:val="subscript"/>
        </w:rPr>
        <w:t>0-3</w:t>
      </w:r>
      <w:r>
        <w:t xml:space="preserve">, </w:t>
      </w:r>
      <w:r>
        <w:rPr>
          <w:vertAlign w:val="superscript"/>
        </w:rPr>
        <w:t>32</w:t>
      </w:r>
      <w:r>
        <w:t>S</w:t>
      </w:r>
      <w:r>
        <w:rPr>
          <w:vertAlign w:val="subscript"/>
        </w:rPr>
        <w:t>0-2</w:t>
      </w:r>
      <w:r>
        <w:t xml:space="preserve">, and </w:t>
      </w:r>
      <w:r>
        <w:rPr>
          <w:vertAlign w:val="superscript"/>
        </w:rPr>
        <w:t>31</w:t>
      </w:r>
      <w:r>
        <w:t>P</w:t>
      </w:r>
      <w:r>
        <w:rPr>
          <w:vertAlign w:val="subscript"/>
        </w:rPr>
        <w:t>0-1</w:t>
      </w:r>
      <w:r>
        <w:t>. Isotopic isomers were not considered in this study. The relative abundance of each DOM chemical component was calculated using the following formula:</w:t>
      </w:r>
    </w:p>
    <w:bookmarkEnd w:id="2"/>
    <w:p w14:paraId="2AA6B685">
      <w:pPr>
        <w:spacing w:line="480" w:lineRule="auto"/>
        <w:ind w:firstLine="480"/>
        <w:jc w:val="center"/>
      </w:pPr>
      <w:r>
        <w:rPr>
          <w:position w:val="-10"/>
        </w:rPr>
        <w:object>
          <v:shape id="_x0000_i1025" o:spt="75" type="#_x0000_t75" style="height:17.7pt;width:120.2pt;" o:ole="t" filled="f" o:preferrelative="t" stroked="f" coordsize="21600,21600">
            <v:path/>
            <v:fill on="f" focussize="0,0"/>
            <v:stroke on="f" joinstyle="miter"/>
            <v:imagedata r:id="rId13" o:title=""/>
            <o:lock v:ext="edit" aspectratio="t"/>
            <w10:wrap type="none"/>
            <w10:anchorlock/>
          </v:shape>
          <o:OLEObject Type="Embed" ProgID="Equation.KSEE3" ShapeID="_x0000_i1025" DrawAspect="Content" ObjectID="_1468075725" r:id="rId12">
            <o:LockedField>false</o:LockedField>
          </o:OLEObject>
        </w:object>
      </w:r>
      <w:r>
        <w:t xml:space="preserve">               (1)</w:t>
      </w:r>
    </w:p>
    <w:p w14:paraId="58B4CA81">
      <w:pPr>
        <w:spacing w:line="480" w:lineRule="auto"/>
        <w:ind w:firstLine="480"/>
      </w:pPr>
      <w:r>
        <w:t xml:space="preserve">where Xi (%) represents the relative abundance of a specific chemical component in dissolved organic matter, Ai denotes the sum of peak intensities for a particular chemical component, and As is the total sum of peak intensities for all chemical components in the sample.  </w:t>
      </w:r>
    </w:p>
    <w:p w14:paraId="2AC9ADED">
      <w:pPr>
        <w:spacing w:line="480" w:lineRule="auto"/>
        <w:ind w:firstLine="480"/>
      </w:pPr>
      <w:r>
        <w:t>The modified aromaticity index (</w:t>
      </w:r>
      <w:r>
        <w:rPr>
          <w:rFonts w:hint="eastAsia"/>
          <w:lang w:eastAsia="zh-CN"/>
        </w:rPr>
        <w:t>AImod</w:t>
      </w:r>
      <w:r>
        <w:t>), nominal oxidation state of carbon (NOSC), and double bond equivalent (DBE) for each molecular formula were calculated using the following formulas:</w:t>
      </w:r>
    </w:p>
    <w:p w14:paraId="162228A1">
      <w:pPr>
        <w:spacing w:line="480" w:lineRule="auto"/>
        <w:ind w:firstLine="480"/>
        <w:jc w:val="center"/>
      </w:pPr>
      <w:r>
        <w:rPr>
          <w:position w:val="-10"/>
        </w:rPr>
        <w:object>
          <v:shape id="_x0000_i1026" o:spt="75" type="#_x0000_t75" style="height:17.7pt;width:330.1pt;" o:ole="t" filled="f" o:preferrelative="t" stroked="f" coordsize="21600,21600">
            <v:path/>
            <v:fill on="f" focussize="0,0"/>
            <v:stroke on="f" joinstyle="miter"/>
            <v:imagedata r:id="rId15" o:title=""/>
            <o:lock v:ext="edit" aspectratio="t"/>
            <w10:wrap type="none"/>
            <w10:anchorlock/>
          </v:shape>
          <o:OLEObject Type="Embed" ProgID="Equation.KSEE3" ShapeID="_x0000_i1026" DrawAspect="Content" ObjectID="_1468075726" r:id="rId14">
            <o:LockedField>false</o:LockedField>
          </o:OLEObject>
        </w:object>
      </w:r>
      <w:r>
        <w:t xml:space="preserve"> (1)</w:t>
      </w:r>
    </w:p>
    <w:p w14:paraId="377D5F90">
      <w:pPr>
        <w:spacing w:line="480" w:lineRule="auto"/>
        <w:ind w:firstLine="480"/>
        <w:jc w:val="center"/>
      </w:pPr>
      <w:r>
        <w:rPr>
          <w:position w:val="-10"/>
        </w:rPr>
        <w:object>
          <v:shape id="_x0000_i1027" o:spt="75" type="#_x0000_t75" style="height:17.7pt;width:240.35pt;" o:ole="t" filled="f" o:preferrelative="t" stroked="f" coordsize="21600,21600">
            <v:path/>
            <v:fill on="f" focussize="0,0"/>
            <v:stroke on="f" joinstyle="miter"/>
            <v:imagedata r:id="rId17" o:title=""/>
            <o:lock v:ext="edit" aspectratio="t"/>
            <w10:wrap type="none"/>
            <w10:anchorlock/>
          </v:shape>
          <o:OLEObject Type="Embed" ProgID="Equation.KSEE3" ShapeID="_x0000_i1027" DrawAspect="Content" ObjectID="_1468075727" r:id="rId16">
            <o:LockedField>false</o:LockedField>
          </o:OLEObject>
        </w:object>
      </w:r>
      <w:r>
        <w:t xml:space="preserve">                (2)</w:t>
      </w:r>
    </w:p>
    <w:p w14:paraId="5FC7DE31">
      <w:pPr>
        <w:spacing w:line="480" w:lineRule="auto"/>
        <w:ind w:firstLine="480"/>
        <w:jc w:val="center"/>
      </w:pPr>
      <w:r>
        <w:rPr>
          <w:position w:val="-10"/>
        </w:rPr>
        <w:object>
          <v:shape id="_x0000_i1028" o:spt="75" type="#_x0000_t75" style="height:17.7pt;width:192.2pt;" o:ole="t" filled="f" o:preferrelative="t" stroked="f" coordsize="21600,21600">
            <v:path/>
            <v:fill on="f" focussize="0,0"/>
            <v:stroke on="f" joinstyle="miter"/>
            <v:imagedata r:id="rId19" o:title=""/>
            <o:lock v:ext="edit" aspectratio="t"/>
            <w10:wrap type="none"/>
            <w10:anchorlock/>
          </v:shape>
          <o:OLEObject Type="Embed" ProgID="Equation.KSEE3" ShapeID="_x0000_i1028" DrawAspect="Content" ObjectID="_1468075728" r:id="rId18">
            <o:LockedField>false</o:LockedField>
          </o:OLEObject>
        </w:object>
      </w:r>
      <w:r>
        <w:t xml:space="preserve">                        (3)</w:t>
      </w:r>
    </w:p>
    <w:bookmarkEnd w:id="3"/>
    <w:p w14:paraId="11A3F790">
      <w:pPr>
        <w:spacing w:line="480" w:lineRule="auto"/>
        <w:ind w:firstLine="480"/>
      </w:pPr>
      <w:r>
        <w:t>where C, H, O, N, S, and P represent the stoichiometric numbers of carbon, hydrogen, oxygen, nitrogen, sulfur, and phosphorus atoms in each molecule, respectively. Intensity-weighted average values were used to obtain the above three parameters for each sample. The molecular lability boundary index (MLB</w:t>
      </w:r>
      <w:r>
        <w:rPr>
          <w:rFonts w:hint="eastAsia"/>
        </w:rPr>
        <w:t>_L</w:t>
      </w:r>
      <w:r>
        <w:t>) was calculated as the total intensity of molecular formulae with a H/C ratio greater than 1.5 divided by the total intensity of all molecular formulae. When H/C &lt; 1.5, the dissolved organic matter components exhibit more recalcitrant characteristics.</w:t>
      </w:r>
    </w:p>
    <w:p w14:paraId="5A5D0928">
      <w:pPr>
        <w:spacing w:line="480" w:lineRule="auto"/>
        <w:ind w:right="240" w:firstLine="225" w:firstLineChars="94"/>
      </w:pPr>
    </w:p>
    <w:p w14:paraId="3E352610">
      <w:pPr>
        <w:spacing w:line="480" w:lineRule="auto"/>
        <w:ind w:right="240" w:firstLine="0" w:firstLineChars="0"/>
        <w:rPr>
          <w:rFonts w:cs="Times New Roman"/>
          <w:b/>
        </w:rPr>
      </w:pPr>
      <w:bookmarkStart w:id="4" w:name="OLE_LINK7"/>
      <w:r>
        <w:rPr>
          <w:b/>
          <w:bCs/>
        </w:rPr>
        <w:t>Appendix</w:t>
      </w:r>
      <w:bookmarkEnd w:id="4"/>
      <w:r>
        <w:rPr>
          <w:b/>
          <w:bCs/>
        </w:rPr>
        <w:t xml:space="preserve"> </w:t>
      </w:r>
      <w:r>
        <w:rPr>
          <w:rFonts w:hint="eastAsia" w:cs="Times New Roman"/>
          <w:b/>
        </w:rPr>
        <w:t>S</w:t>
      </w:r>
      <w:r>
        <w:rPr>
          <w:rFonts w:cs="Times New Roman"/>
          <w:b/>
        </w:rPr>
        <w:t>4 Metagenomic sequencing and sequence processing</w:t>
      </w:r>
    </w:p>
    <w:p w14:paraId="1802082F">
      <w:pPr>
        <w:spacing w:line="480" w:lineRule="auto"/>
        <w:ind w:firstLine="480"/>
        <w:rPr>
          <w:rFonts w:cs="Times New Roman"/>
          <w:szCs w:val="21"/>
        </w:rPr>
      </w:pPr>
      <w:r>
        <w:rPr>
          <w:rFonts w:cs="Times New Roman"/>
        </w:rPr>
        <w:t xml:space="preserve">Total DNA extracted from </w:t>
      </w:r>
      <w:r>
        <w:rPr>
          <w:rFonts w:hint="eastAsia" w:cs="Times New Roman"/>
          <w:lang w:val="en-US" w:eastAsia="zh-CN"/>
        </w:rPr>
        <w:t>water</w:t>
      </w:r>
      <w:r>
        <w:rPr>
          <w:rFonts w:cs="Times New Roman"/>
        </w:rPr>
        <w:t xml:space="preserve"> samples was subjected to metagenomic sequencing on an Illumina NovaSeq platform(Guangdong Magigene Biotechnology Co.，Ltd. Guangzhou，China). </w:t>
      </w:r>
      <w:r>
        <w:rPr>
          <w:rFonts w:cs="Times New Roman"/>
          <w:szCs w:val="21"/>
        </w:rPr>
        <w:t xml:space="preserve">Raw reads were processed using fastp v0.23.4 to obtain clean data </w:t>
      </w:r>
      <w:r>
        <w:rPr>
          <w:rFonts w:cs="Times New Roman"/>
          <w:szCs w:val="21"/>
        </w:rPr>
        <w:fldChar w:fldCharType="begin"/>
      </w:r>
      <w:r>
        <w:rPr>
          <w:rFonts w:cs="Times New Roman"/>
          <w:szCs w:val="21"/>
        </w:rPr>
        <w:instrText xml:space="preserve"> ADDIN EN.CITE &lt;EndNote&gt;&lt;Cite&gt;&lt;Author&gt;Chen&lt;/Author&gt;&lt;Year&gt;2018&lt;/Year&gt;&lt;RecNum&gt;178&lt;/RecNum&gt;&lt;DisplayText&gt;&lt;style face="superscript"&gt;6&lt;/style&gt;&lt;/DisplayText&gt;&lt;record&gt;&lt;rec-number&gt;178&lt;/rec-number&gt;&lt;foreign-keys&gt;&lt;key app="EN" db-id="rdsrada2d5a0zwef5svvaf9nxxrzxv0axta0" timestamp="1734339298"&gt;178&lt;/key&gt;&lt;/foreign-keys&gt;&lt;ref-type name="Journal Article"&gt;17&lt;/ref-type&gt;&lt;contributors&gt;&lt;authors&gt;&lt;author&gt;Chen, Shifu&lt;/author&gt;&lt;author&gt;Zhou, Yanqing&lt;/author&gt;&lt;author&gt;Chen, Yaru&lt;/author&gt;&lt;author&gt;Gu, Jia&lt;/author&gt;&lt;/authors&gt;&lt;/contributors&gt;&lt;titles&gt;&lt;title&gt;fastp: an ultra-fast all-in-one FASTQ preprocessor&lt;/title&gt;&lt;secondary-title&gt;Bioinformatics&lt;/secondary-title&gt;&lt;/titles&gt;&lt;periodical&gt;&lt;full-title&gt;Bioinformatics&lt;/full-title&gt;&lt;abbr-1&gt;Bioinformatics&lt;/abbr-1&gt;&lt;abbr-2&gt;Bioinformatics&lt;/abbr-2&gt;&lt;/periodical&gt;&lt;pages&gt;i884-i890&lt;/pages&gt;&lt;volume&gt;34&lt;/volume&gt;&lt;number&gt;17&lt;/number&gt;&lt;dates&gt;&lt;year&gt;2018&lt;/year&gt;&lt;/dates&gt;&lt;isbn&gt;1367-4803&lt;/isbn&gt;&lt;urls&gt;&lt;related-urls&gt;&lt;url&gt;https://doi.org/10.1093/bioinformatics/bty560&lt;/url&gt;&lt;/related-urls&gt;&lt;/urls&gt;&lt;electronic-resource-num&gt;10.1093/bioinformatics/bty560&lt;/electronic-resource-num&gt;&lt;access-date&gt;12/16/2024&lt;/access-date&gt;&lt;/record&gt;&lt;/Cite&gt;&lt;/EndNote&gt;</w:instrText>
      </w:r>
      <w:r>
        <w:rPr>
          <w:rFonts w:cs="Times New Roman"/>
          <w:szCs w:val="21"/>
        </w:rPr>
        <w:fldChar w:fldCharType="separate"/>
      </w:r>
      <w:r>
        <w:rPr>
          <w:rFonts w:cs="Times New Roman"/>
          <w:szCs w:val="21"/>
          <w:vertAlign w:val="superscript"/>
        </w:rPr>
        <w:t>6</w:t>
      </w:r>
      <w:r>
        <w:rPr>
          <w:rFonts w:cs="Times New Roman"/>
          <w:szCs w:val="21"/>
        </w:rPr>
        <w:fldChar w:fldCharType="end"/>
      </w:r>
      <w:r>
        <w:rPr>
          <w:rFonts w:cs="Times New Roman"/>
          <w:szCs w:val="21"/>
        </w:rPr>
        <w:t>. The clean reads were assembled into contigs with MEGAH</w:t>
      </w:r>
      <w:r>
        <w:rPr>
          <w:rFonts w:hint="eastAsia" w:cs="Times New Roman"/>
          <w:szCs w:val="21"/>
          <w:lang w:val="en-US" w:eastAsia="zh-CN"/>
        </w:rPr>
        <w:t>I</w:t>
      </w:r>
      <w:r>
        <w:rPr>
          <w:rFonts w:cs="Times New Roman"/>
          <w:szCs w:val="21"/>
        </w:rPr>
        <w:t xml:space="preserve">T v1.2.9 </w:t>
      </w:r>
      <w:r>
        <w:rPr>
          <w:rFonts w:cs="Times New Roman"/>
          <w:szCs w:val="21"/>
        </w:rPr>
        <w:fldChar w:fldCharType="begin"/>
      </w:r>
      <w:r>
        <w:rPr>
          <w:rFonts w:cs="Times New Roman"/>
          <w:szCs w:val="21"/>
        </w:rPr>
        <w:instrText xml:space="preserve"> ADDIN EN.CITE &lt;EndNote&gt;&lt;Cite&gt;&lt;Author&gt;Li&lt;/Author&gt;&lt;Year&gt;2015&lt;/Year&gt;&lt;RecNum&gt;179&lt;/RecNum&gt;&lt;DisplayText&gt;&lt;style face="superscript"&gt;7&lt;/style&gt;&lt;/DisplayText&gt;&lt;record&gt;&lt;rec-number&gt;179&lt;/rec-number&gt;&lt;foreign-keys&gt;&lt;key app="EN" db-id="rdsrada2d5a0zwef5svvaf9nxxrzxv0axta0" timestamp="1734339343"&gt;179&lt;/key&gt;&lt;/foreign-keys&gt;&lt;ref-type name="Journal Article"&gt;17&lt;/ref-type&gt;&lt;contributors&gt;&lt;authors&gt;&lt;author&gt;Li, Dinghua&lt;/author&gt;&lt;author&gt;Liu, Chi-Man&lt;/author&gt;&lt;author&gt;Luo, Ruibang&lt;/author&gt;&lt;author&gt;Sadakane, Kunihiko&lt;/author&gt;&lt;author&gt;Lam, Tak-Wah&lt;/author&gt;&lt;/authors&gt;&lt;/contributors&gt;&lt;titles&gt;&lt;title&gt;MEGAHIT: an ultra-fast single-node solution for large and complex metagenomics assembly via succinct de Bruijn graph&lt;/title&gt;&lt;secondary-title&gt;Bioinformatics&lt;/secondary-title&gt;&lt;/titles&gt;&lt;periodical&gt;&lt;full-title&gt;Bioinformatics&lt;/full-title&gt;&lt;abbr-1&gt;Bioinformatics&lt;/abbr-1&gt;&lt;abbr-2&gt;Bioinformatics&lt;/abbr-2&gt;&lt;/periodical&gt;&lt;pages&gt;1674-1676&lt;/pages&gt;&lt;volume&gt;31&lt;/volume&gt;&lt;number&gt;10&lt;/number&gt;&lt;dates&gt;&lt;year&gt;2015&lt;/year&gt;&lt;/dates&gt;&lt;isbn&gt;1367-4803&lt;/isbn&gt;&lt;urls&gt;&lt;related-urls&gt;&lt;url&gt;https://doi.org/10.1093/bioinformatics/btv033&lt;/url&gt;&lt;/related-urls&gt;&lt;/urls&gt;&lt;electronic-resource-num&gt;10.1093/bioinformatics/btv033&lt;/electronic-resource-num&gt;&lt;access-date&gt;12/16/2024&lt;/access-date&gt;&lt;/record&gt;&lt;/Cite&gt;&lt;/EndNote&gt;</w:instrText>
      </w:r>
      <w:r>
        <w:rPr>
          <w:rFonts w:cs="Times New Roman"/>
          <w:szCs w:val="21"/>
        </w:rPr>
        <w:fldChar w:fldCharType="separate"/>
      </w:r>
      <w:r>
        <w:rPr>
          <w:rFonts w:cs="Times New Roman"/>
          <w:szCs w:val="21"/>
          <w:vertAlign w:val="superscript"/>
        </w:rPr>
        <w:t>7</w:t>
      </w:r>
      <w:r>
        <w:rPr>
          <w:rFonts w:cs="Times New Roman"/>
          <w:szCs w:val="21"/>
        </w:rPr>
        <w:fldChar w:fldCharType="end"/>
      </w:r>
      <w:r>
        <w:rPr>
          <w:rFonts w:cs="Times New Roman"/>
          <w:szCs w:val="21"/>
        </w:rPr>
        <w:t xml:space="preserve">. Open reading frames (ORFs) were predicted using Prodigal with the -meta option </w:t>
      </w:r>
      <w:r>
        <w:rPr>
          <w:rFonts w:cs="Times New Roman"/>
          <w:szCs w:val="21"/>
        </w:rPr>
        <w:fldChar w:fldCharType="begin"/>
      </w:r>
      <w:r>
        <w:rPr>
          <w:rFonts w:cs="Times New Roman"/>
          <w:szCs w:val="21"/>
        </w:rPr>
        <w:instrText xml:space="preserve"> ADDIN EN.CITE &lt;EndNote&gt;&lt;Cite&gt;&lt;Author&gt;Hyatt&lt;/Author&gt;&lt;Year&gt;2010&lt;/Year&gt;&lt;RecNum&gt;180&lt;/RecNum&gt;&lt;DisplayText&gt;&lt;style face="superscript"&gt;8&lt;/style&gt;&lt;/DisplayText&gt;&lt;record&gt;&lt;rec-number&gt;180&lt;/rec-number&gt;&lt;foreign-keys&gt;&lt;key app="EN" db-id="rdsrada2d5a0zwef5svvaf9nxxrzxv0axta0" timestamp="1734339530"&gt;180&lt;/key&gt;&lt;/foreign-keys&gt;&lt;ref-type name="Journal Article"&gt;17&lt;/ref-type&gt;&lt;contributors&gt;&lt;authors&gt;&lt;author&gt;Hyatt, Doug&lt;/author&gt;&lt;author&gt;Chen, Gwo-Liang&lt;/author&gt;&lt;author&gt;LoCascio, Philip F.&lt;/author&gt;&lt;author&gt;Land, Miriam L.&lt;/author&gt;&lt;author&gt;Larimer, Frank W.&lt;/author&gt;&lt;author&gt;Hauser, Loren J.&lt;/author&gt;&lt;/authors&gt;&lt;/contributors&gt;&lt;titles&gt;&lt;title&gt;Prodigal: prokaryotic gene recognition and translation initiation site identification&lt;/title&gt;&lt;secondary-title&gt;BMC Bioinformatics&lt;/secondary-title&gt;&lt;/titles&gt;&lt;periodical&gt;&lt;full-title&gt;BMC Bioinformatics&lt;/full-title&gt;&lt;abbr-1&gt;BMC Bioinformatics&lt;/abbr-1&gt;&lt;abbr-2&gt;BMC Bioinformatics&lt;/abbr-2&gt;&lt;/periodical&gt;&lt;pages&gt;119&lt;/pages&gt;&lt;volume&gt;11&lt;/volume&gt;&lt;number&gt;1&lt;/number&gt;&lt;dates&gt;&lt;year&gt;2010&lt;/year&gt;&lt;pub-dates&gt;&lt;date&gt;2010/03/08&lt;/date&gt;&lt;/pub-dates&gt;&lt;/dates&gt;&lt;isbn&gt;1471-2105&lt;/isbn&gt;&lt;urls&gt;&lt;related-urls&gt;&lt;url&gt;https://doi.org/10.1186/1471-2105-11-119&lt;/url&gt;&lt;/related-urls&gt;&lt;/urls&gt;&lt;electronic-resource-num&gt;10.1186/1471-2105-11-119&lt;/electronic-resource-num&gt;&lt;/record&gt;&lt;/Cite&gt;&lt;/EndNote&gt;</w:instrText>
      </w:r>
      <w:r>
        <w:rPr>
          <w:rFonts w:cs="Times New Roman"/>
          <w:szCs w:val="21"/>
        </w:rPr>
        <w:fldChar w:fldCharType="separate"/>
      </w:r>
      <w:r>
        <w:rPr>
          <w:rFonts w:cs="Times New Roman"/>
          <w:szCs w:val="21"/>
          <w:vertAlign w:val="superscript"/>
        </w:rPr>
        <w:t>8</w:t>
      </w:r>
      <w:r>
        <w:rPr>
          <w:rFonts w:cs="Times New Roman"/>
          <w:szCs w:val="21"/>
        </w:rPr>
        <w:fldChar w:fldCharType="end"/>
      </w:r>
      <w:r>
        <w:rPr>
          <w:rFonts w:cs="Times New Roman"/>
          <w:szCs w:val="21"/>
        </w:rPr>
        <w:t xml:space="preserve">. To construct a non-redundant gene catalog, ORFs were dereplicated across all samples using MMseqs2 with the parameters --min-seq-id 0.95 -c 0.9 --cov-mode 1 --cluster-mode 2 </w:t>
      </w:r>
      <w:r>
        <w:rPr>
          <w:rFonts w:cs="Times New Roman"/>
          <w:szCs w:val="21"/>
        </w:rPr>
        <w:fldChar w:fldCharType="begin"/>
      </w:r>
      <w:r>
        <w:rPr>
          <w:rFonts w:cs="Times New Roman"/>
          <w:szCs w:val="21"/>
        </w:rPr>
        <w:instrText xml:space="preserve"> ADDIN EN.CITE &lt;EndNote&gt;&lt;Cite&gt;&lt;Author&gt;Steinegger&lt;/Author&gt;&lt;Year&gt;2017&lt;/Year&gt;&lt;RecNum&gt;181&lt;/RecNum&gt;&lt;DisplayText&gt;&lt;style face="superscript"&gt;9&lt;/style&gt;&lt;/DisplayText&gt;&lt;record&gt;&lt;rec-number&gt;181&lt;/rec-number&gt;&lt;foreign-keys&gt;&lt;key app="EN" db-id="rdsrada2d5a0zwef5svvaf9nxxrzxv0axta0" timestamp="1734339695"&gt;181&lt;/key&gt;&lt;/foreign-keys&gt;&lt;ref-type name="Journal Article"&gt;17&lt;/ref-type&gt;&lt;contributors&gt;&lt;authors&gt;&lt;author&gt;Steinegger, Martin&lt;/author&gt;&lt;author&gt;Söding, Johannes&lt;/author&gt;&lt;/authors&gt;&lt;/contributors&gt;&lt;titles&gt;&lt;title&gt;MMseqs2 enables sensitive protein sequence searching for the analysis of massive data sets&lt;/title&gt;&lt;secondary-title&gt;Nature Biotechnology&lt;/secondary-title&gt;&lt;/titles&gt;&lt;periodical&gt;&lt;full-title&gt;Nature Biotechnology&lt;/full-title&gt;&lt;abbr-1&gt;Nat. Biotechnol.&lt;/abbr-1&gt;&lt;abbr-2&gt;Nat Biotechnol&lt;/abbr-2&gt;&lt;/periodical&gt;&lt;pages&gt;1026-1028&lt;/pages&gt;&lt;volume&gt;35&lt;/volume&gt;&lt;number&gt;11&lt;/number&gt;&lt;dates&gt;&lt;year&gt;2017&lt;/year&gt;&lt;pub-dates&gt;&lt;date&gt;2017/11/01&lt;/date&gt;&lt;/pub-dates&gt;&lt;/dates&gt;&lt;isbn&gt;1546-1696&lt;/isbn&gt;&lt;urls&gt;&lt;related-urls&gt;&lt;url&gt;https://doi.org/10.1038/nbt.3988&lt;/url&gt;&lt;/related-urls&gt;&lt;/urls&gt;&lt;electronic-resource-num&gt;10.1038/nbt.3988&lt;/electronic-resource-num&gt;&lt;/record&gt;&lt;/Cite&gt;&lt;/EndNote&gt;</w:instrText>
      </w:r>
      <w:r>
        <w:rPr>
          <w:rFonts w:cs="Times New Roman"/>
          <w:szCs w:val="21"/>
        </w:rPr>
        <w:fldChar w:fldCharType="separate"/>
      </w:r>
      <w:r>
        <w:rPr>
          <w:rFonts w:cs="Times New Roman"/>
          <w:szCs w:val="21"/>
          <w:vertAlign w:val="superscript"/>
        </w:rPr>
        <w:t>9</w:t>
      </w:r>
      <w:r>
        <w:rPr>
          <w:rFonts w:cs="Times New Roman"/>
          <w:szCs w:val="21"/>
        </w:rPr>
        <w:fldChar w:fldCharType="end"/>
      </w:r>
      <w:r>
        <w:rPr>
          <w:rFonts w:cs="Times New Roman"/>
          <w:szCs w:val="21"/>
        </w:rPr>
        <w:t xml:space="preserve">. Clean reads were aligned to the non-redundant gene catalog using BWA v0.7.18 </w:t>
      </w:r>
      <w:r>
        <w:rPr>
          <w:rFonts w:cs="Times New Roman"/>
          <w:szCs w:val="21"/>
        </w:rPr>
        <w:fldChar w:fldCharType="begin"/>
      </w:r>
      <w:r>
        <w:rPr>
          <w:rFonts w:cs="Times New Roman"/>
          <w:szCs w:val="21"/>
        </w:rPr>
        <w:instrText xml:space="preserve"> ADDIN EN.CITE &lt;EndNote&gt;&lt;Cite&gt;&lt;Author&gt;Li&lt;/Author&gt;&lt;Year&gt;2009&lt;/Year&gt;&lt;RecNum&gt;182&lt;/RecNum&gt;&lt;DisplayText&gt;&lt;style face="superscript"&gt;10&lt;/style&gt;&lt;/DisplayText&gt;&lt;record&gt;&lt;rec-number&gt;182&lt;/rec-number&gt;&lt;foreign-keys&gt;&lt;key app="EN" db-id="rdsrada2d5a0zwef5svvaf9nxxrzxv0axta0" timestamp="1734339862"&gt;182&lt;/key&gt;&lt;/foreign-keys&gt;&lt;ref-type name="Journal Article"&gt;17&lt;/ref-type&gt;&lt;contributors&gt;&lt;authors&gt;&lt;author&gt;Li, Heng&lt;/author&gt;&lt;author&gt;Durbin, Richard&lt;/author&gt;&lt;/authors&gt;&lt;/contributors&gt;&lt;titles&gt;&lt;title&gt;Fast and accurate short read alignment with Burrows–Wheeler transform&lt;/title&gt;&lt;secondary-title&gt;Bioinformatics&lt;/secondary-title&gt;&lt;/titles&gt;&lt;periodical&gt;&lt;full-title&gt;Bioinformatics&lt;/full-title&gt;&lt;abbr-1&gt;Bioinformatics&lt;/abbr-1&gt;&lt;abbr-2&gt;Bioinformatics&lt;/abbr-2&gt;&lt;/periodical&gt;&lt;pages&gt;1754-1760&lt;/pages&gt;&lt;volume&gt;25&lt;/volume&gt;&lt;number&gt;14&lt;/number&gt;&lt;dates&gt;&lt;year&gt;2009&lt;/year&gt;&lt;/dates&gt;&lt;isbn&gt;1367-4803&lt;/isbn&gt;&lt;urls&gt;&lt;related-urls&gt;&lt;url&gt;https://doi.org/10.1093/bioinformatics/btp324&lt;/url&gt;&lt;/related-urls&gt;&lt;/urls&gt;&lt;electronic-resource-num&gt;10.1093/bioinformatics/btp324&lt;/electronic-resource-num&gt;&lt;access-date&gt;12/16/2024&lt;/access-date&gt;&lt;/record&gt;&lt;/Cite&gt;&lt;/EndNote&gt;</w:instrText>
      </w:r>
      <w:r>
        <w:rPr>
          <w:rFonts w:cs="Times New Roman"/>
          <w:szCs w:val="21"/>
        </w:rPr>
        <w:fldChar w:fldCharType="separate"/>
      </w:r>
      <w:r>
        <w:rPr>
          <w:rFonts w:cs="Times New Roman"/>
          <w:szCs w:val="21"/>
          <w:vertAlign w:val="superscript"/>
        </w:rPr>
        <w:t>10</w:t>
      </w:r>
      <w:r>
        <w:rPr>
          <w:rFonts w:cs="Times New Roman"/>
          <w:szCs w:val="21"/>
        </w:rPr>
        <w:fldChar w:fldCharType="end"/>
      </w:r>
      <w:r>
        <w:rPr>
          <w:rFonts w:cs="Times New Roman"/>
          <w:szCs w:val="21"/>
        </w:rPr>
        <w:t>,</w:t>
      </w:r>
      <w:r>
        <w:rPr>
          <w:rFonts w:eastAsia="等线" w:cs="Times New Roman"/>
          <w:szCs w:val="21"/>
        </w:rPr>
        <w:t xml:space="preserve"> </w:t>
      </w:r>
      <w:r>
        <w:rPr>
          <w:rFonts w:cs="Times New Roman"/>
          <w:szCs w:val="21"/>
        </w:rPr>
        <w:t xml:space="preserve">and the resulting alignments were processed with SAMtools v1.20 </w:t>
      </w:r>
      <w:r>
        <w:rPr>
          <w:rFonts w:cs="Times New Roman"/>
          <w:szCs w:val="21"/>
        </w:rPr>
        <w:fldChar w:fldCharType="begin"/>
      </w:r>
      <w:r>
        <w:rPr>
          <w:rFonts w:cs="Times New Roman"/>
          <w:szCs w:val="21"/>
        </w:rPr>
        <w:instrText xml:space="preserve"> ADDIN EN.CITE &lt;EndNote&gt;&lt;Cite&gt;&lt;Author&gt;Danecek&lt;/Author&gt;&lt;Year&gt;2021&lt;/Year&gt;&lt;RecNum&gt;183&lt;/RecNum&gt;&lt;DisplayText&gt;&lt;style face="superscript"&gt;11&lt;/style&gt;&lt;/DisplayText&gt;&lt;record&gt;&lt;rec-number&gt;183&lt;/rec-number&gt;&lt;foreign-keys&gt;&lt;key app="EN" db-id="rdsrada2d5a0zwef5svvaf9nxxrzxv0axta0" timestamp="1734340029"&gt;183&lt;/key&gt;&lt;/foreign-keys&gt;&lt;ref-type name="Journal Article"&gt;17&lt;/ref-type&gt;&lt;contributors&gt;&lt;authors&gt;&lt;author&gt;Danecek, Petr&lt;/author&gt;&lt;author&gt;Bonfield, James K.&lt;/author&gt;&lt;author&gt;Liddle, Jennifer&lt;/author&gt;&lt;author&gt;Marshall, John&lt;/author&gt;&lt;author&gt;Ohan, Valeriu&lt;/author&gt;&lt;author&gt;Pollard, Martin O.&lt;/author&gt;&lt;author&gt;Whitwham, Andrew&lt;/author&gt;&lt;author&gt;Keane, Thomas&lt;/author&gt;&lt;author&gt;McCarthy, Shane A.&lt;/author&gt;&lt;author&gt;Davies, Robert M.&lt;/author&gt;&lt;author&gt;Li, Heng&lt;/author&gt;&lt;/authors&gt;&lt;/contributors&gt;&lt;titles&gt;&lt;title&gt;Twelve years of SAMtools and BCFtools&lt;/title&gt;&lt;secondary-title&gt;GigaScience&lt;/secondary-title&gt;&lt;/titles&gt;&lt;periodical&gt;&lt;full-title&gt;GigaScience&lt;/full-title&gt;&lt;/periodical&gt;&lt;pages&gt;giab008&lt;/pages&gt;&lt;volume&gt;10&lt;/volume&gt;&lt;number&gt;2&lt;/number&gt;&lt;dates&gt;&lt;year&gt;2021&lt;/year&gt;&lt;/dates&gt;&lt;isbn&gt;2047-217X&lt;/isbn&gt;&lt;urls&gt;&lt;related-urls&gt;&lt;url&gt;https://doi.org/10.1093/gigascience/giab008&lt;/url&gt;&lt;/related-urls&gt;&lt;/urls&gt;&lt;electronic-resource-num&gt;10.1093/gigascience/giab008&lt;/electronic-resource-num&gt;&lt;access-date&gt;12/16/2024&lt;/access-date&gt;&lt;/record&gt;&lt;/Cite&gt;&lt;/EndNote&gt;</w:instrText>
      </w:r>
      <w:r>
        <w:rPr>
          <w:rFonts w:cs="Times New Roman"/>
          <w:szCs w:val="21"/>
        </w:rPr>
        <w:fldChar w:fldCharType="separate"/>
      </w:r>
      <w:r>
        <w:rPr>
          <w:rFonts w:cs="Times New Roman"/>
          <w:szCs w:val="21"/>
          <w:vertAlign w:val="superscript"/>
        </w:rPr>
        <w:t>11</w:t>
      </w:r>
      <w:r>
        <w:rPr>
          <w:rFonts w:cs="Times New Roman"/>
          <w:szCs w:val="21"/>
        </w:rPr>
        <w:fldChar w:fldCharType="end"/>
      </w:r>
      <w:r>
        <w:rPr>
          <w:rFonts w:cs="Times New Roman"/>
          <w:szCs w:val="21"/>
        </w:rPr>
        <w:t xml:space="preserve"> to generate ORF abundances. To correct for gene length and sequencing depth biases, abundance was normalized as transcripts per kilobase per million mapped reads (TPM). DOM degradation genes were identified by HMMER against the CAZy database (Table S</w:t>
      </w:r>
      <w:r>
        <w:rPr>
          <w:rFonts w:cs="Times New Roman"/>
          <w:color w:val="000000" w:themeColor="text1"/>
          <w:szCs w:val="21"/>
          <w14:textFill>
            <w14:solidFill>
              <w14:schemeClr w14:val="tx1"/>
            </w14:solidFill>
          </w14:textFill>
        </w:rPr>
        <w:t>8</w:t>
      </w:r>
      <w:r>
        <w:rPr>
          <w:rFonts w:cs="Times New Roman"/>
          <w:szCs w:val="21"/>
        </w:rPr>
        <w:t xml:space="preserve">)., while carbon fixation genes were identified and quantified by KofamKOALA against the KEGG database </w:t>
      </w:r>
      <w:r>
        <w:rPr>
          <w:rFonts w:cs="Times New Roman"/>
          <w:szCs w:val="21"/>
        </w:rPr>
        <w:fldChar w:fldCharType="begin"/>
      </w:r>
      <w:r>
        <w:rPr>
          <w:rFonts w:cs="Times New Roman"/>
          <w:szCs w:val="21"/>
        </w:rPr>
        <w:instrText xml:space="preserve"> ADDIN EN.CITE &lt;EndNote&gt;&lt;Cite&gt;&lt;Author&gt;Aramaki&lt;/Author&gt;&lt;Year&gt;2020&lt;/Year&gt;&lt;RecNum&gt;184&lt;/RecNum&gt;&lt;DisplayText&gt;&lt;style face="superscript"&gt;12&lt;/style&gt;&lt;/DisplayText&gt;&lt;record&gt;&lt;rec-number&gt;184&lt;/rec-number&gt;&lt;foreign-keys&gt;&lt;key app="EN" db-id="rdsrada2d5a0zwef5svvaf9nxxrzxv0axta0" timestamp="1734340163"&gt;184&lt;/key&gt;&lt;/foreign-keys&gt;&lt;ref-type name="Journal Article"&gt;17&lt;/ref-type&gt;&lt;contributors&gt;&lt;authors&gt;&lt;author&gt;Aramaki, Takuya&lt;/author&gt;&lt;author&gt;Blanc-Mathieu, Romain&lt;/author&gt;&lt;author&gt;Endo, Hisashi&lt;/author&gt;&lt;author&gt;Ohkubo, Koichi&lt;/author&gt;&lt;author&gt;Kanehisa, Minoru&lt;/author&gt;&lt;author&gt;Goto, Susumu&lt;/author&gt;&lt;author&gt;Ogata, Hiroyuki&lt;/author&gt;&lt;/authors&gt;&lt;/contributors&gt;&lt;titles&gt;&lt;title&gt;KofamKOALA: KEGG Ortholog assignment based on profile HMM and adaptive score threshold&lt;/title&gt;&lt;secondary-title&gt;Bioinformatics&lt;/secondary-title&gt;&lt;/titles&gt;&lt;periodical&gt;&lt;full-title&gt;Bioinformatics&lt;/full-title&gt;&lt;abbr-1&gt;Bioinformatics&lt;/abbr-1&gt;&lt;abbr-2&gt;Bioinformatics&lt;/abbr-2&gt;&lt;/periodical&gt;&lt;pages&gt;2251-2252&lt;/pages&gt;&lt;volume&gt;36&lt;/volume&gt;&lt;number&gt;7&lt;/number&gt;&lt;dates&gt;&lt;year&gt;2020&lt;/year&gt;&lt;/dates&gt;&lt;isbn&gt;1367-4803&lt;/isbn&gt;&lt;urls&gt;&lt;related-urls&gt;&lt;url&gt;https://doi.org/10.1093/bioinformatics/btz859&lt;/url&gt;&lt;/related-urls&gt;&lt;/urls&gt;&lt;electronic-resource-num&gt;10.1093/bioinformatics/btz859&lt;/electronic-resource-num&gt;&lt;access-date&gt;12/16/2024&lt;/access-date&gt;&lt;/record&gt;&lt;/Cite&gt;&lt;/EndNote&gt;</w:instrText>
      </w:r>
      <w:r>
        <w:rPr>
          <w:rFonts w:cs="Times New Roman"/>
          <w:szCs w:val="21"/>
        </w:rPr>
        <w:fldChar w:fldCharType="separate"/>
      </w:r>
      <w:r>
        <w:rPr>
          <w:rFonts w:cs="Times New Roman"/>
          <w:szCs w:val="21"/>
          <w:vertAlign w:val="superscript"/>
        </w:rPr>
        <w:t>12</w:t>
      </w:r>
      <w:r>
        <w:rPr>
          <w:rFonts w:cs="Times New Roman"/>
          <w:szCs w:val="21"/>
        </w:rPr>
        <w:fldChar w:fldCharType="end"/>
      </w:r>
      <w:r>
        <w:rPr>
          <w:rFonts w:cs="Times New Roman"/>
          <w:szCs w:val="21"/>
        </w:rPr>
        <w:t xml:space="preserve">. Taxonomic assignment of the non-redundant gene catalog was conducted with Kraken2 </w:t>
      </w:r>
      <w:r>
        <w:rPr>
          <w:rFonts w:cs="Times New Roman"/>
          <w:szCs w:val="21"/>
        </w:rPr>
        <w:fldChar w:fldCharType="begin"/>
      </w:r>
      <w:r>
        <w:rPr>
          <w:rFonts w:cs="Times New Roman"/>
          <w:szCs w:val="21"/>
        </w:rPr>
        <w:instrText xml:space="preserve"> ADDIN EN.CITE &lt;EndNote&gt;&lt;Cite&gt;&lt;Author&gt;Wood&lt;/Author&gt;&lt;Year&gt;2019&lt;/Year&gt;&lt;RecNum&gt;226&lt;/RecNum&gt;&lt;DisplayText&gt;&lt;style face="superscript"&gt;13&lt;/style&gt;&lt;/DisplayText&gt;&lt;record&gt;&lt;rec-number&gt;226&lt;/rec-number&gt;&lt;foreign-keys&gt;&lt;key app="EN" db-id="rdsrada2d5a0zwef5svvaf9nxxrzxv0axta0" timestamp="1739180557"&gt;226&lt;/key&gt;&lt;/foreign-keys&gt;&lt;ref-type name="Journal Article"&gt;17&lt;/ref-type&gt;&lt;contributors&gt;&lt;authors&gt;&lt;author&gt;Wood, Derrick E.&lt;/author&gt;&lt;author&gt;Lu, Jennifer&lt;/author&gt;&lt;author&gt;Langmead, Ben&lt;/author&gt;&lt;/authors&gt;&lt;/contributors&gt;&lt;titles&gt;&lt;title&gt;Improved metagenomic analysis with Kraken 2&lt;/title&gt;&lt;secondary-title&gt;Genome Biology&lt;/secondary-title&gt;&lt;/titles&gt;&lt;periodical&gt;&lt;full-title&gt;Genome Biology&lt;/full-title&gt;&lt;/periodical&gt;&lt;pages&gt;257&lt;/pages&gt;&lt;volume&gt;20&lt;/volume&gt;&lt;number&gt;1&lt;/number&gt;&lt;dates&gt;&lt;year&gt;2019&lt;/year&gt;&lt;pub-dates&gt;&lt;date&gt;2019/11/28&lt;/date&gt;&lt;/pub-dates&gt;&lt;/dates&gt;&lt;isbn&gt;1474-760X&lt;/isbn&gt;&lt;urls&gt;&lt;related-urls&gt;&lt;url&gt;https://doi.org/10.1186/s13059-019-1891-0&lt;/url&gt;&lt;/related-urls&gt;&lt;/urls&gt;&lt;electronic-resource-num&gt;10.1186/s13059-019-1891-0&lt;/electronic-resource-num&gt;&lt;/record&gt;&lt;/Cite&gt;&lt;/EndNote&gt;</w:instrText>
      </w:r>
      <w:r>
        <w:rPr>
          <w:rFonts w:cs="Times New Roman"/>
          <w:szCs w:val="21"/>
        </w:rPr>
        <w:fldChar w:fldCharType="separate"/>
      </w:r>
      <w:r>
        <w:rPr>
          <w:rFonts w:cs="Times New Roman"/>
          <w:szCs w:val="21"/>
          <w:vertAlign w:val="superscript"/>
        </w:rPr>
        <w:t>13</w:t>
      </w:r>
      <w:r>
        <w:rPr>
          <w:rFonts w:cs="Times New Roman"/>
          <w:szCs w:val="21"/>
        </w:rPr>
        <w:fldChar w:fldCharType="end"/>
      </w:r>
      <w:r>
        <w:rPr>
          <w:rFonts w:eastAsia="等线" w:cs="Times New Roman"/>
          <w:szCs w:val="21"/>
        </w:rPr>
        <w:t xml:space="preserve"> </w:t>
      </w:r>
      <w:r>
        <w:rPr>
          <w:rFonts w:cs="Times New Roman"/>
          <w:szCs w:val="21"/>
        </w:rPr>
        <w:t>against the RefSeq database.</w:t>
      </w:r>
    </w:p>
    <w:p w14:paraId="2100BAC8">
      <w:pPr>
        <w:spacing w:line="480" w:lineRule="auto"/>
        <w:ind w:right="240" w:firstLine="197" w:firstLineChars="94"/>
        <w:rPr>
          <w:rFonts w:cs="Times New Roman"/>
          <w:sz w:val="21"/>
          <w:szCs w:val="22"/>
        </w:rPr>
      </w:pPr>
    </w:p>
    <w:p w14:paraId="340A5DFA">
      <w:pPr>
        <w:spacing w:line="480" w:lineRule="auto"/>
        <w:ind w:right="240" w:firstLine="0" w:firstLineChars="0"/>
        <w:rPr>
          <w:rFonts w:cs="Times New Roman"/>
          <w:b/>
        </w:rPr>
      </w:pPr>
      <w:r>
        <w:rPr>
          <w:rFonts w:cs="Times New Roman"/>
          <w:b/>
        </w:rPr>
        <w:t>Appendix</w:t>
      </w:r>
      <w:r>
        <w:rPr>
          <w:rFonts w:hint="eastAsia" w:cs="Times New Roman"/>
          <w:b/>
        </w:rPr>
        <w:t xml:space="preserve"> S</w:t>
      </w:r>
      <w:r>
        <w:rPr>
          <w:rFonts w:cs="Times New Roman"/>
          <w:b/>
        </w:rPr>
        <w:t>5 Viral contig identification and abundance calculation</w:t>
      </w:r>
    </w:p>
    <w:p w14:paraId="0CC41910">
      <w:pPr>
        <w:spacing w:line="480" w:lineRule="auto"/>
        <w:ind w:firstLine="480"/>
      </w:pPr>
      <w:r>
        <w:t xml:space="preserve">Contigs shorter than 2,000 bp were removed with SeqKit v2.6.1 </w:t>
      </w:r>
      <w:r>
        <w:fldChar w:fldCharType="begin"/>
      </w:r>
      <w:r>
        <w:instrText xml:space="preserve"> ADDIN EN.CITE &lt;EndNote&gt;&lt;Cite&gt;&lt;Author&gt;Shen&lt;/Author&gt;&lt;Year&gt;2024&lt;/Year&gt;&lt;RecNum&gt;189&lt;/RecNum&gt;&lt;DisplayText&gt;&lt;style face="superscript"&gt;14&lt;/style&gt;&lt;/DisplayText&gt;&lt;record&gt;&lt;rec-number&gt;189&lt;/rec-number&gt;&lt;foreign-keys&gt;&lt;key app="EN" db-id="rdsrada2d5a0zwef5svvaf9nxxrzxv0axta0" timestamp="1734341387"&gt;189&lt;/key&gt;&lt;/foreign-keys&gt;&lt;ref-type name="Journal Article"&gt;17&lt;/ref-type&gt;&lt;contributors&gt;&lt;authors&gt;&lt;author&gt;Shen, Wei&lt;/author&gt;&lt;author&gt;Sipos, Botond&lt;/author&gt;&lt;author&gt;Zhao, Liuyang&lt;/author&gt;&lt;/authors&gt;&lt;/contributors&gt;&lt;titles&gt;&lt;title&gt;SeqKit2: A Swiss army knife for sequence and alignment processing&lt;/title&gt;&lt;secondary-title&gt;iMeta&lt;/secondary-title&gt;&lt;/titles&gt;&lt;periodical&gt;&lt;full-title&gt;iMeta&lt;/full-title&gt;&lt;/periodical&gt;&lt;pages&gt;e191&lt;/pages&gt;&lt;volume&gt;3&lt;/volume&gt;&lt;number&gt;3&lt;/number&gt;&lt;keywords&gt;&lt;keyword&gt;performance optimization&lt;/keyword&gt;&lt;keyword&gt;real-time analysis&lt;/keyword&gt;&lt;keyword&gt;sequence processing&lt;/keyword&gt;&lt;keyword&gt;usability&lt;/keyword&gt;&lt;keyword&gt;user-friendly&lt;/keyword&gt;&lt;/keywords&gt;&lt;dates&gt;&lt;year&gt;2024&lt;/year&gt;&lt;pub-dates&gt;&lt;date&gt;2024/06/01&lt;/date&gt;&lt;/pub-dates&gt;&lt;/dates&gt;&lt;publisher&gt;John Wiley &amp;amp; Sons, Ltd&lt;/publisher&gt;&lt;isbn&gt;2770-5986&lt;/isbn&gt;&lt;urls&gt;&lt;related-urls&gt;&lt;url&gt;https://doi.org/10.1002/imt2.191&lt;/url&gt;&lt;/related-urls&gt;&lt;/urls&gt;&lt;electronic-resource-num&gt;https://doi.org/10.1002/imt2.191&lt;/electronic-resource-num&gt;&lt;access-date&gt;2024/12/16&lt;/access-date&gt;&lt;/record&gt;&lt;/Cite&gt;&lt;/EndNote&gt;</w:instrText>
      </w:r>
      <w:r>
        <w:fldChar w:fldCharType="separate"/>
      </w:r>
      <w:r>
        <w:rPr>
          <w:vertAlign w:val="superscript"/>
        </w:rPr>
        <w:t>14</w:t>
      </w:r>
      <w:r>
        <w:fldChar w:fldCharType="end"/>
      </w:r>
      <w:r>
        <w:t xml:space="preserve">. The remaining sequences were processed to identify viral information as follows: potential viral sequences were initially identified using geNomad v1.8.1, VirSorter2 v2.2.4, VirFinder v1.1 (P &lt; 0.05), and CheckV v1.0.3 </w:t>
      </w:r>
      <w:r>
        <w:fldChar w:fldCharType="begin">
          <w:fldData xml:space="preserve">PEVuZE5vdGU+PENpdGU+PEF1dGhvcj5HdW88L0F1dGhvcj48WWVhcj4yMDIxPC9ZZWFyPjxSZWNO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</w:fldData>
        </w:fldChar>
      </w:r>
      <w:r>
        <w:instrText xml:space="preserve"> ADDIN EN.CITE </w:instrText>
      </w:r>
      <w:r>
        <w:fldChar w:fldCharType="begin">
          <w:fldData xml:space="preserve">PEVuZE5vdGU+PENpdGU+PEF1dGhvcj5HdW88L0F1dGhvcj48WWVhcj4yMDIxPC9ZZWFyPjxSZWNO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</w:fldData>
        </w:fldChar>
      </w:r>
      <w:r>
        <w:instrText xml:space="preserve"> ADDIN EN.CITE.DATA </w:instrText>
      </w:r>
      <w:r>
        <w:fldChar w:fldCharType="end"/>
      </w:r>
      <w:r>
        <w:fldChar w:fldCharType="separate"/>
      </w:r>
      <w:r>
        <w:rPr>
          <w:vertAlign w:val="superscript"/>
        </w:rPr>
        <w:t>15, 16, 17</w:t>
      </w:r>
      <w:r>
        <w:fldChar w:fldCharType="end"/>
      </w:r>
      <w:r>
        <w:t xml:space="preserve">. The retention criteria for contigs were as follows (i) : Contigs with “virus gene num ≥ 1” identified by CheckV were retained. (ii) : When “virus gene num == 0”, a contig was retained as a viral contig if it met any of the following conditions:(1) Any one of the following four criteria was satisfied: VirSorter2_score ≥ 0.95, geNomad_score ≥ 0.95, geNomad_n_hallmark ≥ 2, or VirSorter2_n_hallmarks ≥ 2. (2) When “host gene == 0”, a contig was retained if it was labeled as a viral contig by either geNomad or VirSorter2. (3) When “host gene == 0”, a contig with virus gene ≥ 2 was retained. The resulting set of viral contigs was then dereplicated at the species level to obtain non-redundant viral operational taxonomic units (vOTUs) using parameters of 95% average nucleotide identity (ANI) and 85% aligned fraction (AF) </w:t>
      </w:r>
      <w:r>
        <w:fldChar w:fldCharType="begin"/>
      </w:r>
      <w:r>
        <w:instrText xml:space="preserve"> ADDIN EN.CITE &lt;EndNote&gt;&lt;Cite&gt;&lt;Author&gt;Zielezinski&lt;/Author&gt;&lt;Year&gt;2025&lt;/Year&gt;&lt;RecNum&gt;444&lt;/RecNum&gt;&lt;DisplayText&gt;&lt;style face="superscript"&gt;18&lt;/style&gt;&lt;/DisplayText&gt;&lt;record&gt;&lt;rec-number&gt;444&lt;/rec-number&gt;&lt;foreign-keys&gt;&lt;key app="EN" db-id="rdsrada2d5a0zwef5svvaf9nxxrzxv0axta0" timestamp="1775200421"&gt;444&lt;/key&gt;&lt;/foreign-keys&gt;&lt;ref-type name="Journal Article"&gt;17&lt;/ref-type&gt;&lt;contributors&gt;&lt;authors&gt;&lt;author&gt;Zielezinski, Andrzej&lt;/author&gt;&lt;author&gt;Gudyś, Adam&lt;/author&gt;&lt;author&gt;Barylski, Jakub&lt;/author&gt;&lt;author&gt;Siminski, Krzysztof&lt;/author&gt;&lt;author&gt;Rozwalak, Piotr&lt;/author&gt;&lt;author&gt;Dutilh, Bas E.&lt;/author&gt;&lt;author&gt;Deorowicz, Sebastian&lt;/author&gt;&lt;/authors&gt;&lt;/contributors&gt;&lt;titles&gt;&lt;title&gt;Ultrafast and accurate sequence alignment and clustering of viral genomes&lt;/title&gt;&lt;secondary-title&gt;Nature Methods&lt;/secondary-title&gt;&lt;/titles&gt;&lt;periodical&gt;&lt;full-title&gt;Nature Methods&lt;/full-title&gt;&lt;abbr-1&gt;Nat. Methods&lt;/abbr-1&gt;&lt;abbr-2&gt;Nat Methods&lt;/abbr-2&gt;&lt;/periodical&gt;&lt;pages&gt;1191-1194&lt;/pages&gt;&lt;volume&gt;22&lt;/volume&gt;&lt;number&gt;6&lt;/number&gt;&lt;dates&gt;&lt;year&gt;2025&lt;/year&gt;&lt;pub-dates&gt;&lt;date&gt;2025/06/01&lt;/date&gt;&lt;/pub-dates&gt;&lt;/dates&gt;&lt;isbn&gt;1548-7105&lt;/isbn&gt;&lt;urls&gt;&lt;related-urls&gt;&lt;url&gt;https://doi.org/10.1038/s41592-025-02701-7&lt;/url&gt;&lt;/related-urls&gt;&lt;/urls&gt;&lt;electronic-resource-num&gt;10.1038/s41592-025-02701-7&lt;/electronic-resource-num&gt;&lt;/record&gt;&lt;/Cite&gt;&lt;/EndNote&gt;</w:instrText>
      </w:r>
      <w:r>
        <w:fldChar w:fldCharType="separate"/>
      </w:r>
      <w:r>
        <w:rPr>
          <w:vertAlign w:val="superscript"/>
        </w:rPr>
        <w:t>18</w:t>
      </w:r>
      <w:r>
        <w:fldChar w:fldCharType="end"/>
      </w:r>
      <w:r>
        <w:t xml:space="preserve">. Taxonomic assignments of vOTUs were performed with geNomad. Abundances of vOTUs were calculated using the contig module of CoverM </w:t>
      </w:r>
      <w:r>
        <w:fldChar w:fldCharType="begin"/>
      </w:r>
      <w:r>
        <w:instrText xml:space="preserve"> ADDIN EN.CITE &lt;EndNote&gt;&lt;Cite&gt;&lt;Author&gt;Aroney&lt;/Author&gt;&lt;Year&gt;2025&lt;/Year&gt;&lt;RecNum&gt;372&lt;/RecNum&gt;&lt;DisplayText&gt;&lt;style face="superscript"&gt;19&lt;/style&gt;&lt;/DisplayText&gt;&lt;record&gt;&lt;rec-number&gt;372&lt;/rec-number&gt;&lt;foreign-keys&gt;&lt;key app="EN" db-id="rdsrada2d5a0zwef5svvaf9nxxrzxv0axta0" timestamp="1754026560"&gt;372&lt;/key&gt;&lt;/foreign-keys&gt;&lt;ref-type name="Journal Article"&gt;17&lt;/ref-type&gt;&lt;contributors&gt;&lt;authors&gt;&lt;author&gt;Aroney, Samuel T. N.&lt;/author&gt;&lt;author&gt;Newell, Rhys J. P.&lt;/author&gt;&lt;author&gt;Nissen, Jakob N.&lt;/author&gt;&lt;author&gt;Camargo, Antonio Pedro&lt;/author&gt;&lt;author&gt;Tyson, Gene W.&lt;/author&gt;&lt;author&gt;Woodcroft, Ben J.&lt;/author&gt;&lt;/authors&gt;&lt;/contributors&gt;&lt;titles&gt;&lt;title&gt;CoverM: read alignment statistics for metagenomics&lt;/title&gt;&lt;secondary-title&gt;Bioinformatics&lt;/secondary-title&gt;&lt;/titles&gt;&lt;periodical&gt;&lt;full-title&gt;Bioinformatics&lt;/full-title&gt;&lt;abbr-1&gt;Bioinformatics&lt;/abbr-1&gt;&lt;abbr-2&gt;Bioinformatics&lt;/abbr-2&gt;&lt;/periodical&gt;&lt;pages&gt;btaf147&lt;/pages&gt;&lt;volume&gt;41&lt;/volume&gt;&lt;number&gt;4&lt;/number&gt;&lt;dates&gt;&lt;year&gt;2025&lt;/year&gt;&lt;/dates&gt;&lt;isbn&gt;1367-4811&lt;/isbn&gt;&lt;urls&gt;&lt;related-urls&gt;&lt;url&gt;https://doi.org/10.1093/bioinformatics/btaf147&lt;/url&gt;&lt;/related-urls&gt;&lt;/urls&gt;&lt;electronic-resource-num&gt;10.1093/bioinformatics/btaf147&lt;/electronic-resource-num&gt;&lt;access-date&gt;8/1/2025&lt;/access-date&gt;&lt;/record&gt;&lt;/Cite&gt;&lt;/EndNote&gt;</w:instrText>
      </w:r>
      <w:r>
        <w:fldChar w:fldCharType="separate"/>
      </w:r>
      <w:r>
        <w:rPr>
          <w:vertAlign w:val="superscript"/>
        </w:rPr>
        <w:t>19</w:t>
      </w:r>
      <w:r>
        <w:fldChar w:fldCharType="end"/>
      </w:r>
      <w:r>
        <w:t>.</w:t>
      </w:r>
    </w:p>
    <w:p w14:paraId="5A023B1A">
      <w:pPr>
        <w:spacing w:line="480" w:lineRule="auto"/>
        <w:ind w:firstLine="480"/>
      </w:pPr>
    </w:p>
    <w:p w14:paraId="22A22871">
      <w:pPr>
        <w:spacing w:line="480" w:lineRule="auto"/>
        <w:ind w:right="240" w:firstLine="0" w:firstLineChars="0"/>
        <w:rPr>
          <w:rFonts w:cs="Times New Roman"/>
          <w:b/>
        </w:rPr>
      </w:pPr>
      <w:bookmarkStart w:id="5" w:name="OLE_LINK8"/>
      <w:r>
        <w:rPr>
          <w:rFonts w:cs="Times New Roman"/>
          <w:b/>
        </w:rPr>
        <w:t>Appendix S6</w:t>
      </w:r>
      <w:bookmarkEnd w:id="5"/>
      <w:r>
        <w:rPr>
          <w:rFonts w:cs="Times New Roman"/>
          <w:b/>
        </w:rPr>
        <w:t xml:space="preserve"> Viral host prediction and life‑cycle inference</w:t>
      </w:r>
    </w:p>
    <w:p w14:paraId="41F64247">
      <w:pPr>
        <w:spacing w:line="480" w:lineRule="auto"/>
        <w:ind w:firstLine="480"/>
      </w:pPr>
      <w:r>
        <w:t xml:space="preserve">Host prediction for the vOTUs was then performed using PHIST v1.2.1 against the GTDB, a tool known to provide a favorable balance of performance and accuracy for environmental metagenomic datasets </w:t>
      </w:r>
      <w:r>
        <w:fldChar w:fldCharType="begin">
          <w:fldData xml:space="preserve">PEVuZE5vdGU+PENpdGU+PEF1dGhvcj5aaWVsZXppbnNraTwvQXV0aG9yPjxZZWFyPjIwMjI8L1ll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</w:fldData>
        </w:fldChar>
      </w:r>
      <w:r>
        <w:instrText xml:space="preserve"> ADDIN EN.CITE </w:instrText>
      </w:r>
      <w:r>
        <w:fldChar w:fldCharType="begin">
          <w:fldData xml:space="preserve">PEVuZE5vdGU+PENpdGU+PEF1dGhvcj5aaWVsZXppbnNraTwvQXV0aG9yPjxZZWFyPjIwMjI8L1ll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</w:fldData>
        </w:fldChar>
      </w:r>
      <w:r>
        <w:instrText xml:space="preserve"> ADDIN EN.CITE.DATA </w:instrText>
      </w:r>
      <w:r>
        <w:fldChar w:fldCharType="end"/>
      </w:r>
      <w:r>
        <w:fldChar w:fldCharType="separate"/>
      </w:r>
      <w:r>
        <w:rPr>
          <w:vertAlign w:val="superscript"/>
        </w:rPr>
        <w:t>20, 21</w:t>
      </w:r>
      <w:r>
        <w:fldChar w:fldCharType="end"/>
      </w:r>
      <w:r>
        <w:t xml:space="preserve">. The life strategy </w:t>
      </w:r>
      <w:r>
        <w:rPr>
          <w:rFonts w:hint="eastAsia"/>
        </w:rPr>
        <w:t>(</w:t>
      </w:r>
      <w:r>
        <w:t xml:space="preserve">virulent vs temperate) of each vOTU was predicted with PhaTYP </w:t>
      </w:r>
      <w:r>
        <w:fldChar w:fldCharType="begin"/>
      </w:r>
      <w:r>
        <w:instrText xml:space="preserve"> ADDIN EN.CITE &lt;EndNote&gt;&lt;Cite&gt;&lt;Author&gt;Shang&lt;/Author&gt;&lt;Year&gt;2023&lt;/Year&gt;&lt;RecNum&gt;195&lt;/RecNum&gt;&lt;DisplayText&gt;&lt;style face="superscript"&gt;22&lt;/style&gt;&lt;/DisplayText&gt;&lt;record&gt;&lt;rec-number&gt;195&lt;/rec-number&gt;&lt;foreign-keys&gt;&lt;key app="EN" db-id="rdsrada2d5a0zwef5svvaf9nxxrzxv0axta0" timestamp="1734342427"&gt;195&lt;/key&gt;&lt;/foreign-keys&gt;&lt;ref-type name="Journal Article"&gt;17&lt;/ref-type&gt;&lt;contributors&gt;&lt;authors&gt;&lt;author&gt;Shang, Jiayu&lt;/author&gt;&lt;author&gt;Tang, Xubo&lt;/author&gt;&lt;author&gt;Sun, Yanni&lt;/author&gt;&lt;/authors&gt;&lt;/contributors&gt;&lt;titles&gt;&lt;title&gt;PhaTYP: predicting the lifestyle for bacteriophages using BERT&lt;/title&gt;&lt;secondary-title&gt;Briefings in Bioinformatics&lt;/secondary-title&gt;&lt;/titles&gt;&lt;periodical&gt;&lt;full-title&gt;Briefings in Bioinformatics&lt;/full-title&gt;&lt;/periodical&gt;&lt;pages&gt;bbac487&lt;/pages&gt;&lt;volume&gt;24&lt;/volume&gt;&lt;number&gt;1&lt;/number&gt;&lt;dates&gt;&lt;year&gt;2023&lt;/year&gt;&lt;/dates&gt;&lt;isbn&gt;1477-4054&lt;/isbn&gt;&lt;urls&gt;&lt;related-urls&gt;&lt;url&gt;https://doi.org/10.1093/bib/bbac487&lt;/url&gt;&lt;/related-urls&gt;&lt;/urls&gt;&lt;electronic-resource-num&gt;10.1093/bib/bbac487&lt;/electronic-resource-num&gt;&lt;access-date&gt;12/16/2024&lt;/access-date&gt;&lt;/record&gt;&lt;/Cite&gt;&lt;/EndNote&gt;</w:instrText>
      </w:r>
      <w:r>
        <w:fldChar w:fldCharType="separate"/>
      </w:r>
      <w:r>
        <w:rPr>
          <w:vertAlign w:val="superscript"/>
        </w:rPr>
        <w:t>22</w:t>
      </w:r>
      <w:r>
        <w:fldChar w:fldCharType="end"/>
      </w:r>
      <w:r>
        <w:t xml:space="preserve"> and ProkBERT PhaStyle </w:t>
      </w:r>
      <w:r>
        <w:fldChar w:fldCharType="begin"/>
      </w:r>
      <w:r>
        <w:instrText xml:space="preserve"> ADDIN EN.CITE &lt;EndNote&gt;&lt;Cite&gt;&lt;Author&gt;Juhász&lt;/Author&gt;&lt;Year&gt;2025&lt;/Year&gt;&lt;RecNum&gt;460&lt;/RecNum&gt;&lt;DisplayText&gt;&lt;style face="superscript"&gt;23&lt;/style&gt;&lt;/DisplayText&gt;&lt;record&gt;&lt;rec-number&gt;460&lt;/rec-number&gt;&lt;foreign-keys&gt;&lt;key app="EN" db-id="rdsrada2d5a0zwef5svvaf9nxxrzxv0axta0" timestamp="1777265850"&gt;460&lt;/key&gt;&lt;/foreign-keys&gt;&lt;ref-type name="Journal Article"&gt;17&lt;/ref-type&gt;&lt;contributors&gt;&lt;authors&gt;&lt;author&gt;Juhász, Judit&lt;/author&gt;&lt;author&gt;Ligeti-Nagy, Noémi&lt;/author&gt;&lt;author&gt;Bodnár, Babett&lt;/author&gt;&lt;author&gt;Juhász, János&lt;/author&gt;&lt;author&gt;Pongor, Sándor&lt;/author&gt;&lt;author&gt;Ligeti, Balázs&lt;/author&gt;&lt;/authors&gt;&lt;/contributors&gt;&lt;titles&gt;&lt;title&gt;ProkBERT PhaStyle: accurate phage lifestyle prediction with pretrained genomic language models&lt;/title&gt;&lt;secondary-title&gt;Bioinformatics Advances&lt;/secondary-title&gt;&lt;/titles&gt;&lt;periodical&gt;&lt;full-title&gt;Bioinformatics Advances&lt;/full-title&gt;&lt;/periodical&gt;&lt;pages&gt;vbaf188&lt;/pages&gt;&lt;volume&gt;5&lt;/volume&gt;&lt;number&gt;1&lt;/number&gt;&lt;dates&gt;&lt;year&gt;2025&lt;/year&gt;&lt;/dates&gt;&lt;isbn&gt;2635-0041&lt;/isbn&gt;&lt;urls&gt;&lt;related-urls&gt;&lt;url&gt;https://doi.org/10.1093/bioadv/vbaf188&lt;/url&gt;&lt;/related-urls&gt;&lt;/urls&gt;&lt;electronic-resource-num&gt;10.1093/bioadv/vbaf188&lt;/electronic-resource-num&gt;&lt;access-date&gt;4/27/2026&lt;/access-date&gt;&lt;/record&gt;&lt;/Cite&gt;&lt;/EndNote&gt;</w:instrText>
      </w:r>
      <w:r>
        <w:fldChar w:fldCharType="separate"/>
      </w:r>
      <w:r>
        <w:rPr>
          <w:vertAlign w:val="superscript"/>
        </w:rPr>
        <w:t>23</w:t>
      </w:r>
      <w:r>
        <w:fldChar w:fldCharType="end"/>
      </w:r>
      <w:r>
        <w:t>.</w:t>
      </w:r>
      <w:r>
        <w:rPr>
          <w:rFonts w:hint="eastAsia" w:ascii="等线" w:hAnsi="等线" w:eastAsia="等线"/>
          <w:szCs w:val="22"/>
        </w:rPr>
        <w:t xml:space="preserve"> </w:t>
      </w:r>
      <w:r>
        <w:t>Specifically, vOTUs for which PhaTYP could not predict a lifestyle were subsequently analyzed using ProkBERT PhaStyle. To reduce false positives, sequences with a difference between the temperate score and the virulent score of less than 0.3 in the output were labeled as “Unpredicted”.</w:t>
      </w:r>
    </w:p>
    <w:p w14:paraId="1F5985B9">
      <w:pPr>
        <w:spacing w:line="480" w:lineRule="auto"/>
        <w:ind w:firstLine="480"/>
      </w:pPr>
    </w:p>
    <w:p w14:paraId="486BBB36">
      <w:pPr>
        <w:spacing w:line="480" w:lineRule="auto"/>
        <w:ind w:firstLine="0" w:firstLineChars="0"/>
        <w:rPr>
          <w:b/>
          <w:bCs/>
        </w:rPr>
      </w:pPr>
      <w:r>
        <w:rPr>
          <w:b/>
          <w:bCs/>
        </w:rPr>
        <w:t xml:space="preserve">Appendix </w:t>
      </w:r>
      <w:r>
        <w:rPr>
          <w:rFonts w:hint="eastAsia"/>
          <w:b/>
          <w:bCs/>
        </w:rPr>
        <w:t>S</w:t>
      </w:r>
      <w:r>
        <w:rPr>
          <w:b/>
          <w:bCs/>
        </w:rPr>
        <w:t>7 Global estimation of DOC and RDOC storage in reservoirs</w:t>
      </w:r>
    </w:p>
    <w:p w14:paraId="67F9D883">
      <w:pPr>
        <w:spacing w:line="480" w:lineRule="auto"/>
        <w:ind w:firstLine="480"/>
      </w:pPr>
      <w:bookmarkStart w:id="6" w:name="OLE_LINK11"/>
      <w:r>
        <w:t xml:space="preserve">The global estimation of DOC and RDOC storage in reservoirs was based on reservoir storage capacity and DOC concentration data. Storage capacity data were obtained from the Global Dam Watch (GDW) v1.0 database (Scientific Data, 2024), which integrates 41,145 dam sites and 35,295 associated reservoir polygons worldwide, with a total cumulative storage capacity of 7,420 km³ </w:t>
      </w:r>
      <w:r>
        <w:fldChar w:fldCharType="begin"/>
      </w:r>
      <w:r>
        <w:instrText xml:space="preserve"> ADDIN EN.CITE &lt;EndNote&gt;&lt;Cite&gt;&lt;Author&gt;Lehner&lt;/Author&gt;&lt;Year&gt;2011&lt;/Year&gt;&lt;RecNum&gt;279&lt;/RecNum&gt;&lt;DisplayText&gt;&lt;style face="superscript"&gt;24&lt;/style&gt;&lt;/DisplayText&gt;&lt;record&gt;&lt;rec-number&gt;279&lt;/rec-number&gt;&lt;foreign-keys&gt;&lt;key app="EN" db-id="sxapvfs2jva2dnear9bpeaa2dfarraz9wtfe" timestamp="1781512730"&gt;279&lt;/key&gt;&lt;/foreign-keys&gt;&lt;ref-type name="Journal Article"&gt;17&lt;/ref-type&gt;&lt;contributors&gt;&lt;authors&gt;&lt;author&gt;Lehner, Bernhard&lt;/author&gt;&lt;author&gt;Liermann, Catherine Reidy&lt;/author&gt;&lt;author&gt;Revenga, Carmen&lt;/author&gt;&lt;author&gt;Vörösmarty, Charl</w:instrText>
      </w:r>
      <w:r>
        <w:rPr>
          <w:rFonts w:hint="eastAsia"/>
        </w:rPr>
        <w:instrText xml:space="preserve">es&lt;/author&gt;&lt;author&gt;Fekete, Balazs&lt;/author&gt;&lt;author&gt;Crouzet, Philippe&lt;/author&gt;&lt;author&gt;Döll, Petra&lt;/author&gt;&lt;author&gt;Endejan, Marcel&lt;/author&gt;&lt;author&gt;Frenken, Karen&lt;/author&gt;&lt;author&gt;Magome, Jun&lt;/author&gt;&lt;/authors&gt;&lt;/contributors&gt;&lt;titles&gt;&lt;title&gt;High‐resolution mapping of the world&amp;apos;s reservoirs and dams for sustainable river‐flow management&lt;/title&gt;&lt;secondary-title&gt;Frontiers in Ecology and the Environment&lt;/secondary-title&gt;&lt;/titles&gt;&lt;periodical&gt;&lt;full-title&gt;Frontiers in Ecology and the Environment&lt;/full-title&gt;&lt;/per</w:instrText>
      </w:r>
      <w:r>
        <w:instrText xml:space="preserve">iodical&gt;&lt;pages&gt;494-502&lt;/pages&gt;&lt;volume&gt;9&lt;/volume&gt;&lt;number&gt;9&lt;/number&gt;&lt;dates&gt;&lt;year&gt;2011&lt;/year&gt;&lt;/dates&gt;&lt;isbn&gt;1540-9309&lt;/isbn&gt;&lt;urls&gt;&lt;/urls&gt;&lt;/record&gt;&lt;/Cite&gt;&lt;/EndNote&gt;</w:instrText>
      </w:r>
      <w:r>
        <w:fldChar w:fldCharType="separate"/>
      </w:r>
      <w:r>
        <w:rPr>
          <w:vertAlign w:val="superscript"/>
        </w:rPr>
        <w:t>24</w:t>
      </w:r>
      <w:r>
        <w:fldChar w:fldCharType="end"/>
      </w:r>
      <w:r>
        <w:t xml:space="preserve">. In this study, reservoirs with valid storage capacity records in the GDW v1.0 database were summed, yielding a total storage capacity of approximately 6,403 km³. The average DOC concentration was set at 5.0 mg/L, derived from a systematic survey of 144 reservoirs in China by Song et al. (5.0 ± 4.5 mg/L), which represents the largest field-measured dataset of reservoir DOC concentrations globally to date; the volume-weighted mean DOC concentration of global lakes predicted by Toming et al. using machine learning models was 3.88 mg/L, which is of the same order of magnitude as 5.0 mg/L and indirectly supports the reasonableness of this value </w:t>
      </w:r>
      <w:r>
        <w:fldChar w:fldCharType="begin"/>
      </w:r>
      <w:r>
        <w:instrText xml:space="preserve"> ADDIN EN.CITE &lt;EndNote&gt;&lt;Cite&gt;&lt;Author&gt;Song&lt;/Author&gt;&lt;Year&gt;2018&lt;/Year&gt;&lt;RecNum&gt;284&lt;/RecNum&gt;&lt;DisplayText&gt;&lt;style face="superscript"&gt;25, 26&lt;/style&gt;&lt;/DisplayText&gt;&lt;record&gt;&lt;rec-number&gt;284&lt;/rec-number&gt;&lt;foreign-keys&gt;&lt;key app="EN" db-id="sxapvfs2jva2dnear9bpeaa2dfarraz9wtfe" timestamp="1781513138"&gt;284&lt;/key&gt;&lt;/foreign-keys&gt;&lt;ref-type name="Journal Article"&gt;17&lt;/ref-type&gt;&lt;contributors&gt;&lt;authors&gt;&lt;author&gt;Song, Kaishan&lt;/author&gt;&lt;author&gt;Wen, Zhidan&lt;/author&gt;&lt;author&gt;Shang, Yingxing&lt;/author&gt;&lt;author&gt;Yang, Hong&lt;/author&gt;&lt;author&gt;Lyu, Lili&lt;/author&gt;&lt;author&gt;Liu, Ge&lt;/author&gt;&lt;author&gt;Fang, Chong&lt;/author&gt;&lt;author&gt;Du, Jia&lt;/author&gt;&lt;author&gt;Zhao, Ying&lt;/author&gt;&lt;/authors&gt;&lt;/contributors&gt;&lt;titles&gt;&lt;title&gt;Quantification of dissolved organic carbon (DOC) storage in lakes and reservoirs of mainland China&lt;/title&gt;&lt;secondary-title&gt;Journal of environmental management&lt;/secondary-title&gt;&lt;/titles&gt;&lt;periodical&gt;&lt;full-title&gt;Journal of Environmental Management&lt;/full-title&gt;&lt;/periodical&gt;&lt;pages&gt;391-402&lt;/pages&gt;&lt;volume&gt;217&lt;/volume&gt;&lt;dates&gt;&lt;year&gt;2018&lt;/year&gt;&lt;/dates&gt;&lt;isbn&gt;0301-4797&lt;/isbn&gt;&lt;urls&gt;&lt;/urls&gt;&lt;/record&gt;&lt;/Cite&gt;&lt;Cite&gt;&lt;Author&gt;Toming&lt;/Author&gt;&lt;Year&gt;2020&lt;/Year&gt;&lt;RecNum&gt;270&lt;/RecNum&gt;&lt;record&gt;&lt;rec-number&gt;270&lt;/rec-number&gt;&lt;foreign-keys&gt;&lt;key app="EN" db-id="sxapvfs2jva2dnear9bpeaa2dfarraz9wtfe" timestamp="1781188318"&gt;270&lt;/key&gt;&lt;/foreign-keys&gt;&lt;ref-type name="Journal Article"&gt;17&lt;/ref-type&gt;&lt;contributors&gt;&lt;authors&gt;&lt;author&gt;Toming, Kaire&lt;/author&gt;&lt;author&gt;Kotta, Jonne&lt;/author&gt;&lt;author&gt;Uuemaa, Evelyn&lt;/author&gt;&lt;author&gt;Sobek, Sebastian&lt;/author&gt;&lt;author&gt;Kutser, Tiit&lt;/author&gt;&lt;author&gt;Tranvik, Lars J&lt;/author&gt;&lt;/authors&gt;&lt;/contributors&gt;&lt;titles&gt;&lt;title&gt;Predicting lake dissolved organic carbon at a global scale&lt;/title&gt;&lt;secondary-title&gt;Scientific reports&lt;/secondary-title&gt;&lt;/titles&gt;&lt;periodical&gt;&lt;full-title&gt;Scientific reports&lt;/full-title&gt;&lt;/periodical&gt;&lt;pages&gt;8471&lt;/pages&gt;&lt;volume&gt;10&lt;/volume&gt;&lt;number&gt;1&lt;/number&gt;&lt;dates&gt;&lt;year&gt;2020&lt;/year&gt;&lt;/dates&gt;&lt;isbn&gt;2045-2322&lt;/isbn&gt;&lt;urls&gt;&lt;/urls&gt;&lt;/record&gt;&lt;/Cite&gt;&lt;/EndNote&gt;</w:instrText>
      </w:r>
      <w:r>
        <w:fldChar w:fldCharType="separate"/>
      </w:r>
      <w:r>
        <w:rPr>
          <w:vertAlign w:val="superscript"/>
        </w:rPr>
        <w:t>25, 26</w:t>
      </w:r>
      <w:r>
        <w:fldChar w:fldCharType="end"/>
      </w:r>
      <w:r>
        <w:t>. The proportion of RDOC was set at 50%–70%, based on the CRAMs relative abundance data measured in this study (Table S5). Accordingly, the global reservoir DOC storage was estimated to be approximately 32 Tg C, and the RDOC storage approximately 16–22 Tg C. Major uncertainties include: (1) the GDW database does not fully cover numerous small reservoirs worldwide, potentially leading to an underestimation of total storage capacity; (2) the 5.0 mg/L value originates from Chinese reservoirs, and its global representativeness is limited. These factors all suggest that the storage estimates are likely conservative rather than overestimated.</w:t>
      </w:r>
    </w:p>
    <w:p w14:paraId="76F407E2">
      <w:pPr>
        <w:spacing w:line="480" w:lineRule="auto"/>
        <w:ind w:firstLine="480"/>
        <w:rPr>
          <w:rFonts w:eastAsia="方正楷体_GB2312" w:cs="Times New Roman"/>
          <w:szCs w:val="21"/>
        </w:rPr>
      </w:pPr>
      <w:r>
        <w:t>The estimation of global autochthonous RDOC production in lakes and reservoirs was calculated as the product of global lake and reservoir net primary production (NPP) and the microbial carbon pump (MCP) conversion efficiency. Global lake and reservoir NPP was adopted as 1.0–1.3 Pg C·yr</w:t>
      </w:r>
      <w:r>
        <w:rPr>
          <w:rFonts w:hint="eastAsia"/>
          <w:vertAlign w:val="superscript"/>
        </w:rPr>
        <w:t>-1</w:t>
      </w:r>
      <w:r>
        <w:rPr>
          <w:vertAlign w:val="superscript"/>
        </w:rPr>
        <w:t xml:space="preserve"> </w:t>
      </w:r>
      <w:r>
        <w:fldChar w:fldCharType="begin"/>
      </w:r>
      <w:r>
        <w:instrText xml:space="preserve"> ADDIN EN.CITE &lt;EndNote&gt;&lt;Cite&gt;&lt;Author&gt;Jia&lt;/Author&gt;&lt;Year&gt;2024&lt;/Year&gt;&lt;RecNum&gt;274&lt;/RecNum&gt;&lt;DisplayText&gt;&lt;style face="superscript"&gt;27, 28&lt;/style&gt;&lt;/DisplayText&gt;&lt;record&gt;&lt;rec-number&gt;274&lt;/rec-number&gt;&lt;foreign-keys&gt;&lt;key app="EN" db-id="sxapvfs2jva2dnear9bpeaa2dfarraz9wtfe" timestamp="1781233516"&gt;274&lt;/key&gt;&lt;/foreign-keys&gt;&lt;ref-type name="Journal Article"&gt;17&lt;/ref-type&gt;&lt;contributors&gt;&lt;authors&gt;&lt;author&gt;Jia, Junjie&lt;/author&gt;&lt;author&gt;Dungait, Jennifer AJ&lt;/author&gt;&lt;author&gt;Yu, Guirui&lt;/author&gt;&lt;author&gt;Cui, Tao&lt;/author&gt;&lt;author&gt;Gao, Yang&lt;/author&gt;&lt;/authors&gt;&lt;/contributors&gt;&lt;titles&gt;&lt;title&gt;Nutrient enrichment and climate warming drive carbon production of global lake ecosystems&lt;/title&gt;&lt;secondary-title&gt;Earth-Science Reviews&lt;/secondary-title&gt;&lt;/titles&gt;&lt;periodical&gt;&lt;full-title&gt;Earth-Science Reviews&lt;/full-title&gt;&lt;/periodical&gt;&lt;pages&gt;104968&lt;/pages&gt;&lt;volume&gt;258&lt;/volume&gt;&lt;dates&gt;&lt;year&gt;2024&lt;/year&gt;&lt;/dates&gt;&lt;isbn&gt;0012-8252&lt;/isbn&gt;&lt;urls&gt;&lt;/urls&gt;&lt;/record&gt;&lt;/Cite&gt;&lt;Cite&gt;&lt;Author&gt;Lewis Jr&lt;/Author&gt;&lt;Year&gt;2011&lt;/Year&gt;&lt;RecNum&gt;309&lt;/RecNum&gt;&lt;record&gt;&lt;rec-number&gt;309&lt;/rec-number&gt;&lt;foreign-keys&gt;&lt;key app="EN" db-id="sxapvfs2jva2dnear9bpeaa2dfarraz9wtfe" timestamp="1782205159"&gt;309&lt;/key&gt;&lt;/foreign-keys&gt;&lt;ref-type name="Journal Article"&gt;17&lt;/ref-type&gt;&lt;contributors&gt;&lt;authors&gt;&lt;author&gt;Lewis Jr, William M.&lt;/author&gt;&lt;/authors&gt;&lt;/contributors&gt;&lt;titles&gt;&lt;title&gt;Global primary production of lakes: 19th Baldi Memorial Lecture&lt;/title&gt;&lt;secondary-title&gt;Inland Waters&lt;/secondary-title&gt;&lt;/titles&gt;&lt;periodical&gt;&lt;full-title&gt;Inland Waters&lt;/full-title&gt;&lt;/periodical&gt;&lt;pages&gt;1-28&lt;/pages&gt;&lt;volume&gt;1&lt;/volume&gt;&lt;number&gt;1&lt;/number&gt;&lt;dates&gt;&lt;year&gt;2011&lt;/year&gt;&lt;pub-dates&gt;&lt;date&gt;2011/01/01&lt;/date&gt;&lt;/pub-dates&gt;&lt;/dates&gt;&lt;publisher&gt;Taylor &amp;amp; Francis&lt;/publisher&gt;&lt;isbn&gt;2044-2041&lt;/isbn&gt;&lt;urls&gt;&lt;related-urls&gt;&lt;url&gt;https://www.tandfonline.com/doi/abs/10.5268/IW-1.1.384&lt;/url&gt;&lt;/related-urls&gt;&lt;/urls&gt;&lt;electronic-resource-num&gt;10.5268/IW-1.1.384&lt;/electronic-resource-num&gt;&lt;/record&gt;&lt;/Cite&gt;&lt;/EndNote&gt;</w:instrText>
      </w:r>
      <w:r>
        <w:fldChar w:fldCharType="separate"/>
      </w:r>
      <w:r>
        <w:rPr>
          <w:vertAlign w:val="superscript"/>
        </w:rPr>
        <w:t>27, 28</w:t>
      </w:r>
      <w:r>
        <w:fldChar w:fldCharType="end"/>
      </w:r>
      <w:r>
        <w:t xml:space="preserve">, and MCP conversion efficiency was adopted as 0.3%–0.4% </w:t>
      </w:r>
      <w:r>
        <w:fldChar w:fldCharType="begin"/>
      </w:r>
      <w:r>
        <w:instrText xml:space="preserve"> ADDIN EN.CITE &lt;EndNote&gt;&lt;Cite&gt;&lt;Author&gt;Osterholz&lt;/Author&gt;&lt;Year&gt;2015&lt;/Year&gt;&lt;RecNum&gt;276&lt;/RecNum&gt;&lt;DisplayText&gt;&lt;style face="superscript"&gt;29, 30&lt;/style&gt;&lt;/DisplayText&gt;&lt;record&gt;&lt;rec-number&gt;276&lt;/rec-number&gt;&lt;foreign-keys&gt;&lt;key app="EN" db-id="sxapvfs2jva2dnear9bpeaa2dfarraz9wtfe" timestamp="1781234568"&gt;276&lt;/key&gt;&lt;/foreign-keys&gt;&lt;ref-type name="Journal Article"&gt;17&lt;/ref-type&gt;&lt;contributors&gt;&lt;authors&gt;&lt;author&gt;Osterholz, Helena&lt;/author&gt;&lt;author&gt;Niggemann, Jutta&lt;/author&gt;&lt;author&gt;Giebel, Helge-Ansgar&lt;/author&gt;&lt;author&gt;Simon, Meinhard&lt;/author&gt;&lt;author&gt;Dittmar, Thorsten&lt;/author&gt;&lt;/authors&gt;&lt;/contributors&gt;&lt;titles&gt;&lt;title&gt;Inefficient microbial production of refractory dissolved organic matter in the ocean&lt;/title&gt;&lt;secondary-title&gt;Nature Communications&lt;/secondary-title&gt;&lt;/titles&gt;&lt;periodical&gt;&lt;full-title&gt;Nature Communications&lt;/full-title&gt;&lt;/periodical&gt;&lt;pages&gt;7422&lt;/pages&gt;&lt;volume&gt;6&lt;/volume&gt;&lt;number&gt;1&lt;/number&gt;&lt;dates&gt;&lt;year&gt;2015&lt;/year&gt;&lt;/dates&gt;&lt;isbn&gt;2041-1723&lt;/isbn&gt;&lt;urls&gt;&lt;/urls&gt;&lt;/record&gt;&lt;/Cite&gt;&lt;Cite&gt;&lt;Author&gt;Zhang&lt;/Author&gt;&lt;Year&gt;2023&lt;/Year&gt;&lt;RecNum&gt;277&lt;/RecNum&gt;&lt;record&gt;&lt;rec-number&gt;277&lt;/rec-number&gt;&lt;foreign-keys&gt;&lt;key app="EN" db-id="sxapvfs2jva2dnear9bpeaa2dfarraz9wtfe" timestamp="1781234609"&gt;277&lt;/key&gt;&lt;/foreign-keys&gt;&lt;ref-type name="Journal Article"&gt;17&lt;/ref-type&gt;&lt;contributors&gt;&lt;authors&gt;&lt;author&gt;Zhang, Mingliang&lt;/author&gt;&lt;author&gt;Qin, Huawei&lt;/author&gt;&lt;author&gt;Ma, Yuanqing&lt;/author&gt;&lt;author&gt;Qi, Yanmin&lt;/author&gt;&lt;author&gt;Zhao, Yuting&lt;/author&gt;&lt;author&gt;Wang, Zhidong&lt;/author&gt;&lt;author&gt;Li, Bin&lt;/author&gt;&lt;/authors&gt;&lt;/contributors&gt;&lt;titles&gt;&lt;title&gt;Carbon sequestration from refractory dissolved organic carbon produced by biodegradation of Saccharina japonica&lt;/title&gt;&lt;secondary-title&gt;Marine Environmental Research&lt;/secondary-title&gt;&lt;/titles&gt;&lt;periodical&gt;&lt;full-title&gt;Marine Environmental Research&lt;/full-title&gt;&lt;/periodical&gt;&lt;pages&gt;105803&lt;/pages&gt;&lt;volume&gt;183&lt;/volume&gt;&lt;dates&gt;&lt;year&gt;2023&lt;/year&gt;&lt;/dates&gt;&lt;isbn&gt;0141-1136&lt;/isbn&gt;&lt;urls&gt;&lt;/urls&gt;&lt;/record&gt;&lt;/Cite&gt;&lt;/EndNote&gt;</w:instrText>
      </w:r>
      <w:r>
        <w:fldChar w:fldCharType="separate"/>
      </w:r>
      <w:r>
        <w:rPr>
          <w:vertAlign w:val="superscript"/>
        </w:rPr>
        <w:t>29, 30</w:t>
      </w:r>
      <w:r>
        <w:fldChar w:fldCharType="end"/>
      </w:r>
      <w:r>
        <w:t>. Based on these values, the global autochthonous RDOC production in lakes and reservoirs was estimated to be approximately 3.0–5.2 Tg C·yr</w:t>
      </w:r>
      <w:r>
        <w:rPr>
          <w:rFonts w:hint="eastAsia"/>
          <w:vertAlign w:val="superscript"/>
        </w:rPr>
        <w:t>-1</w:t>
      </w:r>
      <w:r>
        <w:t>. Major uncertainties include: (1) the NPP data represent an integrated estimate for lakes and reservoirs as a whole, and no global reservoir-specific NPP dataset is currently available; (2) the MCP conversion efficiency is based on limited observations, and its spatiotemporal variability has not been fully constrained; (3) this estimate only accounts for the conversion of autochthonous primary production by the MCP, and does not include the conversion of allochthonous DOC within reservoirs or the direct release of RDOC by algae</w:t>
      </w:r>
      <w:r>
        <w:rPr>
          <w:rFonts w:hint="eastAsia"/>
        </w:rPr>
        <w:t>;</w:t>
      </w:r>
      <w:r>
        <w:t xml:space="preserve"> </w:t>
      </w:r>
      <w:r>
        <w:rPr>
          <w:rFonts w:hint="eastAsia"/>
        </w:rPr>
        <w:t>(</w:t>
      </w:r>
      <w:r>
        <w:t>4) RDOC proportion was determined based on the relative abundance of CRAMs measured by FT-ICR MS. However, this approach has the following limitations: 1) solid-phase extraction typically recovers only 40%–70% of bulk DOM, with extraction efficiencies varying among different compound classes, and FT-ICR MS can only detect a subset of the extracted molecular pool; 2) electrospray ionization exhibits preferential ionization for certain compound classes, so these factors collectively may introduce systematic bias into the RDOC proportion estimate, suggesting that the actual RDOC storage could deviate from the current range. All the above estimates are based on the most reliable parameters currently available in the literature, and the results serve as scientifically valuable order-of-magnitude references; more precise quantification will require the establishment of a global reservoir-specific database in the future.</w:t>
      </w:r>
      <w:bookmarkEnd w:id="6"/>
      <w:r>
        <w:rPr>
          <w:rFonts w:hint="eastAsia" w:eastAsia="方正楷体_GB2312" w:cs="Times New Roman"/>
          <w:szCs w:val="21"/>
        </w:rPr>
        <w:br w:type="page"/>
      </w:r>
    </w:p>
    <w:p w14:paraId="0ADF5155">
      <w:pPr>
        <w:spacing w:line="480" w:lineRule="auto"/>
        <w:ind w:right="240" w:firstLine="0" w:firstLineChars="0"/>
        <w:jc w:val="center"/>
        <w:rPr>
          <w:rFonts w:eastAsia="方正楷体_GB2312" w:cs="Times New Roman"/>
          <w:szCs w:val="21"/>
        </w:rPr>
      </w:pPr>
      <w:r>
        <w:drawing>
          <wp:inline distT="0" distB="0" distL="0" distR="0">
            <wp:extent cx="6188710" cy="3568065"/>
            <wp:effectExtent l="0" t="0" r="2540" b="0"/>
            <wp:docPr id="530" name="图形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形 529"/>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6188710" cy="3568065"/>
                    </a:xfrm>
                    <a:prstGeom prst="rect">
                      <a:avLst/>
                    </a:prstGeom>
                  </pic:spPr>
                </pic:pic>
              </a:graphicData>
            </a:graphic>
          </wp:inline>
        </w:drawing>
      </w:r>
    </w:p>
    <w:p w14:paraId="343FD078">
      <w:pPr>
        <w:spacing w:line="480" w:lineRule="auto"/>
        <w:ind w:right="240" w:firstLine="0" w:firstLineChars="0"/>
      </w:pPr>
      <w:r>
        <w:rPr>
          <w:rFonts w:eastAsia="方正楷体_GB2312" w:cs="Times New Roman"/>
          <w:b/>
          <w:bCs/>
          <w:sz w:val="21"/>
          <w:szCs w:val="21"/>
        </w:rPr>
        <w:t xml:space="preserve">Figure S1: (a-f) Boxplots comparing the six indices across seasons (summer vs. winter) and trophic levels (oligotrophic, mesotrophic, and light eutrophic). Within the same trophic level, different lowercase letters (a, b) indicate significant differences between summer and winter (p &lt; 0.05), whereas the same letter indicates no significant difference. </w:t>
      </w:r>
      <w:bookmarkStart w:id="7" w:name="_Hlk234864948"/>
      <w:r>
        <w:rPr>
          <w:rFonts w:eastAsia="方正楷体_GB2312" w:cs="Times New Roman"/>
          <w:b/>
          <w:bCs/>
          <w:sz w:val="21"/>
          <w:szCs w:val="21"/>
        </w:rPr>
        <w:t>Asterisks denote significant differences between trophic groups (*p &lt; 0.05, **p &lt; 0.01, ***p &lt; 0.001)</w:t>
      </w:r>
      <w:bookmarkEnd w:id="7"/>
      <w:r>
        <w:rPr>
          <w:rFonts w:eastAsia="方正楷体_GB2312" w:cs="Times New Roman"/>
          <w:b/>
          <w:bCs/>
          <w:sz w:val="21"/>
          <w:szCs w:val="21"/>
        </w:rPr>
        <w:t xml:space="preserve">; ns denotes not significant. </w:t>
      </w:r>
      <w:r>
        <w:br w:type="page"/>
      </w:r>
    </w:p>
    <w:p w14:paraId="0F2D53FA">
      <w:pPr>
        <w:spacing w:line="480" w:lineRule="auto"/>
        <w:ind w:firstLine="0" w:firstLineChars="0"/>
        <w:jc w:val="center"/>
      </w:pPr>
      <w:r>
        <w:drawing>
          <wp:inline distT="0" distB="0" distL="0" distR="0">
            <wp:extent cx="5986145" cy="2341245"/>
            <wp:effectExtent l="0" t="0" r="3175"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986145" cy="2341245"/>
                    </a:xfrm>
                    <a:prstGeom prst="rect">
                      <a:avLst/>
                    </a:prstGeom>
                    <a:noFill/>
                    <a:ln>
                      <a:noFill/>
                    </a:ln>
                  </pic:spPr>
                </pic:pic>
              </a:graphicData>
            </a:graphic>
          </wp:inline>
        </w:drawing>
      </w:r>
    </w:p>
    <w:p w14:paraId="58FB6321">
      <w:pPr>
        <w:spacing w:line="480" w:lineRule="auto"/>
        <w:ind w:right="240" w:firstLine="0" w:firstLineChars="0"/>
        <w:jc w:val="left"/>
        <w:rPr>
          <w:b/>
          <w:bCs/>
          <w:sz w:val="21"/>
          <w:szCs w:val="21"/>
        </w:rPr>
      </w:pPr>
      <w:r>
        <w:rPr>
          <w:b/>
          <w:bCs/>
          <w:sz w:val="21"/>
          <w:szCs w:val="21"/>
        </w:rPr>
        <w:t>Figure S2: Linear regression analysis of DOM elemental composition (a: CHO, b: CHON) against TSI in the studied reservoirs</w:t>
      </w:r>
    </w:p>
    <w:p w14:paraId="3F16C381">
      <w:pPr>
        <w:spacing w:line="480" w:lineRule="auto"/>
        <w:ind w:right="240" w:firstLine="0" w:firstLineChars="0"/>
        <w:jc w:val="center"/>
      </w:pPr>
      <w:r>
        <w:drawing>
          <wp:inline distT="0" distB="0" distL="0" distR="0">
            <wp:extent cx="3563620" cy="765048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3" cstate="print">
                      <a:extLst>
                        <a:ext uri="{28A0092B-C50C-407E-A947-70E740481C1C}">
                          <a14:useLocalDpi xmlns:a14="http://schemas.microsoft.com/office/drawing/2010/main" val="0"/>
                        </a:ext>
                      </a:extLst>
                    </a:blip>
                    <a:srcRect l="10328" t="893" r="17211"/>
                    <a:stretch>
                      <a:fillRect/>
                    </a:stretch>
                  </pic:blipFill>
                  <pic:spPr>
                    <a:xfrm>
                      <a:off x="0" y="0"/>
                      <a:ext cx="3563620" cy="7650480"/>
                    </a:xfrm>
                    <a:prstGeom prst="rect">
                      <a:avLst/>
                    </a:prstGeom>
                    <a:noFill/>
                    <a:ln>
                      <a:noFill/>
                    </a:ln>
                  </pic:spPr>
                </pic:pic>
              </a:graphicData>
            </a:graphic>
          </wp:inline>
        </w:drawing>
      </w:r>
    </w:p>
    <w:p w14:paraId="6756EF85">
      <w:pPr>
        <w:spacing w:line="480" w:lineRule="auto"/>
        <w:ind w:right="240" w:firstLine="0" w:firstLineChars="0"/>
        <w:rPr>
          <w:b/>
          <w:bCs/>
          <w:sz w:val="21"/>
          <w:szCs w:val="21"/>
        </w:rPr>
      </w:pPr>
      <w:r>
        <w:rPr>
          <w:b/>
          <w:bCs/>
          <w:sz w:val="21"/>
          <w:szCs w:val="21"/>
        </w:rPr>
        <w:t>Figure S3: Contour plots and corresponding excitation–emission spectra of the three fluorescent components (C1, C2, and C3) identified by parallel factor analysis (PARAFAC) of three-dimensional fluorescence spectra</w:t>
      </w:r>
    </w:p>
    <w:p w14:paraId="0D2FC259">
      <w:pPr>
        <w:spacing w:line="480" w:lineRule="auto"/>
        <w:ind w:right="240" w:firstLine="0" w:firstLineChars="0"/>
      </w:pPr>
      <w:r>
        <w:drawing>
          <wp:inline distT="0" distB="0" distL="0" distR="0">
            <wp:extent cx="6280785" cy="1683385"/>
            <wp:effectExtent l="0" t="0" r="1333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6280785" cy="1683385"/>
                    </a:xfrm>
                    <a:prstGeom prst="rect">
                      <a:avLst/>
                    </a:prstGeom>
                    <a:noFill/>
                    <a:ln>
                      <a:noFill/>
                    </a:ln>
                  </pic:spPr>
                </pic:pic>
              </a:graphicData>
            </a:graphic>
          </wp:inline>
        </w:drawing>
      </w:r>
    </w:p>
    <w:p w14:paraId="7C3F7B90">
      <w:pPr>
        <w:spacing w:line="480" w:lineRule="auto"/>
        <w:ind w:right="240" w:firstLine="0" w:firstLineChars="0"/>
      </w:pPr>
      <w:r>
        <w:rPr>
          <w:b/>
          <w:bCs/>
          <w:sz w:val="21"/>
          <w:szCs w:val="21"/>
        </w:rPr>
        <w:t>Figure S4: Linear regression analysis of the relative abundances of three fluorescent components (protein-like, microbial humic-like, terrestrial humic-like) of DOM against TSI in the studied reservoirs</w:t>
      </w:r>
      <w:r>
        <w:rPr>
          <w:rFonts w:hint="eastAsia"/>
          <w:b/>
          <w:bCs/>
          <w:sz w:val="21"/>
          <w:szCs w:val="21"/>
        </w:rPr>
        <w:t>.</w:t>
      </w:r>
      <w:r>
        <w:br w:type="page"/>
      </w:r>
    </w:p>
    <w:p w14:paraId="2A743C19">
      <w:pPr>
        <w:spacing w:line="480" w:lineRule="auto"/>
        <w:ind w:right="240" w:firstLine="0" w:firstLineChars="0"/>
        <w:jc w:val="center"/>
        <w:rPr>
          <w:b/>
          <w:bCs/>
          <w:sz w:val="21"/>
          <w:szCs w:val="21"/>
        </w:rPr>
      </w:pPr>
      <w:r>
        <w:drawing>
          <wp:inline distT="0" distB="0" distL="0" distR="0">
            <wp:extent cx="6188710" cy="2993390"/>
            <wp:effectExtent l="0" t="0" r="2540" b="0"/>
            <wp:docPr id="114" name="图形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形 113"/>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6188710" cy="2993390"/>
                    </a:xfrm>
                    <a:prstGeom prst="rect">
                      <a:avLst/>
                    </a:prstGeom>
                  </pic:spPr>
                </pic:pic>
              </a:graphicData>
            </a:graphic>
          </wp:inline>
        </w:drawing>
      </w:r>
    </w:p>
    <w:p w14:paraId="48325D6E">
      <w:pPr>
        <w:spacing w:line="480" w:lineRule="auto"/>
        <w:ind w:right="240" w:firstLine="0" w:firstLineChars="0"/>
        <w:jc w:val="left"/>
        <w:rPr>
          <w:rFonts w:cs="Times New Roman"/>
          <w:sz w:val="21"/>
          <w:szCs w:val="22"/>
        </w:rPr>
      </w:pPr>
      <w:r>
        <w:rPr>
          <w:b/>
          <w:bCs/>
          <w:sz w:val="21"/>
          <w:szCs w:val="21"/>
        </w:rPr>
        <w:t>Figure S5: PCA ordination of DOM molecular characteristics and TSI parameters along the trophic gradient.</w:t>
      </w:r>
      <w:r>
        <w:t xml:space="preserve"> </w:t>
      </w:r>
      <w:r>
        <w:rPr>
          <w:b/>
          <w:bCs/>
          <w:sz w:val="21"/>
          <w:szCs w:val="21"/>
        </w:rPr>
        <w:t>Vectors indicate the loading directions and magnitudes of individual variables; dashed ellipses represent 95% confidence intervals for each trophic group.</w:t>
      </w:r>
      <w:r>
        <w:rPr>
          <w:rFonts w:cs="Times New Roman"/>
          <w:sz w:val="21"/>
          <w:szCs w:val="22"/>
        </w:rPr>
        <w:br w:type="page"/>
      </w:r>
    </w:p>
    <w:p w14:paraId="4F371057">
      <w:pPr>
        <w:spacing w:line="480" w:lineRule="auto"/>
        <w:ind w:right="240" w:firstLine="0" w:firstLineChars="0"/>
        <w:jc w:val="center"/>
      </w:pPr>
      <w:r>
        <w:rPr>
          <w:rFonts w:cs="Times New Roman"/>
          <w:sz w:val="21"/>
          <w:szCs w:val="22"/>
        </w:rPr>
        <w:drawing>
          <wp:inline distT="0" distB="0" distL="0" distR="0">
            <wp:extent cx="3907155" cy="3260725"/>
            <wp:effectExtent l="0" t="0" r="9525" b="635"/>
            <wp:docPr id="6" name="图片 6" descr="D:\mergedata\WangJF\图\FigS\S6\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mergedata\WangJF\图\FigS\S6\S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907155" cy="3260725"/>
                    </a:xfrm>
                    <a:prstGeom prst="rect">
                      <a:avLst/>
                    </a:prstGeom>
                    <a:noFill/>
                    <a:ln>
                      <a:noFill/>
                    </a:ln>
                  </pic:spPr>
                </pic:pic>
              </a:graphicData>
            </a:graphic>
          </wp:inline>
        </w:drawing>
      </w:r>
    </w:p>
    <w:p w14:paraId="0E7AA91C">
      <w:pPr>
        <w:spacing w:line="480" w:lineRule="auto"/>
        <w:ind w:right="240" w:firstLine="0" w:firstLineChars="0"/>
        <w:rPr>
          <w:rFonts w:cs="Times New Roman"/>
          <w:sz w:val="21"/>
          <w:szCs w:val="22"/>
        </w:rPr>
      </w:pPr>
      <w:r>
        <w:rPr>
          <w:rFonts w:cs="Times New Roman"/>
          <w:b/>
          <w:sz w:val="21"/>
          <w:szCs w:val="22"/>
        </w:rPr>
        <w:t>Figure S6: Relationships between the abundances of DOM degradation genes and TSI</w:t>
      </w:r>
      <w:r>
        <w:rPr>
          <w:rFonts w:cs="Times New Roman"/>
          <w:sz w:val="21"/>
          <w:szCs w:val="22"/>
        </w:rPr>
        <w:br w:type="page"/>
      </w:r>
    </w:p>
    <w:p w14:paraId="12B63FF0">
      <w:pPr>
        <w:spacing w:line="480" w:lineRule="auto"/>
        <w:ind w:right="240" w:firstLine="0" w:firstLineChars="0"/>
      </w:pPr>
      <w:r>
        <w:rPr>
          <w:rFonts w:cs="Times New Roman"/>
          <w:sz w:val="21"/>
          <w:szCs w:val="22"/>
        </w:rPr>
        <w:drawing>
          <wp:inline distT="0" distB="0" distL="0" distR="0">
            <wp:extent cx="6165850" cy="3612515"/>
            <wp:effectExtent l="0" t="0" r="6350" b="14605"/>
            <wp:docPr id="7" name="图片 7" descr="D:\mergedata\WangJF\图\FigS\S7\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mergedata\WangJF\图\FigS\S7\S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6165850" cy="3612515"/>
                    </a:xfrm>
                    <a:prstGeom prst="rect">
                      <a:avLst/>
                    </a:prstGeom>
                    <a:noFill/>
                    <a:ln>
                      <a:noFill/>
                    </a:ln>
                  </pic:spPr>
                </pic:pic>
              </a:graphicData>
            </a:graphic>
          </wp:inline>
        </w:drawing>
      </w:r>
    </w:p>
    <w:p w14:paraId="74BF8678">
      <w:pPr>
        <w:spacing w:line="480" w:lineRule="auto"/>
        <w:ind w:right="240" w:firstLine="0" w:firstLineChars="0"/>
        <w:jc w:val="left"/>
        <w:rPr>
          <w:rFonts w:cs="Times New Roman"/>
          <w:sz w:val="21"/>
          <w:szCs w:val="22"/>
        </w:rPr>
      </w:pPr>
      <w:r>
        <w:rPr>
          <w:rFonts w:cs="Times New Roman"/>
          <w:b/>
          <w:sz w:val="21"/>
          <w:szCs w:val="22"/>
        </w:rPr>
        <w:t>Figure S7: Relationships between the relative abundances of top 10 dominant genera hosting DOM degradation genes and TSI in summer</w:t>
      </w:r>
      <w:r>
        <w:rPr>
          <w:rFonts w:cs="Times New Roman"/>
          <w:sz w:val="21"/>
          <w:szCs w:val="22"/>
        </w:rPr>
        <w:br w:type="page"/>
      </w:r>
    </w:p>
    <w:p w14:paraId="729690D8">
      <w:pPr>
        <w:spacing w:line="480" w:lineRule="auto"/>
        <w:ind w:right="240" w:firstLine="0" w:firstLineChars="0"/>
      </w:pPr>
      <w:r>
        <w:rPr>
          <w:rFonts w:cs="Times New Roman"/>
          <w:sz w:val="21"/>
          <w:szCs w:val="22"/>
        </w:rPr>
        <w:drawing>
          <wp:inline distT="0" distB="0" distL="0" distR="0">
            <wp:extent cx="6284595" cy="2365375"/>
            <wp:effectExtent l="0" t="0" r="9525" b="12065"/>
            <wp:docPr id="9" name="图片 9" descr="D:\mergedata\WangJF\图\FigS\S8\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mergedata\WangJF\图\FigS\S8\S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6284595" cy="2365375"/>
                    </a:xfrm>
                    <a:prstGeom prst="rect">
                      <a:avLst/>
                    </a:prstGeom>
                    <a:noFill/>
                    <a:ln>
                      <a:noFill/>
                    </a:ln>
                  </pic:spPr>
                </pic:pic>
              </a:graphicData>
            </a:graphic>
          </wp:inline>
        </w:drawing>
      </w:r>
    </w:p>
    <w:p w14:paraId="153F9400">
      <w:pPr>
        <w:spacing w:line="480" w:lineRule="auto"/>
        <w:ind w:right="240" w:firstLine="0" w:firstLineChars="0"/>
        <w:jc w:val="left"/>
        <w:rPr>
          <w:rFonts w:cs="Times New Roman"/>
          <w:sz w:val="21"/>
          <w:szCs w:val="22"/>
        </w:rPr>
      </w:pPr>
      <w:r>
        <w:rPr>
          <w:rFonts w:cs="Times New Roman"/>
          <w:b/>
          <w:sz w:val="21"/>
          <w:szCs w:val="22"/>
        </w:rPr>
        <w:t>Figure S8: Relationships between the relative abundances of top 10 dominant phyla hosting DOM degradation genes and TSI in winter</w:t>
      </w:r>
      <w:r>
        <w:rPr>
          <w:rFonts w:cs="Times New Roman"/>
          <w:sz w:val="21"/>
          <w:szCs w:val="22"/>
        </w:rPr>
        <w:br w:type="page"/>
      </w:r>
    </w:p>
    <w:p w14:paraId="431D7C45">
      <w:pPr>
        <w:spacing w:line="480" w:lineRule="auto"/>
        <w:ind w:right="240" w:firstLine="0" w:firstLineChars="0"/>
      </w:pPr>
      <w:r>
        <w:rPr>
          <w:rFonts w:cs="Times New Roman"/>
          <w:sz w:val="21"/>
          <w:szCs w:val="22"/>
        </w:rPr>
        <w:drawing>
          <wp:inline distT="0" distB="0" distL="0" distR="0">
            <wp:extent cx="6026150" cy="3530600"/>
            <wp:effectExtent l="0" t="0" r="8890" b="5080"/>
            <wp:docPr id="10" name="图片 10" descr="D:\mergedata\WangJF\图\FigS\S9\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mergedata\WangJF\图\FigS\S9\S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6026150" cy="3530600"/>
                    </a:xfrm>
                    <a:prstGeom prst="rect">
                      <a:avLst/>
                    </a:prstGeom>
                    <a:noFill/>
                    <a:ln>
                      <a:noFill/>
                    </a:ln>
                  </pic:spPr>
                </pic:pic>
              </a:graphicData>
            </a:graphic>
          </wp:inline>
        </w:drawing>
      </w:r>
    </w:p>
    <w:p w14:paraId="5D354CB7">
      <w:pPr>
        <w:spacing w:line="480" w:lineRule="auto"/>
        <w:ind w:right="240" w:firstLine="0" w:firstLineChars="0"/>
        <w:jc w:val="left"/>
        <w:rPr>
          <w:rFonts w:cs="Times New Roman"/>
          <w:sz w:val="21"/>
          <w:szCs w:val="22"/>
        </w:rPr>
      </w:pPr>
      <w:r>
        <w:rPr>
          <w:rFonts w:cs="Times New Roman"/>
          <w:b/>
          <w:sz w:val="21"/>
          <w:szCs w:val="22"/>
        </w:rPr>
        <w:t>Figure S9: Relationships between the relative abundances of top 10 dominant genera hosting DOM degradation genes and TSI in winter</w:t>
      </w:r>
      <w:r>
        <w:rPr>
          <w:rFonts w:cs="Times New Roman"/>
          <w:sz w:val="21"/>
          <w:szCs w:val="22"/>
        </w:rPr>
        <w:br w:type="page"/>
      </w:r>
    </w:p>
    <w:p w14:paraId="60CCE6AA">
      <w:pPr>
        <w:spacing w:line="480" w:lineRule="auto"/>
        <w:ind w:right="240" w:firstLine="0" w:firstLineChars="0"/>
      </w:pPr>
      <w:r>
        <w:rPr>
          <w:rFonts w:cs="Times New Roman"/>
          <w:sz w:val="21"/>
          <w:szCs w:val="22"/>
        </w:rPr>
        <w:drawing>
          <wp:inline distT="0" distB="0" distL="0" distR="0">
            <wp:extent cx="6090920" cy="1490980"/>
            <wp:effectExtent l="0" t="0" r="5080" b="2540"/>
            <wp:docPr id="8" name="图片 8" descr="D:\mergedata\WangJF\图\FigS\S10\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mergedata\WangJF\图\FigS\S10\S1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6090920" cy="1490980"/>
                    </a:xfrm>
                    <a:prstGeom prst="rect">
                      <a:avLst/>
                    </a:prstGeom>
                    <a:noFill/>
                    <a:ln>
                      <a:noFill/>
                    </a:ln>
                  </pic:spPr>
                </pic:pic>
              </a:graphicData>
            </a:graphic>
          </wp:inline>
        </w:drawing>
      </w:r>
    </w:p>
    <w:p w14:paraId="2FB9EDF6">
      <w:pPr>
        <w:spacing w:line="480" w:lineRule="auto"/>
        <w:ind w:right="240" w:firstLine="0" w:firstLineChars="0"/>
        <w:jc w:val="left"/>
        <w:rPr>
          <w:rFonts w:cs="Times New Roman"/>
          <w:b/>
          <w:sz w:val="21"/>
          <w:szCs w:val="22"/>
        </w:rPr>
      </w:pPr>
      <w:r>
        <w:rPr>
          <w:rFonts w:cs="Times New Roman"/>
          <w:b/>
          <w:sz w:val="21"/>
          <w:szCs w:val="22"/>
        </w:rPr>
        <w:t>Figure S10: Taxonomic annotation results of viral communities in summer and winter</w:t>
      </w:r>
    </w:p>
    <w:p w14:paraId="0AEAC6EB">
      <w:pPr>
        <w:spacing w:line="480" w:lineRule="auto"/>
        <w:ind w:firstLine="420"/>
        <w:rPr>
          <w:rFonts w:cs="Times New Roman"/>
          <w:sz w:val="21"/>
          <w:szCs w:val="22"/>
        </w:rPr>
      </w:pPr>
      <w:r>
        <w:rPr>
          <w:rFonts w:cs="Times New Roman"/>
          <w:sz w:val="21"/>
          <w:szCs w:val="22"/>
        </w:rPr>
        <w:br w:type="page"/>
      </w:r>
    </w:p>
    <w:p w14:paraId="6BDDE2F6">
      <w:pPr>
        <w:spacing w:line="480" w:lineRule="auto"/>
        <w:ind w:right="240" w:firstLine="0" w:firstLineChars="0"/>
        <w:jc w:val="center"/>
      </w:pPr>
      <w:r>
        <w:rPr>
          <w:rFonts w:cs="Times New Roman"/>
          <w:sz w:val="21"/>
          <w:szCs w:val="22"/>
        </w:rPr>
        <w:drawing>
          <wp:inline distT="0" distB="0" distL="0" distR="0">
            <wp:extent cx="5909310" cy="4516120"/>
            <wp:effectExtent l="0" t="0" r="3810" b="10160"/>
            <wp:docPr id="12" name="图片 12" descr="D:\mergedata\WangJF\图\FigS\S11\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mergedata\WangJF\图\FigS\S11\S1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909310" cy="4516120"/>
                    </a:xfrm>
                    <a:prstGeom prst="rect">
                      <a:avLst/>
                    </a:prstGeom>
                    <a:noFill/>
                    <a:ln>
                      <a:noFill/>
                    </a:ln>
                  </pic:spPr>
                </pic:pic>
              </a:graphicData>
            </a:graphic>
          </wp:inline>
        </w:drawing>
      </w:r>
    </w:p>
    <w:p w14:paraId="3A58DD0C">
      <w:pPr>
        <w:spacing w:line="480" w:lineRule="auto"/>
        <w:ind w:firstLine="0" w:firstLineChars="0"/>
        <w:jc w:val="left"/>
        <w:rPr>
          <w:rFonts w:cs="Times New Roman"/>
          <w:sz w:val="21"/>
          <w:szCs w:val="22"/>
        </w:rPr>
      </w:pPr>
      <w:bookmarkStart w:id="8" w:name="OLE_LINK13"/>
      <w:r>
        <w:rPr>
          <w:rFonts w:cs="Times New Roman"/>
          <w:b/>
          <w:sz w:val="21"/>
          <w:szCs w:val="22"/>
        </w:rPr>
        <w:t>Figure S11</w:t>
      </w:r>
      <w:bookmarkEnd w:id="8"/>
      <w:r>
        <w:rPr>
          <w:rFonts w:cs="Times New Roman"/>
          <w:b/>
          <w:sz w:val="21"/>
          <w:szCs w:val="22"/>
        </w:rPr>
        <w:t xml:space="preserve">: Relationships between viral diversity and TSI, and relationships between viruses and dominant hosts. </w:t>
      </w:r>
      <w:r>
        <w:rPr>
          <w:rFonts w:cs="Times New Roman"/>
          <w:bCs/>
          <w:sz w:val="21"/>
          <w:szCs w:val="22"/>
        </w:rPr>
        <w:t>Viral diversity vs. TSI (a: summer, c: winter). Diversity of viruses infecting dominant DOM-degrading species vs. host abundance (b: summer, d: winter)</w:t>
      </w:r>
      <w:r>
        <w:rPr>
          <w:rFonts w:cs="Times New Roman"/>
          <w:sz w:val="21"/>
          <w:szCs w:val="22"/>
        </w:rPr>
        <w:br w:type="page"/>
      </w:r>
    </w:p>
    <w:p w14:paraId="7E24DB90">
      <w:pPr>
        <w:spacing w:line="480" w:lineRule="auto"/>
        <w:ind w:right="240" w:firstLine="0" w:firstLineChars="0"/>
        <w:jc w:val="center"/>
      </w:pPr>
      <w:r>
        <w:rPr>
          <w:rFonts w:cs="Times New Roman"/>
          <w:sz w:val="21"/>
          <w:szCs w:val="22"/>
        </w:rPr>
        <w:drawing>
          <wp:inline distT="0" distB="0" distL="0" distR="0">
            <wp:extent cx="5956935" cy="4081780"/>
            <wp:effectExtent l="0" t="0" r="1905" b="2540"/>
            <wp:docPr id="13" name="图片 13" descr="D:\mergedata\WangJF\图\FigS\S12\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D:\mergedata\WangJF\图\FigS\S12\S1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956935" cy="4081780"/>
                    </a:xfrm>
                    <a:prstGeom prst="rect">
                      <a:avLst/>
                    </a:prstGeom>
                    <a:noFill/>
                    <a:ln>
                      <a:noFill/>
                    </a:ln>
                  </pic:spPr>
                </pic:pic>
              </a:graphicData>
            </a:graphic>
          </wp:inline>
        </w:drawing>
      </w:r>
    </w:p>
    <w:p w14:paraId="67082B15">
      <w:pPr>
        <w:spacing w:line="480" w:lineRule="auto"/>
        <w:ind w:firstLine="0" w:firstLineChars="0"/>
        <w:jc w:val="left"/>
        <w:rPr>
          <w:rFonts w:cs="Times New Roman"/>
          <w:sz w:val="21"/>
          <w:szCs w:val="22"/>
        </w:rPr>
      </w:pPr>
      <w:r>
        <w:rPr>
          <w:rFonts w:cs="Times New Roman"/>
          <w:b/>
          <w:sz w:val="21"/>
          <w:szCs w:val="22"/>
        </w:rPr>
        <w:t>Figure S12: Relationship between lytic viral community diversity and abundances of DOM degradation genes in microbial communities in summer</w:t>
      </w:r>
      <w:r>
        <w:rPr>
          <w:rFonts w:cs="Times New Roman"/>
          <w:sz w:val="21"/>
          <w:szCs w:val="22"/>
        </w:rPr>
        <w:br w:type="page"/>
      </w:r>
    </w:p>
    <w:p w14:paraId="3F69A390">
      <w:pPr>
        <w:spacing w:line="480" w:lineRule="auto"/>
        <w:ind w:right="240" w:firstLine="0" w:firstLineChars="0"/>
        <w:jc w:val="center"/>
      </w:pPr>
      <w:r>
        <w:rPr>
          <w:rFonts w:cs="Times New Roman"/>
          <w:sz w:val="21"/>
          <w:szCs w:val="22"/>
        </w:rPr>
        <w:drawing>
          <wp:inline distT="0" distB="0" distL="0" distR="0">
            <wp:extent cx="4605655" cy="4030345"/>
            <wp:effectExtent l="0" t="0" r="12065" b="8255"/>
            <wp:docPr id="11" name="图片 11" descr="D:\mergedata\WangJF\图\FigS\S13\S1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mergedata\WangJF\图\FigS\S13\S13.tif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605655" cy="4030345"/>
                    </a:xfrm>
                    <a:prstGeom prst="rect">
                      <a:avLst/>
                    </a:prstGeom>
                    <a:noFill/>
                    <a:ln>
                      <a:noFill/>
                    </a:ln>
                  </pic:spPr>
                </pic:pic>
              </a:graphicData>
            </a:graphic>
          </wp:inline>
        </w:drawing>
      </w:r>
    </w:p>
    <w:p w14:paraId="52B4AA78">
      <w:pPr>
        <w:spacing w:line="480" w:lineRule="auto"/>
        <w:ind w:firstLine="0" w:firstLineChars="0"/>
        <w:jc w:val="left"/>
        <w:rPr>
          <w:rFonts w:cs="Times New Roman"/>
          <w:sz w:val="21"/>
          <w:szCs w:val="22"/>
        </w:rPr>
      </w:pPr>
      <w:r>
        <w:rPr>
          <w:rFonts w:cs="Times New Roman"/>
          <w:b/>
          <w:sz w:val="21"/>
          <w:szCs w:val="22"/>
        </w:rPr>
        <w:t>Figure S13: Relationship between lytic viral abundance and abundances of DOM degradation genes in microbial communities in summer</w:t>
      </w:r>
      <w:r>
        <w:rPr>
          <w:rFonts w:cs="Times New Roman"/>
          <w:sz w:val="21"/>
          <w:szCs w:val="22"/>
        </w:rPr>
        <w:br w:type="page"/>
      </w:r>
    </w:p>
    <w:p w14:paraId="77FCB1A8">
      <w:pPr>
        <w:spacing w:line="480" w:lineRule="auto"/>
        <w:ind w:right="240" w:firstLine="0" w:firstLineChars="0"/>
        <w:jc w:val="center"/>
      </w:pPr>
      <w:r>
        <w:rPr>
          <w:rFonts w:cs="Times New Roman"/>
          <w:sz w:val="21"/>
          <w:szCs w:val="22"/>
        </w:rPr>
        <w:drawing>
          <wp:inline distT="0" distB="0" distL="0" distR="0">
            <wp:extent cx="4591685" cy="4017645"/>
            <wp:effectExtent l="0" t="0" r="10795" b="5715"/>
            <wp:docPr id="14" name="图片 14" descr="D:\mergedata\WangJF\图\FigS\S14\S1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mergedata\WangJF\图\FigS\S14\S14.tif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4591685" cy="4017645"/>
                    </a:xfrm>
                    <a:prstGeom prst="rect">
                      <a:avLst/>
                    </a:prstGeom>
                    <a:noFill/>
                    <a:ln>
                      <a:noFill/>
                    </a:ln>
                  </pic:spPr>
                </pic:pic>
              </a:graphicData>
            </a:graphic>
          </wp:inline>
        </w:drawing>
      </w:r>
    </w:p>
    <w:p w14:paraId="343861BC">
      <w:pPr>
        <w:spacing w:line="480" w:lineRule="auto"/>
        <w:ind w:firstLine="0" w:firstLineChars="0"/>
        <w:jc w:val="left"/>
        <w:rPr>
          <w:rFonts w:cs="Times New Roman"/>
          <w:sz w:val="21"/>
          <w:szCs w:val="22"/>
        </w:rPr>
      </w:pPr>
      <w:r>
        <w:rPr>
          <w:rFonts w:cs="Times New Roman"/>
          <w:b/>
          <w:sz w:val="21"/>
          <w:szCs w:val="22"/>
        </w:rPr>
        <w:t>Figure S14: Relationship between lytic viral abundance and abundances of DOM degradation genes in microbial communities in winter</w:t>
      </w:r>
      <w:r>
        <w:rPr>
          <w:rFonts w:cs="Times New Roman"/>
          <w:sz w:val="21"/>
          <w:szCs w:val="22"/>
        </w:rPr>
        <w:br w:type="page"/>
      </w:r>
    </w:p>
    <w:p w14:paraId="720A2BC1">
      <w:pPr>
        <w:spacing w:line="480" w:lineRule="auto"/>
        <w:ind w:right="240" w:firstLine="0" w:firstLineChars="0"/>
        <w:jc w:val="center"/>
      </w:pPr>
      <w:r>
        <w:rPr>
          <w:rFonts w:cs="Times New Roman"/>
          <w:sz w:val="21"/>
          <w:szCs w:val="22"/>
        </w:rPr>
        <w:drawing>
          <wp:inline distT="0" distB="0" distL="0" distR="0">
            <wp:extent cx="5579110" cy="3850005"/>
            <wp:effectExtent l="0" t="0" r="13970" b="5715"/>
            <wp:docPr id="15" name="图片 15" descr="D:\mergedata\WangJF\图\FigS\S15\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mergedata\WangJF\图\FigS\S15\S1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579110" cy="3850005"/>
                    </a:xfrm>
                    <a:prstGeom prst="rect">
                      <a:avLst/>
                    </a:prstGeom>
                    <a:noFill/>
                    <a:ln>
                      <a:noFill/>
                    </a:ln>
                  </pic:spPr>
                </pic:pic>
              </a:graphicData>
            </a:graphic>
          </wp:inline>
        </w:drawing>
      </w:r>
    </w:p>
    <w:p w14:paraId="0B3D8FBD">
      <w:pPr>
        <w:spacing w:line="480" w:lineRule="auto"/>
        <w:ind w:firstLine="0" w:firstLineChars="0"/>
        <w:jc w:val="left"/>
        <w:rPr>
          <w:rFonts w:cs="Times New Roman"/>
          <w:sz w:val="21"/>
          <w:szCs w:val="22"/>
        </w:rPr>
      </w:pPr>
      <w:r>
        <w:rPr>
          <w:rFonts w:cs="Times New Roman"/>
          <w:b/>
          <w:sz w:val="21"/>
          <w:szCs w:val="22"/>
        </w:rPr>
        <w:t>Figure S15: Relationship between lytic viral diversity and abundances of DOM degradation genes in microbial communities in winter</w:t>
      </w:r>
      <w:r>
        <w:rPr>
          <w:rFonts w:cs="Times New Roman"/>
          <w:sz w:val="21"/>
          <w:szCs w:val="22"/>
        </w:rPr>
        <w:br w:type="page"/>
      </w:r>
    </w:p>
    <w:p w14:paraId="53C00C9E">
      <w:pPr>
        <w:spacing w:line="480" w:lineRule="auto"/>
        <w:ind w:right="240" w:firstLine="0" w:firstLineChars="0"/>
        <w:jc w:val="center"/>
      </w:pPr>
      <w:r>
        <w:rPr>
          <w:rFonts w:cs="Times New Roman"/>
          <w:sz w:val="21"/>
          <w:szCs w:val="22"/>
        </w:rPr>
        <w:drawing>
          <wp:inline distT="0" distB="0" distL="0" distR="0">
            <wp:extent cx="5756275" cy="2484120"/>
            <wp:effectExtent l="0" t="0" r="4445" b="0"/>
            <wp:docPr id="16" name="图片 16" descr="D:\mergedata\WangJF\图\FigS\S16\S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mergedata\WangJF\图\FigS\S16\S16.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756275" cy="2484120"/>
                    </a:xfrm>
                    <a:prstGeom prst="rect">
                      <a:avLst/>
                    </a:prstGeom>
                    <a:noFill/>
                    <a:ln>
                      <a:noFill/>
                    </a:ln>
                  </pic:spPr>
                </pic:pic>
              </a:graphicData>
            </a:graphic>
          </wp:inline>
        </w:drawing>
      </w:r>
    </w:p>
    <w:p w14:paraId="09B0E3C4">
      <w:pPr>
        <w:spacing w:line="480" w:lineRule="auto"/>
        <w:ind w:firstLine="0" w:firstLineChars="0"/>
        <w:jc w:val="left"/>
        <w:rPr>
          <w:rFonts w:cs="Times New Roman"/>
          <w:b/>
          <w:sz w:val="21"/>
          <w:szCs w:val="22"/>
        </w:rPr>
      </w:pPr>
      <w:r>
        <w:rPr>
          <w:rFonts w:cs="Times New Roman"/>
          <w:b/>
          <w:sz w:val="21"/>
          <w:szCs w:val="22"/>
        </w:rPr>
        <w:t>Figure S16: Relationship between abundances of carbon fixation genes in microbial communities and TSI.</w:t>
      </w:r>
    </w:p>
    <w:p w14:paraId="621E8BED">
      <w:pPr>
        <w:spacing w:line="480" w:lineRule="auto"/>
        <w:ind w:firstLine="480"/>
        <w:rPr>
          <w:rFonts w:cs="Times New Roman"/>
        </w:rPr>
      </w:pPr>
      <w:r>
        <w:rPr>
          <w:rFonts w:cs="Times New Roman"/>
        </w:rPr>
        <w:br w:type="page"/>
      </w:r>
    </w:p>
    <w:p w14:paraId="48EAE601">
      <w:pPr>
        <w:spacing w:line="480" w:lineRule="auto"/>
        <w:ind w:right="240" w:firstLine="0" w:firstLineChars="0"/>
      </w:pPr>
      <w:r>
        <w:rPr>
          <w:rFonts w:cs="Times New Roman"/>
        </w:rPr>
        <w:drawing>
          <wp:inline distT="0" distB="0" distL="114300" distR="114300">
            <wp:extent cx="6188710" cy="2668270"/>
            <wp:effectExtent l="0" t="0" r="2540" b="0"/>
            <wp:docPr id="18" name="图片 18" descr="图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S2"/>
                    <pic:cNvPicPr>
                      <a:picLocks noChangeAspect="1"/>
                    </pic:cNvPicPr>
                  </pic:nvPicPr>
                  <pic:blipFill>
                    <a:blip r:embed="rId38"/>
                    <a:stretch>
                      <a:fillRect/>
                    </a:stretch>
                  </pic:blipFill>
                  <pic:spPr>
                    <a:xfrm>
                      <a:off x="0" y="0"/>
                      <a:ext cx="6188710" cy="2668270"/>
                    </a:xfrm>
                    <a:prstGeom prst="rect">
                      <a:avLst/>
                    </a:prstGeom>
                  </pic:spPr>
                </pic:pic>
              </a:graphicData>
            </a:graphic>
          </wp:inline>
        </w:drawing>
      </w:r>
    </w:p>
    <w:p w14:paraId="2705B598">
      <w:pPr>
        <w:keepNext w:val="0"/>
        <w:keepLines w:val="0"/>
        <w:pageBreakBefore w:val="0"/>
        <w:widowControl w:val="0"/>
        <w:kinsoku/>
        <w:wordWrap/>
        <w:overflowPunct/>
        <w:topLinePunct w:val="0"/>
        <w:autoSpaceDE/>
        <w:autoSpaceDN/>
        <w:bidi w:val="0"/>
        <w:adjustRightInd w:val="0"/>
        <w:snapToGrid/>
        <w:ind w:left="0" w:right="238" w:firstLine="0" w:firstLineChars="0"/>
        <w:jc w:val="left"/>
        <w:textAlignment w:val="auto"/>
        <w:rPr>
          <w:rFonts w:eastAsia="方正楷体_GB2312"/>
          <w:szCs w:val="21"/>
        </w:rPr>
      </w:pPr>
      <w:r>
        <w:rPr>
          <w:rFonts w:cs="Times New Roman"/>
          <w:b/>
          <w:bCs/>
          <w:sz w:val="21"/>
          <w:szCs w:val="22"/>
        </w:rPr>
        <w:t>Figure S17: Relative abundance of molecular formulae belonging to seven biochemical classes of DOM in the studied reservoirs, (a) summer and (b) winter</w:t>
      </w:r>
      <w:r>
        <w:rPr>
          <w:rFonts w:cs="Times New Roman"/>
          <w:b/>
          <w:bCs/>
          <w:sz w:val="21"/>
          <w:szCs w:val="21"/>
        </w:rPr>
        <w:br w:type="page"/>
      </w:r>
      <w:r>
        <w:drawing>
          <wp:inline distT="0" distB="0" distL="114300" distR="114300">
            <wp:extent cx="6186170" cy="3314065"/>
            <wp:effectExtent l="0" t="0" r="5080" b="635"/>
            <wp:docPr id="3" name="图片 3" descr="99316462-ce4b-4f41-9a94-01f93bbf02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9316462-ce4b-4f41-9a94-01f93bbf028c"/>
                    <pic:cNvPicPr>
                      <a:picLocks noChangeAspect="1"/>
                    </pic:cNvPicPr>
                  </pic:nvPicPr>
                  <pic:blipFill>
                    <a:blip r:embed="rId39"/>
                    <a:stretch>
                      <a:fillRect/>
                    </a:stretch>
                  </pic:blipFill>
                  <pic:spPr>
                    <a:xfrm>
                      <a:off x="0" y="0"/>
                      <a:ext cx="6186170" cy="3314065"/>
                    </a:xfrm>
                    <a:prstGeom prst="rect">
                      <a:avLst/>
                    </a:prstGeom>
                  </pic:spPr>
                </pic:pic>
              </a:graphicData>
            </a:graphic>
          </wp:inline>
        </w:drawing>
      </w:r>
    </w:p>
    <w:p w14:paraId="76868535">
      <w:pPr>
        <w:keepNext w:val="0"/>
        <w:keepLines w:val="0"/>
        <w:pageBreakBefore w:val="0"/>
        <w:widowControl w:val="0"/>
        <w:kinsoku/>
        <w:wordWrap/>
        <w:overflowPunct/>
        <w:topLinePunct w:val="0"/>
        <w:autoSpaceDE/>
        <w:autoSpaceDN/>
        <w:bidi w:val="0"/>
        <w:adjustRightInd w:val="0"/>
        <w:snapToGrid/>
        <w:ind w:firstLine="0" w:firstLineChars="0"/>
        <w:textAlignment w:val="auto"/>
        <w:rPr>
          <w:rFonts w:cs="Times New Roman"/>
          <w:b/>
          <w:bCs/>
          <w:sz w:val="21"/>
          <w:szCs w:val="21"/>
        </w:rPr>
      </w:pPr>
      <w:bookmarkStart w:id="9" w:name="OLE_LINK17"/>
      <w:r>
        <w:rPr>
          <w:rFonts w:cs="Times New Roman"/>
          <w:b/>
          <w:bCs/>
          <w:sz w:val="21"/>
          <w:szCs w:val="22"/>
        </w:rPr>
        <w:t>Figure S1</w:t>
      </w:r>
      <w:r>
        <w:rPr>
          <w:rFonts w:hint="eastAsia" w:cs="Times New Roman"/>
          <w:b/>
          <w:bCs/>
          <w:sz w:val="21"/>
          <w:szCs w:val="22"/>
          <w:lang w:val="en-US" w:eastAsia="zh-CN"/>
        </w:rPr>
        <w:t>8</w:t>
      </w:r>
      <w:r>
        <w:rPr>
          <w:rFonts w:cs="Times New Roman"/>
          <w:b/>
          <w:bCs/>
          <w:sz w:val="21"/>
          <w:szCs w:val="22"/>
        </w:rPr>
        <w:t xml:space="preserve">: </w:t>
      </w:r>
      <w:r>
        <w:rPr>
          <w:b/>
          <w:bCs/>
        </w:rPr>
        <w:t>Estimated global reservoir RDOC storage by continent, and spatial distribution of reservoirs with estimated RDOC stocks &gt;</w:t>
      </w:r>
      <w:r>
        <w:rPr>
          <w:rFonts w:hint="eastAsia"/>
          <w:b/>
          <w:bCs/>
        </w:rPr>
        <w:t xml:space="preserve"> </w:t>
      </w:r>
      <w:r>
        <w:rPr>
          <w:b/>
          <w:bCs/>
        </w:rPr>
        <w:t>0.005 Tg C.</w:t>
      </w:r>
      <w:bookmarkEnd w:id="9"/>
      <w:r>
        <w:rPr>
          <w:rFonts w:cs="Times New Roman"/>
          <w:b/>
          <w:bCs/>
          <w:sz w:val="21"/>
          <w:szCs w:val="21"/>
        </w:rPr>
        <w:br w:type="page"/>
      </w:r>
    </w:p>
    <w:p w14:paraId="21B14215">
      <w:pPr>
        <w:spacing w:line="480" w:lineRule="auto"/>
        <w:ind w:firstLine="0" w:firstLineChars="0"/>
        <w:jc w:val="left"/>
        <w:rPr>
          <w:rFonts w:cs="Times New Roman"/>
          <w:b/>
          <w:bCs/>
          <w:sz w:val="21"/>
          <w:szCs w:val="21"/>
        </w:rPr>
      </w:pPr>
      <w:bookmarkStart w:id="14" w:name="_GoBack"/>
      <w:bookmarkEnd w:id="14"/>
      <w:r>
        <w:rPr>
          <w:rFonts w:cs="Times New Roman"/>
          <w:b/>
          <w:bCs/>
          <w:sz w:val="21"/>
          <w:szCs w:val="21"/>
        </w:rPr>
        <w:t>Table S1 Location and basic information of the reservoir</w:t>
      </w:r>
    </w:p>
    <w:tbl>
      <w:tblPr>
        <w:tblStyle w:val="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1572"/>
        <w:gridCol w:w="1138"/>
        <w:gridCol w:w="1568"/>
        <w:gridCol w:w="1409"/>
        <w:gridCol w:w="2229"/>
      </w:tblGrid>
      <w:tr w14:paraId="109424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937" w:type="pct"/>
            <w:tcBorders>
              <w:top w:val="single" w:color="auto" w:sz="12" w:space="0"/>
              <w:left w:val="nil"/>
              <w:bottom w:val="single" w:color="auto" w:sz="6" w:space="0"/>
              <w:right w:val="nil"/>
            </w:tcBorders>
            <w:vAlign w:val="center"/>
          </w:tcPr>
          <w:p w14:paraId="2840F4F9">
            <w:pPr>
              <w:spacing w:line="480" w:lineRule="auto"/>
              <w:ind w:firstLine="0" w:firstLineChars="0"/>
              <w:jc w:val="left"/>
              <w:rPr>
                <w:rFonts w:eastAsia="Times New Roman" w:cs="Times New Roman"/>
                <w:kern w:val="0"/>
                <w:sz w:val="21"/>
                <w:szCs w:val="21"/>
              </w:rPr>
            </w:pPr>
            <w:r>
              <w:rPr>
                <w:rFonts w:eastAsia="Times New Roman" w:cs="Times New Roman"/>
                <w:kern w:val="0"/>
                <w:sz w:val="21"/>
                <w:szCs w:val="21"/>
              </w:rPr>
              <w:t>Reservoir Locations</w:t>
            </w:r>
          </w:p>
        </w:tc>
        <w:tc>
          <w:tcPr>
            <w:tcW w:w="807" w:type="pct"/>
            <w:tcBorders>
              <w:top w:val="single" w:color="auto" w:sz="12" w:space="0"/>
              <w:left w:val="nil"/>
              <w:bottom w:val="single" w:color="auto" w:sz="6" w:space="0"/>
              <w:right w:val="nil"/>
            </w:tcBorders>
            <w:vAlign w:val="center"/>
          </w:tcPr>
          <w:p w14:paraId="5F02CA06">
            <w:pPr>
              <w:spacing w:line="480" w:lineRule="auto"/>
              <w:ind w:firstLine="0" w:firstLineChars="0"/>
              <w:jc w:val="center"/>
              <w:rPr>
                <w:rFonts w:hint="eastAsia" w:eastAsia="宋体" w:cs="Times New Roman"/>
                <w:kern w:val="0"/>
                <w:sz w:val="21"/>
                <w:szCs w:val="21"/>
                <w:lang w:eastAsia="zh-CN"/>
              </w:rPr>
            </w:pPr>
            <w:r>
              <w:rPr>
                <w:rFonts w:eastAsia="Times New Roman" w:cs="Times New Roman"/>
                <w:kern w:val="0"/>
                <w:sz w:val="21"/>
                <w:szCs w:val="21"/>
              </w:rPr>
              <w:t>Latitude</w:t>
            </w:r>
            <w:r>
              <w:rPr>
                <w:rFonts w:hint="eastAsia" w:cs="Times New Roman"/>
                <w:kern w:val="0"/>
                <w:sz w:val="21"/>
                <w:szCs w:val="21"/>
                <w:lang w:eastAsia="zh-CN"/>
              </w:rPr>
              <w:t>(</w:t>
            </w:r>
            <w:r>
              <w:rPr>
                <w:rFonts w:eastAsia="Times New Roman" w:cs="Times New Roman"/>
                <w:kern w:val="0"/>
                <w:sz w:val="21"/>
                <w:szCs w:val="21"/>
              </w:rPr>
              <w:t>°N</w:t>
            </w:r>
            <w:r>
              <w:rPr>
                <w:rFonts w:hint="eastAsia" w:cs="Times New Roman"/>
                <w:kern w:val="0"/>
                <w:sz w:val="21"/>
                <w:szCs w:val="21"/>
                <w:lang w:eastAsia="zh-CN"/>
              </w:rPr>
              <w:t>)</w:t>
            </w:r>
          </w:p>
        </w:tc>
        <w:tc>
          <w:tcPr>
            <w:tcW w:w="584" w:type="pct"/>
            <w:tcBorders>
              <w:top w:val="single" w:color="auto" w:sz="12" w:space="0"/>
              <w:left w:val="nil"/>
              <w:bottom w:val="single" w:color="auto" w:sz="6" w:space="0"/>
              <w:right w:val="nil"/>
            </w:tcBorders>
            <w:vAlign w:val="center"/>
          </w:tcPr>
          <w:p w14:paraId="090D32A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Long</w:t>
            </w:r>
            <w:r>
              <w:rPr>
                <w:rFonts w:hint="eastAsia" w:cs="Times New Roman"/>
                <w:kern w:val="0"/>
                <w:sz w:val="21"/>
                <w:szCs w:val="21"/>
                <w:lang w:val="en-US" w:eastAsia="zh-CN"/>
              </w:rPr>
              <w:t>i</w:t>
            </w:r>
            <w:r>
              <w:rPr>
                <w:rFonts w:eastAsia="Times New Roman" w:cs="Times New Roman"/>
                <w:kern w:val="0"/>
                <w:sz w:val="21"/>
                <w:szCs w:val="21"/>
              </w:rPr>
              <w:t>tude</w:t>
            </w:r>
          </w:p>
          <w:p w14:paraId="5A5D0EC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(°E)</w:t>
            </w:r>
          </w:p>
        </w:tc>
        <w:tc>
          <w:tcPr>
            <w:tcW w:w="805" w:type="pct"/>
            <w:tcBorders>
              <w:top w:val="single" w:color="auto" w:sz="12" w:space="0"/>
              <w:left w:val="nil"/>
              <w:bottom w:val="single" w:color="auto" w:sz="6" w:space="0"/>
              <w:right w:val="nil"/>
            </w:tcBorders>
            <w:vAlign w:val="center"/>
          </w:tcPr>
          <w:p w14:paraId="3F0CC78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Storage capacity(10</w:t>
            </w:r>
            <w:r>
              <w:rPr>
                <w:rFonts w:eastAsia="Times New Roman" w:cs="Times New Roman"/>
                <w:kern w:val="0"/>
                <w:sz w:val="21"/>
                <w:szCs w:val="21"/>
                <w:vertAlign w:val="superscript"/>
              </w:rPr>
              <w:t>8</w:t>
            </w:r>
            <w:r>
              <w:rPr>
                <w:rFonts w:eastAsia="Times New Roman" w:cs="Times New Roman"/>
                <w:kern w:val="0"/>
                <w:sz w:val="21"/>
                <w:szCs w:val="21"/>
              </w:rPr>
              <w:t>m</w:t>
            </w:r>
            <w:r>
              <w:rPr>
                <w:rFonts w:eastAsia="Times New Roman" w:cs="Times New Roman"/>
                <w:kern w:val="0"/>
                <w:sz w:val="21"/>
                <w:szCs w:val="21"/>
                <w:vertAlign w:val="superscript"/>
              </w:rPr>
              <w:t>3</w:t>
            </w:r>
            <w:r>
              <w:rPr>
                <w:rFonts w:eastAsia="Times New Roman" w:cs="Times New Roman"/>
                <w:kern w:val="0"/>
                <w:sz w:val="21"/>
                <w:szCs w:val="21"/>
              </w:rPr>
              <w:t>)</w:t>
            </w:r>
          </w:p>
        </w:tc>
        <w:tc>
          <w:tcPr>
            <w:tcW w:w="723" w:type="pct"/>
            <w:tcBorders>
              <w:top w:val="single" w:color="auto" w:sz="12" w:space="0"/>
              <w:left w:val="nil"/>
              <w:bottom w:val="single" w:color="auto" w:sz="6" w:space="0"/>
              <w:right w:val="nil"/>
            </w:tcBorders>
            <w:vAlign w:val="center"/>
          </w:tcPr>
          <w:p w14:paraId="684F5AB6">
            <w:pPr>
              <w:spacing w:line="480" w:lineRule="auto"/>
              <w:ind w:firstLine="0" w:firstLineChars="0"/>
              <w:jc w:val="center"/>
              <w:rPr>
                <w:rFonts w:hint="eastAsia" w:eastAsia="宋体" w:cs="Times New Roman"/>
                <w:kern w:val="0"/>
                <w:sz w:val="21"/>
                <w:szCs w:val="21"/>
                <w:lang w:eastAsia="zh-CN"/>
              </w:rPr>
            </w:pPr>
            <w:r>
              <w:rPr>
                <w:rFonts w:eastAsia="Times New Roman" w:cs="Times New Roman"/>
                <w:kern w:val="0"/>
                <w:sz w:val="21"/>
                <w:szCs w:val="21"/>
              </w:rPr>
              <w:t>Reservoir age</w:t>
            </w:r>
            <w:r>
              <w:rPr>
                <w:rFonts w:hint="eastAsia" w:cs="Times New Roman"/>
                <w:kern w:val="0"/>
                <w:sz w:val="21"/>
                <w:szCs w:val="21"/>
                <w:lang w:eastAsia="zh-CN"/>
              </w:rPr>
              <w:t>(</w:t>
            </w:r>
            <w:r>
              <w:rPr>
                <w:rFonts w:eastAsia="Times New Roman" w:cs="Times New Roman"/>
                <w:kern w:val="0"/>
                <w:sz w:val="21"/>
                <w:szCs w:val="21"/>
              </w:rPr>
              <w:t>year</w:t>
            </w:r>
            <w:r>
              <w:rPr>
                <w:rFonts w:hint="eastAsia" w:cs="Times New Roman"/>
                <w:kern w:val="0"/>
                <w:sz w:val="21"/>
                <w:szCs w:val="21"/>
                <w:lang w:eastAsia="zh-CN"/>
              </w:rPr>
              <w:t>)</w:t>
            </w:r>
          </w:p>
        </w:tc>
        <w:tc>
          <w:tcPr>
            <w:tcW w:w="1144" w:type="pct"/>
            <w:tcBorders>
              <w:top w:val="single" w:color="auto" w:sz="12" w:space="0"/>
              <w:left w:val="nil"/>
              <w:bottom w:val="single" w:color="auto" w:sz="6" w:space="0"/>
              <w:right w:val="nil"/>
            </w:tcBorders>
            <w:vAlign w:val="center"/>
          </w:tcPr>
          <w:p w14:paraId="4757DBB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Trophic level</w:t>
            </w:r>
          </w:p>
        </w:tc>
      </w:tr>
      <w:tr w14:paraId="6DC639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937" w:type="pct"/>
            <w:tcBorders>
              <w:top w:val="single" w:color="auto" w:sz="6" w:space="0"/>
              <w:left w:val="nil"/>
              <w:bottom w:val="nil"/>
              <w:right w:val="nil"/>
            </w:tcBorders>
            <w:shd w:val="clear" w:color="auto" w:fill="FFFFFF"/>
            <w:vAlign w:val="center"/>
          </w:tcPr>
          <w:p w14:paraId="1E570D07">
            <w:pPr>
              <w:spacing w:line="480" w:lineRule="auto"/>
              <w:ind w:firstLine="0" w:firstLineChars="0"/>
              <w:jc w:val="left"/>
              <w:rPr>
                <w:rFonts w:eastAsia="Times New Roman" w:cs="Times New Roman"/>
                <w:kern w:val="0"/>
                <w:sz w:val="21"/>
                <w:szCs w:val="21"/>
              </w:rPr>
            </w:pPr>
            <w:r>
              <w:rPr>
                <w:rFonts w:eastAsia="Times New Roman" w:cs="Times New Roman"/>
                <w:kern w:val="0"/>
                <w:sz w:val="21"/>
                <w:szCs w:val="21"/>
              </w:rPr>
              <w:t>Qiyi(QY)</w:t>
            </w:r>
          </w:p>
        </w:tc>
        <w:tc>
          <w:tcPr>
            <w:tcW w:w="807" w:type="pct"/>
            <w:tcBorders>
              <w:top w:val="single" w:color="auto" w:sz="6" w:space="0"/>
              <w:left w:val="nil"/>
              <w:bottom w:val="nil"/>
              <w:right w:val="nil"/>
            </w:tcBorders>
            <w:shd w:val="clear" w:color="auto" w:fill="FFFFFF"/>
            <w:vAlign w:val="center"/>
          </w:tcPr>
          <w:p w14:paraId="0C9B77C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28.83 </w:t>
            </w:r>
          </w:p>
        </w:tc>
        <w:tc>
          <w:tcPr>
            <w:tcW w:w="584" w:type="pct"/>
            <w:tcBorders>
              <w:top w:val="single" w:color="auto" w:sz="6" w:space="0"/>
              <w:left w:val="nil"/>
              <w:bottom w:val="nil"/>
              <w:right w:val="nil"/>
            </w:tcBorders>
            <w:shd w:val="clear" w:color="auto" w:fill="FFFFFF"/>
            <w:vAlign w:val="center"/>
          </w:tcPr>
          <w:p w14:paraId="434DA8B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118.27 </w:t>
            </w:r>
          </w:p>
        </w:tc>
        <w:tc>
          <w:tcPr>
            <w:tcW w:w="805" w:type="pct"/>
            <w:tcBorders>
              <w:top w:val="single" w:color="auto" w:sz="6" w:space="0"/>
              <w:left w:val="nil"/>
              <w:bottom w:val="nil"/>
              <w:right w:val="nil"/>
            </w:tcBorders>
            <w:shd w:val="clear" w:color="auto" w:fill="FFFFFF"/>
            <w:vAlign w:val="center"/>
          </w:tcPr>
          <w:p w14:paraId="154D3AA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1.15</w:t>
            </w:r>
          </w:p>
        </w:tc>
        <w:tc>
          <w:tcPr>
            <w:tcW w:w="723" w:type="pct"/>
            <w:tcBorders>
              <w:top w:val="single" w:color="auto" w:sz="6" w:space="0"/>
              <w:left w:val="nil"/>
              <w:bottom w:val="nil"/>
              <w:right w:val="nil"/>
            </w:tcBorders>
            <w:shd w:val="clear" w:color="auto" w:fill="FFFFFF"/>
            <w:vAlign w:val="center"/>
          </w:tcPr>
          <w:p w14:paraId="4ED02D4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65</w:t>
            </w:r>
          </w:p>
        </w:tc>
        <w:tc>
          <w:tcPr>
            <w:tcW w:w="1144" w:type="pct"/>
            <w:tcBorders>
              <w:top w:val="single" w:color="auto" w:sz="6" w:space="0"/>
              <w:left w:val="nil"/>
              <w:bottom w:val="nil"/>
              <w:right w:val="nil"/>
            </w:tcBorders>
            <w:shd w:val="clear" w:color="auto" w:fill="FFFFFF"/>
            <w:vAlign w:val="center"/>
          </w:tcPr>
          <w:p w14:paraId="2364D18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oligotrophic</w:t>
            </w:r>
          </w:p>
        </w:tc>
      </w:tr>
      <w:tr w14:paraId="31DD22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937" w:type="pct"/>
            <w:tcBorders>
              <w:top w:val="nil"/>
              <w:left w:val="nil"/>
              <w:bottom w:val="nil"/>
              <w:right w:val="nil"/>
            </w:tcBorders>
            <w:shd w:val="clear" w:color="auto" w:fill="FFFFFF"/>
            <w:vAlign w:val="center"/>
          </w:tcPr>
          <w:p w14:paraId="688E271B">
            <w:pPr>
              <w:spacing w:line="480" w:lineRule="auto"/>
              <w:ind w:firstLine="0" w:firstLineChars="0"/>
              <w:jc w:val="left"/>
              <w:rPr>
                <w:rFonts w:eastAsia="Times New Roman" w:cs="Times New Roman"/>
                <w:kern w:val="0"/>
                <w:sz w:val="21"/>
                <w:szCs w:val="21"/>
              </w:rPr>
            </w:pPr>
            <w:r>
              <w:rPr>
                <w:rFonts w:eastAsia="Times New Roman" w:cs="Times New Roman"/>
                <w:kern w:val="0"/>
                <w:sz w:val="21"/>
                <w:szCs w:val="21"/>
              </w:rPr>
              <w:t>Zipingpu(ZPP)</w:t>
            </w:r>
          </w:p>
        </w:tc>
        <w:tc>
          <w:tcPr>
            <w:tcW w:w="807" w:type="pct"/>
            <w:tcBorders>
              <w:top w:val="nil"/>
              <w:left w:val="nil"/>
              <w:bottom w:val="nil"/>
              <w:right w:val="nil"/>
            </w:tcBorders>
            <w:shd w:val="clear" w:color="auto" w:fill="FFFFFF"/>
            <w:vAlign w:val="center"/>
          </w:tcPr>
          <w:p w14:paraId="307F2A2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31.03 </w:t>
            </w:r>
          </w:p>
        </w:tc>
        <w:tc>
          <w:tcPr>
            <w:tcW w:w="584" w:type="pct"/>
            <w:tcBorders>
              <w:top w:val="nil"/>
              <w:left w:val="nil"/>
              <w:bottom w:val="nil"/>
              <w:right w:val="nil"/>
            </w:tcBorders>
            <w:shd w:val="clear" w:color="auto" w:fill="FFFFFF"/>
            <w:vAlign w:val="center"/>
          </w:tcPr>
          <w:p w14:paraId="197FD60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103.56 </w:t>
            </w:r>
          </w:p>
        </w:tc>
        <w:tc>
          <w:tcPr>
            <w:tcW w:w="805" w:type="pct"/>
            <w:tcBorders>
              <w:top w:val="nil"/>
              <w:left w:val="nil"/>
              <w:bottom w:val="nil"/>
              <w:right w:val="nil"/>
            </w:tcBorders>
            <w:shd w:val="clear" w:color="auto" w:fill="FFFFFF"/>
            <w:vAlign w:val="center"/>
          </w:tcPr>
          <w:p w14:paraId="5841D00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11.12</w:t>
            </w:r>
          </w:p>
        </w:tc>
        <w:tc>
          <w:tcPr>
            <w:tcW w:w="723" w:type="pct"/>
            <w:tcBorders>
              <w:top w:val="nil"/>
              <w:left w:val="nil"/>
              <w:bottom w:val="nil"/>
              <w:right w:val="nil"/>
            </w:tcBorders>
            <w:shd w:val="clear" w:color="auto" w:fill="FFFFFF"/>
            <w:vAlign w:val="center"/>
          </w:tcPr>
          <w:p w14:paraId="6FD6C3C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w:t>
            </w:r>
          </w:p>
        </w:tc>
        <w:tc>
          <w:tcPr>
            <w:tcW w:w="1144" w:type="pct"/>
            <w:tcBorders>
              <w:top w:val="nil"/>
              <w:left w:val="nil"/>
              <w:bottom w:val="nil"/>
              <w:right w:val="nil"/>
            </w:tcBorders>
            <w:shd w:val="clear" w:color="auto" w:fill="FFFFFF"/>
            <w:vAlign w:val="center"/>
          </w:tcPr>
          <w:p w14:paraId="1D21B9A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oligotrophic</w:t>
            </w:r>
          </w:p>
        </w:tc>
      </w:tr>
      <w:tr w14:paraId="4ED216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937" w:type="pct"/>
            <w:tcBorders>
              <w:top w:val="nil"/>
              <w:left w:val="nil"/>
              <w:bottom w:val="nil"/>
              <w:right w:val="nil"/>
            </w:tcBorders>
            <w:vAlign w:val="center"/>
          </w:tcPr>
          <w:p w14:paraId="0B929CD9">
            <w:pPr>
              <w:spacing w:line="480" w:lineRule="auto"/>
              <w:ind w:firstLine="0" w:firstLineChars="0"/>
              <w:jc w:val="left"/>
              <w:rPr>
                <w:rFonts w:eastAsia="Times New Roman" w:cs="Times New Roman"/>
                <w:kern w:val="0"/>
                <w:sz w:val="21"/>
                <w:szCs w:val="21"/>
              </w:rPr>
            </w:pPr>
            <w:r>
              <w:rPr>
                <w:rFonts w:eastAsia="Times New Roman" w:cs="Times New Roman"/>
                <w:kern w:val="0"/>
                <w:sz w:val="21"/>
                <w:szCs w:val="21"/>
              </w:rPr>
              <w:t>Zhanghe(ZH)</w:t>
            </w:r>
          </w:p>
        </w:tc>
        <w:tc>
          <w:tcPr>
            <w:tcW w:w="807" w:type="pct"/>
            <w:tcBorders>
              <w:top w:val="nil"/>
              <w:left w:val="nil"/>
              <w:bottom w:val="nil"/>
              <w:right w:val="nil"/>
            </w:tcBorders>
            <w:vAlign w:val="center"/>
          </w:tcPr>
          <w:p w14:paraId="1297D8C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30.99 </w:t>
            </w:r>
          </w:p>
        </w:tc>
        <w:tc>
          <w:tcPr>
            <w:tcW w:w="584" w:type="pct"/>
            <w:tcBorders>
              <w:top w:val="nil"/>
              <w:left w:val="nil"/>
              <w:bottom w:val="nil"/>
              <w:right w:val="nil"/>
            </w:tcBorders>
            <w:vAlign w:val="center"/>
          </w:tcPr>
          <w:p w14:paraId="6663D04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112.04 </w:t>
            </w:r>
          </w:p>
        </w:tc>
        <w:tc>
          <w:tcPr>
            <w:tcW w:w="805" w:type="pct"/>
            <w:tcBorders>
              <w:top w:val="nil"/>
              <w:left w:val="nil"/>
              <w:bottom w:val="nil"/>
              <w:right w:val="nil"/>
            </w:tcBorders>
            <w:vAlign w:val="center"/>
          </w:tcPr>
          <w:p w14:paraId="1E3A6EB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20.35</w:t>
            </w:r>
          </w:p>
        </w:tc>
        <w:tc>
          <w:tcPr>
            <w:tcW w:w="723" w:type="pct"/>
            <w:tcBorders>
              <w:top w:val="nil"/>
              <w:left w:val="nil"/>
              <w:bottom w:val="nil"/>
              <w:right w:val="nil"/>
            </w:tcBorders>
            <w:vAlign w:val="center"/>
          </w:tcPr>
          <w:p w14:paraId="42B729E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59</w:t>
            </w:r>
          </w:p>
        </w:tc>
        <w:tc>
          <w:tcPr>
            <w:tcW w:w="1144" w:type="pct"/>
            <w:tcBorders>
              <w:top w:val="nil"/>
              <w:left w:val="nil"/>
              <w:bottom w:val="nil"/>
              <w:right w:val="nil"/>
            </w:tcBorders>
            <w:vAlign w:val="center"/>
          </w:tcPr>
          <w:p w14:paraId="07CFED5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oligotrophic</w:t>
            </w:r>
          </w:p>
        </w:tc>
      </w:tr>
      <w:tr w14:paraId="44C7FA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937" w:type="pct"/>
            <w:tcBorders>
              <w:top w:val="nil"/>
              <w:left w:val="nil"/>
              <w:bottom w:val="nil"/>
              <w:right w:val="nil"/>
            </w:tcBorders>
            <w:vAlign w:val="center"/>
          </w:tcPr>
          <w:p w14:paraId="6CB7EC2C">
            <w:pPr>
              <w:spacing w:line="480" w:lineRule="auto"/>
              <w:ind w:firstLine="0" w:firstLineChars="0"/>
              <w:jc w:val="left"/>
              <w:rPr>
                <w:rFonts w:eastAsia="Times New Roman" w:cs="Times New Roman"/>
                <w:kern w:val="0"/>
                <w:sz w:val="21"/>
                <w:szCs w:val="21"/>
              </w:rPr>
            </w:pPr>
            <w:r>
              <w:rPr>
                <w:rFonts w:eastAsia="Times New Roman" w:cs="Times New Roman"/>
                <w:kern w:val="0"/>
                <w:sz w:val="21"/>
                <w:szCs w:val="21"/>
              </w:rPr>
              <w:t>Hulukou(HLK)</w:t>
            </w:r>
          </w:p>
        </w:tc>
        <w:tc>
          <w:tcPr>
            <w:tcW w:w="807" w:type="pct"/>
            <w:tcBorders>
              <w:top w:val="nil"/>
              <w:left w:val="nil"/>
              <w:bottom w:val="nil"/>
              <w:right w:val="nil"/>
            </w:tcBorders>
            <w:vAlign w:val="center"/>
          </w:tcPr>
          <w:p w14:paraId="66EC42B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29.61 </w:t>
            </w:r>
          </w:p>
        </w:tc>
        <w:tc>
          <w:tcPr>
            <w:tcW w:w="584" w:type="pct"/>
            <w:tcBorders>
              <w:top w:val="nil"/>
              <w:left w:val="nil"/>
              <w:bottom w:val="nil"/>
              <w:right w:val="nil"/>
            </w:tcBorders>
            <w:vAlign w:val="center"/>
          </w:tcPr>
          <w:p w14:paraId="10C8C56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104.62 </w:t>
            </w:r>
          </w:p>
        </w:tc>
        <w:tc>
          <w:tcPr>
            <w:tcW w:w="805" w:type="pct"/>
            <w:tcBorders>
              <w:top w:val="nil"/>
              <w:left w:val="nil"/>
              <w:bottom w:val="nil"/>
              <w:right w:val="nil"/>
            </w:tcBorders>
            <w:vAlign w:val="center"/>
          </w:tcPr>
          <w:p w14:paraId="014975C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0.32</w:t>
            </w:r>
          </w:p>
        </w:tc>
        <w:tc>
          <w:tcPr>
            <w:tcW w:w="723" w:type="pct"/>
            <w:tcBorders>
              <w:top w:val="nil"/>
              <w:left w:val="nil"/>
              <w:bottom w:val="nil"/>
              <w:right w:val="nil"/>
            </w:tcBorders>
            <w:vAlign w:val="center"/>
          </w:tcPr>
          <w:p w14:paraId="7A38351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46</w:t>
            </w:r>
          </w:p>
        </w:tc>
        <w:tc>
          <w:tcPr>
            <w:tcW w:w="1144" w:type="pct"/>
            <w:tcBorders>
              <w:top w:val="nil"/>
              <w:left w:val="nil"/>
              <w:bottom w:val="nil"/>
              <w:right w:val="nil"/>
            </w:tcBorders>
            <w:vAlign w:val="center"/>
          </w:tcPr>
          <w:p w14:paraId="5958F55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mesotrophic</w:t>
            </w:r>
          </w:p>
        </w:tc>
      </w:tr>
      <w:tr w14:paraId="1957DF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937" w:type="pct"/>
            <w:tcBorders>
              <w:top w:val="nil"/>
              <w:left w:val="nil"/>
              <w:bottom w:val="nil"/>
              <w:right w:val="nil"/>
            </w:tcBorders>
            <w:vAlign w:val="center"/>
          </w:tcPr>
          <w:p w14:paraId="46E28ED7">
            <w:pPr>
              <w:spacing w:line="480" w:lineRule="auto"/>
              <w:ind w:firstLine="0" w:firstLineChars="0"/>
              <w:jc w:val="left"/>
              <w:rPr>
                <w:rFonts w:eastAsia="Times New Roman" w:cs="Times New Roman"/>
                <w:kern w:val="0"/>
                <w:sz w:val="21"/>
                <w:szCs w:val="21"/>
              </w:rPr>
            </w:pPr>
            <w:r>
              <w:rPr>
                <w:rFonts w:eastAsia="Times New Roman" w:cs="Times New Roman"/>
                <w:kern w:val="0"/>
                <w:sz w:val="21"/>
                <w:szCs w:val="21"/>
              </w:rPr>
              <w:t>Zhelin(ZL)</w:t>
            </w:r>
          </w:p>
        </w:tc>
        <w:tc>
          <w:tcPr>
            <w:tcW w:w="807" w:type="pct"/>
            <w:tcBorders>
              <w:top w:val="nil"/>
              <w:left w:val="nil"/>
              <w:bottom w:val="nil"/>
              <w:right w:val="nil"/>
            </w:tcBorders>
            <w:vAlign w:val="center"/>
          </w:tcPr>
          <w:p w14:paraId="7C8EB5B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29.28 </w:t>
            </w:r>
          </w:p>
        </w:tc>
        <w:tc>
          <w:tcPr>
            <w:tcW w:w="584" w:type="pct"/>
            <w:tcBorders>
              <w:top w:val="nil"/>
              <w:left w:val="nil"/>
              <w:bottom w:val="nil"/>
              <w:right w:val="nil"/>
            </w:tcBorders>
            <w:vAlign w:val="center"/>
          </w:tcPr>
          <w:p w14:paraId="09DEA8C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115.27 </w:t>
            </w:r>
          </w:p>
        </w:tc>
        <w:tc>
          <w:tcPr>
            <w:tcW w:w="805" w:type="pct"/>
            <w:tcBorders>
              <w:top w:val="nil"/>
              <w:left w:val="nil"/>
              <w:bottom w:val="nil"/>
              <w:right w:val="nil"/>
            </w:tcBorders>
            <w:vAlign w:val="center"/>
          </w:tcPr>
          <w:p w14:paraId="3DFE2FE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79.2</w:t>
            </w:r>
          </w:p>
        </w:tc>
        <w:tc>
          <w:tcPr>
            <w:tcW w:w="723" w:type="pct"/>
            <w:tcBorders>
              <w:top w:val="nil"/>
              <w:left w:val="nil"/>
              <w:bottom w:val="nil"/>
              <w:right w:val="nil"/>
            </w:tcBorders>
            <w:vAlign w:val="center"/>
          </w:tcPr>
          <w:p w14:paraId="5B80F86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52</w:t>
            </w:r>
          </w:p>
        </w:tc>
        <w:tc>
          <w:tcPr>
            <w:tcW w:w="1144" w:type="pct"/>
            <w:tcBorders>
              <w:top w:val="nil"/>
              <w:left w:val="nil"/>
              <w:bottom w:val="nil"/>
              <w:right w:val="nil"/>
            </w:tcBorders>
            <w:vAlign w:val="center"/>
          </w:tcPr>
          <w:p w14:paraId="7DC568F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mesotrophic</w:t>
            </w:r>
          </w:p>
        </w:tc>
      </w:tr>
      <w:tr w14:paraId="5538D1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937" w:type="pct"/>
            <w:tcBorders>
              <w:top w:val="nil"/>
              <w:left w:val="nil"/>
              <w:bottom w:val="nil"/>
              <w:right w:val="nil"/>
            </w:tcBorders>
            <w:vAlign w:val="center"/>
          </w:tcPr>
          <w:p w14:paraId="5B1BDA09">
            <w:pPr>
              <w:spacing w:line="480" w:lineRule="auto"/>
              <w:ind w:firstLine="0" w:firstLineChars="0"/>
              <w:jc w:val="left"/>
              <w:rPr>
                <w:rFonts w:eastAsia="Times New Roman" w:cs="Times New Roman"/>
                <w:kern w:val="0"/>
                <w:sz w:val="21"/>
                <w:szCs w:val="21"/>
              </w:rPr>
            </w:pPr>
            <w:r>
              <w:rPr>
                <w:rFonts w:eastAsia="Times New Roman" w:cs="Times New Roman"/>
                <w:kern w:val="0"/>
                <w:sz w:val="21"/>
                <w:szCs w:val="21"/>
              </w:rPr>
              <w:t>Danjiangkou(DJK)</w:t>
            </w:r>
          </w:p>
        </w:tc>
        <w:tc>
          <w:tcPr>
            <w:tcW w:w="807" w:type="pct"/>
            <w:tcBorders>
              <w:top w:val="nil"/>
              <w:left w:val="nil"/>
              <w:bottom w:val="nil"/>
              <w:right w:val="nil"/>
            </w:tcBorders>
            <w:vAlign w:val="center"/>
          </w:tcPr>
          <w:p w14:paraId="568871E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32.53 </w:t>
            </w:r>
          </w:p>
        </w:tc>
        <w:tc>
          <w:tcPr>
            <w:tcW w:w="584" w:type="pct"/>
            <w:tcBorders>
              <w:top w:val="nil"/>
              <w:left w:val="nil"/>
              <w:bottom w:val="nil"/>
              <w:right w:val="nil"/>
            </w:tcBorders>
            <w:vAlign w:val="center"/>
          </w:tcPr>
          <w:p w14:paraId="4B873EB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111.14 </w:t>
            </w:r>
          </w:p>
        </w:tc>
        <w:tc>
          <w:tcPr>
            <w:tcW w:w="805" w:type="pct"/>
            <w:tcBorders>
              <w:top w:val="nil"/>
              <w:left w:val="nil"/>
              <w:bottom w:val="nil"/>
              <w:right w:val="nil"/>
            </w:tcBorders>
            <w:vAlign w:val="center"/>
          </w:tcPr>
          <w:p w14:paraId="1E7E572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290.5</w:t>
            </w:r>
          </w:p>
        </w:tc>
        <w:tc>
          <w:tcPr>
            <w:tcW w:w="723" w:type="pct"/>
            <w:tcBorders>
              <w:top w:val="nil"/>
              <w:left w:val="nil"/>
              <w:bottom w:val="nil"/>
              <w:right w:val="nil"/>
            </w:tcBorders>
            <w:vAlign w:val="center"/>
          </w:tcPr>
          <w:p w14:paraId="6FE2A7D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11</w:t>
            </w:r>
          </w:p>
        </w:tc>
        <w:tc>
          <w:tcPr>
            <w:tcW w:w="1144" w:type="pct"/>
            <w:tcBorders>
              <w:top w:val="nil"/>
              <w:left w:val="nil"/>
              <w:bottom w:val="nil"/>
              <w:right w:val="nil"/>
            </w:tcBorders>
            <w:vAlign w:val="center"/>
          </w:tcPr>
          <w:p w14:paraId="654CFAA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mesotrophic</w:t>
            </w:r>
          </w:p>
        </w:tc>
      </w:tr>
      <w:tr w14:paraId="114960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1" w:hRule="exact"/>
        </w:trPr>
        <w:tc>
          <w:tcPr>
            <w:tcW w:w="937" w:type="pct"/>
            <w:tcBorders>
              <w:top w:val="nil"/>
              <w:left w:val="nil"/>
              <w:bottom w:val="nil"/>
              <w:right w:val="nil"/>
            </w:tcBorders>
            <w:vAlign w:val="center"/>
          </w:tcPr>
          <w:p w14:paraId="7FB9C221">
            <w:pPr>
              <w:spacing w:line="480" w:lineRule="auto"/>
              <w:ind w:firstLine="0" w:firstLineChars="0"/>
              <w:jc w:val="left"/>
              <w:rPr>
                <w:rFonts w:eastAsia="Times New Roman" w:cs="Times New Roman"/>
                <w:kern w:val="0"/>
                <w:sz w:val="21"/>
                <w:szCs w:val="21"/>
              </w:rPr>
            </w:pPr>
            <w:r>
              <w:rPr>
                <w:rFonts w:eastAsia="Times New Roman" w:cs="Times New Roman"/>
                <w:kern w:val="0"/>
                <w:sz w:val="21"/>
                <w:szCs w:val="21"/>
              </w:rPr>
              <w:t>Shahe(SH)</w:t>
            </w:r>
          </w:p>
        </w:tc>
        <w:tc>
          <w:tcPr>
            <w:tcW w:w="807" w:type="pct"/>
            <w:tcBorders>
              <w:top w:val="nil"/>
              <w:left w:val="nil"/>
              <w:bottom w:val="nil"/>
              <w:right w:val="nil"/>
            </w:tcBorders>
            <w:vAlign w:val="center"/>
          </w:tcPr>
          <w:p w14:paraId="1459725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31.30 </w:t>
            </w:r>
          </w:p>
        </w:tc>
        <w:tc>
          <w:tcPr>
            <w:tcW w:w="584" w:type="pct"/>
            <w:tcBorders>
              <w:top w:val="nil"/>
              <w:left w:val="nil"/>
              <w:bottom w:val="nil"/>
              <w:right w:val="nil"/>
            </w:tcBorders>
            <w:vAlign w:val="center"/>
          </w:tcPr>
          <w:p w14:paraId="46841AF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119.43 </w:t>
            </w:r>
          </w:p>
        </w:tc>
        <w:tc>
          <w:tcPr>
            <w:tcW w:w="805" w:type="pct"/>
            <w:tcBorders>
              <w:top w:val="nil"/>
              <w:left w:val="nil"/>
              <w:bottom w:val="nil"/>
              <w:right w:val="nil"/>
            </w:tcBorders>
            <w:vAlign w:val="center"/>
          </w:tcPr>
          <w:p w14:paraId="550A774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0.56</w:t>
            </w:r>
          </w:p>
        </w:tc>
        <w:tc>
          <w:tcPr>
            <w:tcW w:w="723" w:type="pct"/>
            <w:tcBorders>
              <w:top w:val="nil"/>
              <w:left w:val="nil"/>
              <w:bottom w:val="nil"/>
              <w:right w:val="nil"/>
            </w:tcBorders>
            <w:vAlign w:val="center"/>
          </w:tcPr>
          <w:p w14:paraId="0D8DBB1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64</w:t>
            </w:r>
          </w:p>
        </w:tc>
        <w:tc>
          <w:tcPr>
            <w:tcW w:w="1144" w:type="pct"/>
            <w:tcBorders>
              <w:top w:val="nil"/>
              <w:left w:val="nil"/>
              <w:bottom w:val="nil"/>
              <w:right w:val="nil"/>
            </w:tcBorders>
            <w:vAlign w:val="center"/>
          </w:tcPr>
          <w:p w14:paraId="114EA62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Lightly eutrophic</w:t>
            </w:r>
          </w:p>
        </w:tc>
      </w:tr>
      <w:tr w14:paraId="036DC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937" w:type="pct"/>
            <w:tcBorders>
              <w:top w:val="nil"/>
              <w:left w:val="nil"/>
              <w:bottom w:val="nil"/>
              <w:right w:val="nil"/>
            </w:tcBorders>
            <w:vAlign w:val="center"/>
          </w:tcPr>
          <w:p w14:paraId="46F7389A">
            <w:pPr>
              <w:spacing w:line="480" w:lineRule="auto"/>
              <w:ind w:firstLine="0" w:firstLineChars="0"/>
              <w:jc w:val="left"/>
              <w:rPr>
                <w:rFonts w:eastAsia="Times New Roman" w:cs="Times New Roman"/>
                <w:kern w:val="0"/>
                <w:sz w:val="21"/>
                <w:szCs w:val="21"/>
              </w:rPr>
            </w:pPr>
            <w:r>
              <w:rPr>
                <w:rFonts w:eastAsia="Times New Roman" w:cs="Times New Roman"/>
                <w:kern w:val="0"/>
                <w:sz w:val="21"/>
                <w:szCs w:val="21"/>
              </w:rPr>
              <w:t>Baihua(BH)</w:t>
            </w:r>
          </w:p>
        </w:tc>
        <w:tc>
          <w:tcPr>
            <w:tcW w:w="807" w:type="pct"/>
            <w:tcBorders>
              <w:top w:val="nil"/>
              <w:left w:val="nil"/>
              <w:bottom w:val="nil"/>
              <w:right w:val="nil"/>
            </w:tcBorders>
            <w:vAlign w:val="center"/>
          </w:tcPr>
          <w:p w14:paraId="1543504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26.67 </w:t>
            </w:r>
          </w:p>
        </w:tc>
        <w:tc>
          <w:tcPr>
            <w:tcW w:w="584" w:type="pct"/>
            <w:tcBorders>
              <w:top w:val="nil"/>
              <w:left w:val="nil"/>
              <w:bottom w:val="nil"/>
              <w:right w:val="nil"/>
            </w:tcBorders>
            <w:vAlign w:val="center"/>
          </w:tcPr>
          <w:p w14:paraId="526B6F9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106.54 </w:t>
            </w:r>
          </w:p>
        </w:tc>
        <w:tc>
          <w:tcPr>
            <w:tcW w:w="805" w:type="pct"/>
            <w:tcBorders>
              <w:top w:val="nil"/>
              <w:left w:val="nil"/>
              <w:bottom w:val="nil"/>
              <w:right w:val="nil"/>
            </w:tcBorders>
            <w:vAlign w:val="center"/>
          </w:tcPr>
          <w:p w14:paraId="7EA4A56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1.1</w:t>
            </w:r>
          </w:p>
        </w:tc>
        <w:tc>
          <w:tcPr>
            <w:tcW w:w="723" w:type="pct"/>
            <w:tcBorders>
              <w:top w:val="nil"/>
              <w:left w:val="nil"/>
              <w:bottom w:val="nil"/>
              <w:right w:val="nil"/>
            </w:tcBorders>
            <w:vAlign w:val="center"/>
          </w:tcPr>
          <w:p w14:paraId="0D697CE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59</w:t>
            </w:r>
          </w:p>
        </w:tc>
        <w:tc>
          <w:tcPr>
            <w:tcW w:w="1144" w:type="pct"/>
            <w:tcBorders>
              <w:top w:val="nil"/>
              <w:left w:val="nil"/>
              <w:bottom w:val="nil"/>
              <w:right w:val="nil"/>
            </w:tcBorders>
            <w:vAlign w:val="center"/>
          </w:tcPr>
          <w:p w14:paraId="22E9EE7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Lightly eutrophic</w:t>
            </w:r>
          </w:p>
        </w:tc>
      </w:tr>
      <w:tr w14:paraId="2CD54B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1" w:hRule="exact"/>
        </w:trPr>
        <w:tc>
          <w:tcPr>
            <w:tcW w:w="937" w:type="pct"/>
            <w:tcBorders>
              <w:top w:val="nil"/>
              <w:left w:val="nil"/>
              <w:bottom w:val="single" w:color="auto" w:sz="12" w:space="0"/>
              <w:right w:val="nil"/>
            </w:tcBorders>
            <w:vAlign w:val="center"/>
          </w:tcPr>
          <w:p w14:paraId="24DE3E80">
            <w:pPr>
              <w:spacing w:line="480" w:lineRule="auto"/>
              <w:ind w:firstLine="0" w:firstLineChars="0"/>
              <w:jc w:val="left"/>
              <w:rPr>
                <w:rFonts w:eastAsia="Times New Roman" w:cs="Times New Roman"/>
                <w:kern w:val="0"/>
                <w:sz w:val="21"/>
                <w:szCs w:val="21"/>
              </w:rPr>
            </w:pPr>
            <w:r>
              <w:rPr>
                <w:rFonts w:eastAsia="Times New Roman" w:cs="Times New Roman"/>
                <w:kern w:val="0"/>
                <w:sz w:val="21"/>
                <w:szCs w:val="21"/>
              </w:rPr>
              <w:t>Yutan(YT)</w:t>
            </w:r>
          </w:p>
        </w:tc>
        <w:tc>
          <w:tcPr>
            <w:tcW w:w="807" w:type="pct"/>
            <w:tcBorders>
              <w:top w:val="nil"/>
              <w:left w:val="nil"/>
              <w:bottom w:val="single" w:color="auto" w:sz="12" w:space="0"/>
              <w:right w:val="nil"/>
            </w:tcBorders>
            <w:vAlign w:val="center"/>
          </w:tcPr>
          <w:p w14:paraId="7D107F2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29.56 </w:t>
            </w:r>
          </w:p>
        </w:tc>
        <w:tc>
          <w:tcPr>
            <w:tcW w:w="584" w:type="pct"/>
            <w:tcBorders>
              <w:top w:val="nil"/>
              <w:left w:val="nil"/>
              <w:bottom w:val="single" w:color="auto" w:sz="12" w:space="0"/>
              <w:right w:val="nil"/>
            </w:tcBorders>
            <w:vAlign w:val="center"/>
          </w:tcPr>
          <w:p w14:paraId="7CE9EB8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 xml:space="preserve">105.69 </w:t>
            </w:r>
          </w:p>
        </w:tc>
        <w:tc>
          <w:tcPr>
            <w:tcW w:w="805" w:type="pct"/>
            <w:tcBorders>
              <w:top w:val="nil"/>
              <w:left w:val="nil"/>
              <w:bottom w:val="single" w:color="auto" w:sz="12" w:space="0"/>
              <w:right w:val="nil"/>
            </w:tcBorders>
            <w:vAlign w:val="center"/>
          </w:tcPr>
          <w:p w14:paraId="34FD927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w:t>
            </w:r>
          </w:p>
        </w:tc>
        <w:tc>
          <w:tcPr>
            <w:tcW w:w="723" w:type="pct"/>
            <w:tcBorders>
              <w:top w:val="nil"/>
              <w:left w:val="nil"/>
              <w:bottom w:val="single" w:color="auto" w:sz="12" w:space="0"/>
              <w:right w:val="nil"/>
            </w:tcBorders>
            <w:vAlign w:val="center"/>
          </w:tcPr>
          <w:p w14:paraId="7EE8421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w:t>
            </w:r>
          </w:p>
        </w:tc>
        <w:tc>
          <w:tcPr>
            <w:tcW w:w="1144" w:type="pct"/>
            <w:tcBorders>
              <w:top w:val="nil"/>
              <w:left w:val="nil"/>
              <w:bottom w:val="single" w:color="auto" w:sz="12" w:space="0"/>
              <w:right w:val="nil"/>
            </w:tcBorders>
            <w:vAlign w:val="center"/>
          </w:tcPr>
          <w:p w14:paraId="2F3C069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Lightly eutrophic</w:t>
            </w:r>
          </w:p>
        </w:tc>
      </w:tr>
    </w:tbl>
    <w:p w14:paraId="0DC926B4">
      <w:pPr>
        <w:spacing w:line="480" w:lineRule="auto"/>
        <w:ind w:firstLine="422"/>
        <w:rPr>
          <w:rFonts w:cs="Times New Roman"/>
          <w:b/>
          <w:bCs/>
          <w:sz w:val="21"/>
          <w:szCs w:val="21"/>
        </w:rPr>
      </w:pPr>
      <w:r>
        <w:rPr>
          <w:rFonts w:cs="Times New Roman"/>
          <w:b/>
          <w:bCs/>
          <w:sz w:val="21"/>
          <w:szCs w:val="21"/>
        </w:rPr>
        <w:br w:type="page"/>
      </w:r>
    </w:p>
    <w:p w14:paraId="78DE8235">
      <w:pPr>
        <w:spacing w:line="480" w:lineRule="auto"/>
        <w:ind w:firstLine="0" w:firstLineChars="0"/>
        <w:jc w:val="left"/>
        <w:rPr>
          <w:rFonts w:cs="Times New Roman"/>
          <w:b/>
          <w:bCs/>
          <w:sz w:val="21"/>
          <w:szCs w:val="21"/>
        </w:rPr>
      </w:pPr>
      <w:r>
        <w:rPr>
          <w:rFonts w:cs="Times New Roman"/>
          <w:b/>
          <w:bCs/>
          <w:sz w:val="21"/>
          <w:szCs w:val="21"/>
        </w:rPr>
        <w:t>Table S2 biochemical classes of DOM</w:t>
      </w:r>
    </w:p>
    <w:tbl>
      <w:tblPr>
        <w:tblStyle w:val="8"/>
        <w:tblW w:w="879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58"/>
        <w:gridCol w:w="6140"/>
      </w:tblGrid>
      <w:tr w14:paraId="72B3C5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658" w:type="dxa"/>
            <w:tcBorders>
              <w:top w:val="single" w:color="auto" w:sz="12" w:space="0"/>
              <w:left w:val="nil"/>
              <w:bottom w:val="single" w:color="auto" w:sz="6" w:space="0"/>
              <w:right w:val="nil"/>
            </w:tcBorders>
            <w:vAlign w:val="center"/>
          </w:tcPr>
          <w:p w14:paraId="0B361BA6">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Molecular class</w:t>
            </w:r>
          </w:p>
        </w:tc>
        <w:tc>
          <w:tcPr>
            <w:tcW w:w="6140" w:type="dxa"/>
            <w:tcBorders>
              <w:top w:val="single" w:color="auto" w:sz="12" w:space="0"/>
              <w:left w:val="nil"/>
              <w:bottom w:val="single" w:color="auto" w:sz="6" w:space="0"/>
              <w:right w:val="nil"/>
            </w:tcBorders>
            <w:vAlign w:val="center"/>
          </w:tcPr>
          <w:p w14:paraId="35CF7477">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 xml:space="preserve"> Criter</w:t>
            </w:r>
            <w:r>
              <w:rPr>
                <w:rFonts w:hint="eastAsia" w:cs="Times New Roman"/>
                <w:color w:val="000000"/>
                <w:kern w:val="0"/>
                <w:sz w:val="21"/>
                <w:szCs w:val="21"/>
                <w:lang w:val="en-US" w:eastAsia="zh-CN"/>
              </w:rPr>
              <w:t>i</w:t>
            </w:r>
            <w:r>
              <w:rPr>
                <w:rFonts w:hint="eastAsia" w:eastAsia="Times New Roman" w:cs="Times New Roman"/>
                <w:color w:val="000000"/>
                <w:kern w:val="0"/>
                <w:sz w:val="21"/>
                <w:szCs w:val="21"/>
              </w:rPr>
              <w:t>a</w:t>
            </w:r>
          </w:p>
        </w:tc>
      </w:tr>
      <w:tr w14:paraId="18ABD7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2658" w:type="dxa"/>
            <w:tcBorders>
              <w:top w:val="single" w:color="auto" w:sz="6" w:space="0"/>
              <w:left w:val="nil"/>
              <w:bottom w:val="nil"/>
              <w:right w:val="nil"/>
            </w:tcBorders>
            <w:shd w:val="clear" w:color="auto" w:fill="FFFFFF"/>
            <w:vAlign w:val="center"/>
          </w:tcPr>
          <w:p w14:paraId="75B86219">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Carbohydrate</w:t>
            </w:r>
          </w:p>
        </w:tc>
        <w:tc>
          <w:tcPr>
            <w:tcW w:w="6140" w:type="dxa"/>
            <w:tcBorders>
              <w:top w:val="single" w:color="auto" w:sz="6" w:space="0"/>
              <w:left w:val="nil"/>
              <w:bottom w:val="nil"/>
              <w:right w:val="nil"/>
            </w:tcBorders>
            <w:shd w:val="clear" w:color="auto" w:fill="FFFFFF"/>
            <w:vAlign w:val="center"/>
          </w:tcPr>
          <w:p w14:paraId="3D98596F">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H/C:1.5-2.4; O/C:0.71-1.2</w:t>
            </w:r>
          </w:p>
        </w:tc>
      </w:tr>
      <w:tr w14:paraId="6BCF91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2658" w:type="dxa"/>
            <w:tcBorders>
              <w:top w:val="nil"/>
              <w:left w:val="nil"/>
              <w:bottom w:val="nil"/>
              <w:right w:val="nil"/>
            </w:tcBorders>
            <w:shd w:val="clear" w:color="auto" w:fill="FFFFFF"/>
            <w:vAlign w:val="center"/>
          </w:tcPr>
          <w:p w14:paraId="13643FD8">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Amino sugars</w:t>
            </w:r>
          </w:p>
        </w:tc>
        <w:tc>
          <w:tcPr>
            <w:tcW w:w="6140" w:type="dxa"/>
            <w:tcBorders>
              <w:top w:val="nil"/>
              <w:left w:val="nil"/>
              <w:bottom w:val="nil"/>
              <w:right w:val="nil"/>
            </w:tcBorders>
            <w:shd w:val="clear" w:color="auto" w:fill="FFFFFF"/>
            <w:vAlign w:val="center"/>
          </w:tcPr>
          <w:p w14:paraId="07F20C53">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H/C:1.5-2.2; O/C:0.52-0.71</w:t>
            </w:r>
          </w:p>
        </w:tc>
      </w:tr>
      <w:tr w14:paraId="51B401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2658" w:type="dxa"/>
            <w:tcBorders>
              <w:top w:val="nil"/>
              <w:left w:val="nil"/>
              <w:bottom w:val="nil"/>
              <w:right w:val="nil"/>
            </w:tcBorders>
            <w:vAlign w:val="center"/>
          </w:tcPr>
          <w:p w14:paraId="150396C6">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Protein/Lipid-like</w:t>
            </w:r>
          </w:p>
        </w:tc>
        <w:tc>
          <w:tcPr>
            <w:tcW w:w="6140" w:type="dxa"/>
            <w:tcBorders>
              <w:top w:val="nil"/>
              <w:left w:val="nil"/>
              <w:bottom w:val="nil"/>
              <w:right w:val="nil"/>
            </w:tcBorders>
            <w:vAlign w:val="center"/>
          </w:tcPr>
          <w:p w14:paraId="45BBD3AA">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H/C:1.5-2.2; O/C:0-0.52</w:t>
            </w:r>
          </w:p>
        </w:tc>
      </w:tr>
      <w:tr w14:paraId="681B8A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2658" w:type="dxa"/>
            <w:tcBorders>
              <w:top w:val="nil"/>
              <w:left w:val="nil"/>
              <w:bottom w:val="nil"/>
              <w:right w:val="nil"/>
            </w:tcBorders>
            <w:vAlign w:val="center"/>
          </w:tcPr>
          <w:p w14:paraId="01A165BF">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Tannins</w:t>
            </w:r>
          </w:p>
        </w:tc>
        <w:tc>
          <w:tcPr>
            <w:tcW w:w="6140" w:type="dxa"/>
            <w:tcBorders>
              <w:top w:val="nil"/>
              <w:left w:val="nil"/>
              <w:bottom w:val="nil"/>
              <w:right w:val="nil"/>
            </w:tcBorders>
            <w:vAlign w:val="center"/>
          </w:tcPr>
          <w:p w14:paraId="27C91446">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H/C:0.5-1.5; O/C:0.67-1.2</w:t>
            </w:r>
          </w:p>
        </w:tc>
      </w:tr>
      <w:tr w14:paraId="68EDAD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2658" w:type="dxa"/>
            <w:tcBorders>
              <w:top w:val="nil"/>
              <w:left w:val="nil"/>
              <w:bottom w:val="nil"/>
              <w:right w:val="nil"/>
            </w:tcBorders>
            <w:vAlign w:val="center"/>
          </w:tcPr>
          <w:p w14:paraId="03A25FF4">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Lignins</w:t>
            </w:r>
          </w:p>
        </w:tc>
        <w:tc>
          <w:tcPr>
            <w:tcW w:w="6140" w:type="dxa"/>
            <w:tcBorders>
              <w:top w:val="nil"/>
              <w:left w:val="nil"/>
              <w:bottom w:val="nil"/>
              <w:right w:val="nil"/>
            </w:tcBorders>
            <w:vAlign w:val="center"/>
          </w:tcPr>
          <w:p w14:paraId="0747CF70">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H/C:0.7-1.5; O/C:0.1-0.67</w:t>
            </w:r>
          </w:p>
        </w:tc>
      </w:tr>
      <w:tr w14:paraId="158852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2658" w:type="dxa"/>
            <w:tcBorders>
              <w:top w:val="nil"/>
              <w:left w:val="nil"/>
              <w:bottom w:val="nil"/>
              <w:right w:val="nil"/>
            </w:tcBorders>
            <w:vAlign w:val="center"/>
          </w:tcPr>
          <w:p w14:paraId="011AF34C">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Unsaturated hydrocarbons</w:t>
            </w:r>
          </w:p>
        </w:tc>
        <w:tc>
          <w:tcPr>
            <w:tcW w:w="6140" w:type="dxa"/>
            <w:tcBorders>
              <w:top w:val="nil"/>
              <w:left w:val="nil"/>
              <w:bottom w:val="nil"/>
              <w:right w:val="nil"/>
            </w:tcBorders>
            <w:vAlign w:val="center"/>
          </w:tcPr>
          <w:p w14:paraId="01F455B2">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H/C:0.7-1.5; O/C:0-0.1</w:t>
            </w:r>
          </w:p>
        </w:tc>
      </w:tr>
      <w:tr w14:paraId="1DD7C5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4" w:hRule="exact"/>
        </w:trPr>
        <w:tc>
          <w:tcPr>
            <w:tcW w:w="2658" w:type="dxa"/>
            <w:tcBorders>
              <w:top w:val="nil"/>
              <w:left w:val="nil"/>
              <w:bottom w:val="nil"/>
              <w:right w:val="nil"/>
            </w:tcBorders>
            <w:vAlign w:val="center"/>
          </w:tcPr>
          <w:p w14:paraId="29C461E5">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Condensed aromatic structures</w:t>
            </w:r>
          </w:p>
        </w:tc>
        <w:tc>
          <w:tcPr>
            <w:tcW w:w="6140" w:type="dxa"/>
            <w:tcBorders>
              <w:top w:val="nil"/>
              <w:left w:val="nil"/>
              <w:bottom w:val="nil"/>
              <w:right w:val="nil"/>
            </w:tcBorders>
            <w:vAlign w:val="center"/>
          </w:tcPr>
          <w:p w14:paraId="6DEC5077">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H/C:0.2-0.7; O/C:0-0.67</w:t>
            </w:r>
          </w:p>
        </w:tc>
      </w:tr>
      <w:tr w14:paraId="53BB14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6" w:hRule="exact"/>
        </w:trPr>
        <w:tc>
          <w:tcPr>
            <w:tcW w:w="2658" w:type="dxa"/>
            <w:tcBorders>
              <w:top w:val="nil"/>
              <w:left w:val="nil"/>
              <w:bottom w:val="single" w:color="auto" w:sz="12" w:space="0"/>
              <w:right w:val="nil"/>
            </w:tcBorders>
            <w:vAlign w:val="center"/>
          </w:tcPr>
          <w:p w14:paraId="79B70C93">
            <w:pPr>
              <w:spacing w:line="480" w:lineRule="auto"/>
              <w:ind w:firstLine="0" w:firstLineChars="0"/>
              <w:jc w:val="center"/>
              <w:rPr>
                <w:rFonts w:eastAsia="Times New Roman" w:cs="Times New Roman"/>
                <w:kern w:val="0"/>
                <w:sz w:val="21"/>
                <w:szCs w:val="21"/>
              </w:rPr>
            </w:pPr>
            <w:r>
              <w:rPr>
                <w:rFonts w:hint="eastAsia" w:eastAsia="Times New Roman" w:cs="Times New Roman"/>
                <w:color w:val="000000"/>
                <w:kern w:val="0"/>
                <w:sz w:val="21"/>
                <w:szCs w:val="21"/>
              </w:rPr>
              <w:t>Carboxyl-Rich Alicyclic Molecules(CRAMs)</w:t>
            </w:r>
          </w:p>
        </w:tc>
        <w:tc>
          <w:tcPr>
            <w:tcW w:w="6140" w:type="dxa"/>
            <w:tcBorders>
              <w:top w:val="nil"/>
              <w:left w:val="nil"/>
              <w:bottom w:val="single" w:color="auto" w:sz="12" w:space="0"/>
              <w:right w:val="nil"/>
            </w:tcBorders>
            <w:vAlign w:val="center"/>
          </w:tcPr>
          <w:p w14:paraId="7E6A6BE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DBE/C = 0.30 - 0.68; DBE/H = 0.20 - 0.95; DBE/O = 0.77 - 1.75</w:t>
            </w:r>
          </w:p>
        </w:tc>
      </w:tr>
    </w:tbl>
    <w:p w14:paraId="4B18DA41">
      <w:pPr>
        <w:spacing w:line="480" w:lineRule="auto"/>
        <w:ind w:firstLine="422"/>
        <w:rPr>
          <w:rFonts w:cs="Times New Roman"/>
          <w:b/>
          <w:bCs/>
          <w:sz w:val="21"/>
          <w:szCs w:val="21"/>
        </w:rPr>
      </w:pPr>
      <w:r>
        <w:rPr>
          <w:rFonts w:cs="Times New Roman"/>
          <w:b/>
          <w:bCs/>
          <w:sz w:val="21"/>
          <w:szCs w:val="21"/>
        </w:rPr>
        <w:br w:type="page"/>
      </w:r>
    </w:p>
    <w:p w14:paraId="1379BFCA">
      <w:pPr>
        <w:spacing w:line="480" w:lineRule="auto"/>
        <w:ind w:firstLine="0" w:firstLineChars="0"/>
        <w:jc w:val="left"/>
        <w:rPr>
          <w:rFonts w:cs="Times New Roman"/>
          <w:b/>
          <w:bCs/>
          <w:sz w:val="21"/>
          <w:szCs w:val="21"/>
        </w:rPr>
      </w:pPr>
      <w:r>
        <w:rPr>
          <w:rFonts w:cs="Times New Roman"/>
          <w:b/>
          <w:bCs/>
          <w:sz w:val="21"/>
          <w:szCs w:val="21"/>
        </w:rPr>
        <w:t>Table S3 The mean±SD of water chemistry parameters including total nitrogen (TN), total phosphorus (TP), chemical oxygen demand (COD</w:t>
      </w:r>
      <w:r>
        <w:rPr>
          <w:rFonts w:cs="Times New Roman"/>
          <w:b/>
          <w:bCs/>
          <w:sz w:val="21"/>
          <w:szCs w:val="21"/>
          <w:vertAlign w:val="subscript"/>
        </w:rPr>
        <w:t>Mn</w:t>
      </w:r>
      <w:r>
        <w:rPr>
          <w:rFonts w:cs="Times New Roman"/>
          <w:b/>
          <w:bCs/>
          <w:sz w:val="21"/>
          <w:szCs w:val="21"/>
        </w:rPr>
        <w:t>), Chlorophyll (Chla), transparency (SDD), and trophic status index (TSI) of sampled reservoir.</w:t>
      </w:r>
    </w:p>
    <w:tbl>
      <w:tblPr>
        <w:tblStyle w:val="8"/>
        <w:tblW w:w="488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1223"/>
        <w:gridCol w:w="1194"/>
        <w:gridCol w:w="1732"/>
        <w:gridCol w:w="1312"/>
        <w:gridCol w:w="1194"/>
        <w:gridCol w:w="1312"/>
      </w:tblGrid>
      <w:tr w14:paraId="2C66F4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819" w:type="pct"/>
            <w:tcBorders>
              <w:top w:val="single" w:color="auto" w:sz="12" w:space="0"/>
              <w:left w:val="nil"/>
              <w:bottom w:val="single" w:color="auto" w:sz="6" w:space="0"/>
              <w:right w:val="nil"/>
            </w:tcBorders>
            <w:vAlign w:val="center"/>
          </w:tcPr>
          <w:p w14:paraId="40BF697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Reservoir</w:t>
            </w:r>
          </w:p>
        </w:tc>
        <w:tc>
          <w:tcPr>
            <w:tcW w:w="641" w:type="pct"/>
            <w:tcBorders>
              <w:top w:val="single" w:color="auto" w:sz="12" w:space="0"/>
              <w:left w:val="nil"/>
              <w:bottom w:val="single" w:color="auto" w:sz="6" w:space="0"/>
              <w:right w:val="nil"/>
            </w:tcBorders>
            <w:vAlign w:val="center"/>
          </w:tcPr>
          <w:p w14:paraId="0A3F010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TN(mg/L)</w:t>
            </w:r>
          </w:p>
        </w:tc>
        <w:tc>
          <w:tcPr>
            <w:tcW w:w="626" w:type="pct"/>
            <w:tcBorders>
              <w:top w:val="single" w:color="auto" w:sz="12" w:space="0"/>
              <w:left w:val="nil"/>
              <w:bottom w:val="single" w:color="auto" w:sz="6" w:space="0"/>
              <w:right w:val="nil"/>
            </w:tcBorders>
            <w:vAlign w:val="center"/>
          </w:tcPr>
          <w:p w14:paraId="2E1860B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TP(mg/L)</w:t>
            </w:r>
          </w:p>
        </w:tc>
        <w:tc>
          <w:tcPr>
            <w:tcW w:w="908" w:type="pct"/>
            <w:tcBorders>
              <w:top w:val="single" w:color="auto" w:sz="12" w:space="0"/>
              <w:left w:val="nil"/>
              <w:bottom w:val="single" w:color="auto" w:sz="6" w:space="0"/>
              <w:right w:val="nil"/>
            </w:tcBorders>
            <w:vAlign w:val="center"/>
          </w:tcPr>
          <w:p w14:paraId="7842EBC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COD</w:t>
            </w:r>
            <w:r>
              <w:rPr>
                <w:rFonts w:eastAsia="Times New Roman" w:cs="Times New Roman"/>
                <w:kern w:val="0"/>
                <w:sz w:val="21"/>
                <w:szCs w:val="21"/>
                <w:vertAlign w:val="subscript"/>
              </w:rPr>
              <w:t>Mn</w:t>
            </w:r>
            <w:r>
              <w:rPr>
                <w:rFonts w:eastAsia="Times New Roman" w:cs="Times New Roman"/>
                <w:kern w:val="0"/>
                <w:sz w:val="21"/>
                <w:szCs w:val="21"/>
              </w:rPr>
              <w:t>(mg/L)</w:t>
            </w:r>
          </w:p>
        </w:tc>
        <w:tc>
          <w:tcPr>
            <w:tcW w:w="688" w:type="pct"/>
            <w:tcBorders>
              <w:top w:val="single" w:color="auto" w:sz="12" w:space="0"/>
              <w:left w:val="nil"/>
              <w:bottom w:val="single" w:color="auto" w:sz="6" w:space="0"/>
              <w:right w:val="nil"/>
            </w:tcBorders>
            <w:vAlign w:val="center"/>
          </w:tcPr>
          <w:p w14:paraId="3A5CEE7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Chla(μg/L)</w:t>
            </w:r>
          </w:p>
        </w:tc>
        <w:tc>
          <w:tcPr>
            <w:tcW w:w="626" w:type="pct"/>
            <w:tcBorders>
              <w:top w:val="single" w:color="auto" w:sz="12" w:space="0"/>
              <w:left w:val="nil"/>
              <w:bottom w:val="single" w:color="auto" w:sz="6" w:space="0"/>
              <w:right w:val="nil"/>
            </w:tcBorders>
            <w:vAlign w:val="center"/>
          </w:tcPr>
          <w:p w14:paraId="1A3520B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SDD(m)</w:t>
            </w:r>
          </w:p>
        </w:tc>
        <w:tc>
          <w:tcPr>
            <w:tcW w:w="688" w:type="pct"/>
            <w:tcBorders>
              <w:top w:val="single" w:color="auto" w:sz="12" w:space="0"/>
              <w:left w:val="nil"/>
              <w:bottom w:val="single" w:color="auto" w:sz="6" w:space="0"/>
              <w:right w:val="nil"/>
            </w:tcBorders>
            <w:vAlign w:val="center"/>
          </w:tcPr>
          <w:p w14:paraId="03353CB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TSI</w:t>
            </w:r>
          </w:p>
        </w:tc>
      </w:tr>
      <w:tr w14:paraId="278FDA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single" w:color="auto" w:sz="6" w:space="0"/>
              <w:left w:val="nil"/>
              <w:bottom w:val="nil"/>
              <w:right w:val="nil"/>
            </w:tcBorders>
            <w:shd w:val="clear" w:color="auto" w:fill="FFFFFF"/>
            <w:vAlign w:val="center"/>
          </w:tcPr>
          <w:p w14:paraId="04B8D93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QY-summer</w:t>
            </w:r>
          </w:p>
        </w:tc>
        <w:tc>
          <w:tcPr>
            <w:tcW w:w="641" w:type="pct"/>
            <w:tcBorders>
              <w:top w:val="single" w:color="auto" w:sz="6" w:space="0"/>
              <w:left w:val="nil"/>
              <w:bottom w:val="nil"/>
              <w:right w:val="nil"/>
            </w:tcBorders>
            <w:shd w:val="clear" w:color="auto" w:fill="FFFFFF"/>
            <w:vAlign w:val="center"/>
          </w:tcPr>
          <w:p w14:paraId="42711BF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0.12±0.02</w:t>
            </w:r>
          </w:p>
        </w:tc>
        <w:tc>
          <w:tcPr>
            <w:tcW w:w="626" w:type="pct"/>
            <w:tcBorders>
              <w:top w:val="single" w:color="auto" w:sz="6" w:space="0"/>
              <w:left w:val="nil"/>
              <w:bottom w:val="nil"/>
              <w:right w:val="nil"/>
            </w:tcBorders>
            <w:shd w:val="clear" w:color="auto" w:fill="FFFFFF"/>
            <w:vAlign w:val="center"/>
          </w:tcPr>
          <w:p w14:paraId="084BCE6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0.04±0.02</w:t>
            </w:r>
          </w:p>
        </w:tc>
        <w:tc>
          <w:tcPr>
            <w:tcW w:w="908" w:type="pct"/>
            <w:tcBorders>
              <w:top w:val="single" w:color="auto" w:sz="6" w:space="0"/>
              <w:left w:val="nil"/>
              <w:bottom w:val="nil"/>
              <w:right w:val="nil"/>
            </w:tcBorders>
            <w:shd w:val="clear" w:color="auto" w:fill="FFFFFF"/>
            <w:vAlign w:val="center"/>
          </w:tcPr>
          <w:p w14:paraId="5F39BA7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0.85±0.26</w:t>
            </w:r>
          </w:p>
        </w:tc>
        <w:tc>
          <w:tcPr>
            <w:tcW w:w="688" w:type="pct"/>
            <w:tcBorders>
              <w:top w:val="single" w:color="auto" w:sz="6" w:space="0"/>
              <w:left w:val="nil"/>
              <w:bottom w:val="nil"/>
              <w:right w:val="nil"/>
            </w:tcBorders>
            <w:shd w:val="clear" w:color="auto" w:fill="FFFFFF"/>
            <w:vAlign w:val="center"/>
          </w:tcPr>
          <w:p w14:paraId="44B3C69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3.91±0.11</w:t>
            </w:r>
          </w:p>
        </w:tc>
        <w:tc>
          <w:tcPr>
            <w:tcW w:w="626" w:type="pct"/>
            <w:tcBorders>
              <w:top w:val="single" w:color="auto" w:sz="6" w:space="0"/>
              <w:left w:val="nil"/>
              <w:bottom w:val="nil"/>
              <w:right w:val="nil"/>
            </w:tcBorders>
            <w:shd w:val="clear" w:color="auto" w:fill="FFFFFF"/>
            <w:vAlign w:val="center"/>
          </w:tcPr>
          <w:p w14:paraId="3FD67AC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2.90±0.00</w:t>
            </w:r>
          </w:p>
        </w:tc>
        <w:tc>
          <w:tcPr>
            <w:tcW w:w="688" w:type="pct"/>
            <w:tcBorders>
              <w:top w:val="single" w:color="auto" w:sz="6" w:space="0"/>
              <w:left w:val="nil"/>
              <w:bottom w:val="nil"/>
              <w:right w:val="nil"/>
            </w:tcBorders>
            <w:shd w:val="clear" w:color="auto" w:fill="FFFFFF"/>
            <w:vAlign w:val="center"/>
          </w:tcPr>
          <w:p w14:paraId="2230072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26.39±2.58</w:t>
            </w:r>
          </w:p>
        </w:tc>
      </w:tr>
      <w:tr w14:paraId="66949C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shd w:val="clear" w:color="auto" w:fill="FFFFFF"/>
            <w:vAlign w:val="center"/>
          </w:tcPr>
          <w:p w14:paraId="54B5D7F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QY-winter</w:t>
            </w:r>
          </w:p>
        </w:tc>
        <w:tc>
          <w:tcPr>
            <w:tcW w:w="641" w:type="pct"/>
            <w:tcBorders>
              <w:top w:val="nil"/>
              <w:left w:val="nil"/>
              <w:bottom w:val="nil"/>
              <w:right w:val="nil"/>
            </w:tcBorders>
            <w:shd w:val="clear" w:color="auto" w:fill="FFFFFF"/>
            <w:vAlign w:val="center"/>
          </w:tcPr>
          <w:p w14:paraId="5F2A25F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0.38±0.04</w:t>
            </w:r>
          </w:p>
        </w:tc>
        <w:tc>
          <w:tcPr>
            <w:tcW w:w="626" w:type="pct"/>
            <w:tcBorders>
              <w:top w:val="nil"/>
              <w:left w:val="nil"/>
              <w:bottom w:val="nil"/>
              <w:right w:val="nil"/>
            </w:tcBorders>
            <w:shd w:val="clear" w:color="auto" w:fill="FFFFFF"/>
            <w:vAlign w:val="center"/>
          </w:tcPr>
          <w:p w14:paraId="6EFE963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0.02±0.01</w:t>
            </w:r>
          </w:p>
        </w:tc>
        <w:tc>
          <w:tcPr>
            <w:tcW w:w="908" w:type="pct"/>
            <w:tcBorders>
              <w:top w:val="nil"/>
              <w:left w:val="nil"/>
              <w:bottom w:val="nil"/>
              <w:right w:val="nil"/>
            </w:tcBorders>
            <w:shd w:val="clear" w:color="auto" w:fill="FFFFFF"/>
            <w:vAlign w:val="center"/>
          </w:tcPr>
          <w:p w14:paraId="37D6C6D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1.07±0.05</w:t>
            </w:r>
          </w:p>
        </w:tc>
        <w:tc>
          <w:tcPr>
            <w:tcW w:w="688" w:type="pct"/>
            <w:tcBorders>
              <w:top w:val="nil"/>
              <w:left w:val="nil"/>
              <w:bottom w:val="nil"/>
              <w:right w:val="nil"/>
            </w:tcBorders>
            <w:shd w:val="clear" w:color="auto" w:fill="FFFFFF"/>
            <w:vAlign w:val="center"/>
          </w:tcPr>
          <w:p w14:paraId="45977CA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1.52±0.09</w:t>
            </w:r>
          </w:p>
        </w:tc>
        <w:tc>
          <w:tcPr>
            <w:tcW w:w="626" w:type="pct"/>
            <w:tcBorders>
              <w:top w:val="nil"/>
              <w:left w:val="nil"/>
              <w:bottom w:val="nil"/>
              <w:right w:val="nil"/>
            </w:tcBorders>
            <w:shd w:val="clear" w:color="auto" w:fill="FFFFFF"/>
            <w:vAlign w:val="center"/>
          </w:tcPr>
          <w:p w14:paraId="5F94E16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3.43±0.23</w:t>
            </w:r>
          </w:p>
        </w:tc>
        <w:tc>
          <w:tcPr>
            <w:tcW w:w="688" w:type="pct"/>
            <w:tcBorders>
              <w:top w:val="nil"/>
              <w:left w:val="nil"/>
              <w:bottom w:val="nil"/>
              <w:right w:val="nil"/>
            </w:tcBorders>
            <w:shd w:val="clear" w:color="auto" w:fill="FFFFFF"/>
            <w:vAlign w:val="center"/>
          </w:tcPr>
          <w:p w14:paraId="6D9775F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25.04±1.45</w:t>
            </w:r>
          </w:p>
        </w:tc>
      </w:tr>
      <w:tr w14:paraId="6D275D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6E4D874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ZPP-summer</w:t>
            </w:r>
          </w:p>
        </w:tc>
        <w:tc>
          <w:tcPr>
            <w:tcW w:w="641" w:type="pct"/>
            <w:tcBorders>
              <w:top w:val="nil"/>
              <w:left w:val="nil"/>
              <w:bottom w:val="nil"/>
              <w:right w:val="nil"/>
            </w:tcBorders>
            <w:vAlign w:val="center"/>
          </w:tcPr>
          <w:p w14:paraId="2F4B845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0.77±0.03</w:t>
            </w:r>
          </w:p>
        </w:tc>
        <w:tc>
          <w:tcPr>
            <w:tcW w:w="626" w:type="pct"/>
            <w:tcBorders>
              <w:top w:val="nil"/>
              <w:left w:val="nil"/>
              <w:bottom w:val="nil"/>
              <w:right w:val="nil"/>
            </w:tcBorders>
            <w:vAlign w:val="center"/>
          </w:tcPr>
          <w:p w14:paraId="7F21A80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0.04±0.02</w:t>
            </w:r>
          </w:p>
        </w:tc>
        <w:tc>
          <w:tcPr>
            <w:tcW w:w="908" w:type="pct"/>
            <w:tcBorders>
              <w:top w:val="nil"/>
              <w:left w:val="nil"/>
              <w:bottom w:val="nil"/>
              <w:right w:val="nil"/>
            </w:tcBorders>
            <w:vAlign w:val="center"/>
          </w:tcPr>
          <w:p w14:paraId="49389A0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0.54±0.03</w:t>
            </w:r>
          </w:p>
        </w:tc>
        <w:tc>
          <w:tcPr>
            <w:tcW w:w="688" w:type="pct"/>
            <w:tcBorders>
              <w:top w:val="nil"/>
              <w:left w:val="nil"/>
              <w:bottom w:val="nil"/>
              <w:right w:val="nil"/>
            </w:tcBorders>
            <w:vAlign w:val="center"/>
          </w:tcPr>
          <w:p w14:paraId="1B7A6F2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3.94±0.53</w:t>
            </w:r>
          </w:p>
        </w:tc>
        <w:tc>
          <w:tcPr>
            <w:tcW w:w="626" w:type="pct"/>
            <w:tcBorders>
              <w:top w:val="nil"/>
              <w:left w:val="nil"/>
              <w:bottom w:val="nil"/>
              <w:right w:val="nil"/>
            </w:tcBorders>
            <w:vAlign w:val="center"/>
          </w:tcPr>
          <w:p w14:paraId="4306751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4.33±0.65</w:t>
            </w:r>
          </w:p>
        </w:tc>
        <w:tc>
          <w:tcPr>
            <w:tcW w:w="688" w:type="pct"/>
            <w:tcBorders>
              <w:top w:val="nil"/>
              <w:left w:val="nil"/>
              <w:bottom w:val="nil"/>
              <w:right w:val="nil"/>
            </w:tcBorders>
            <w:vAlign w:val="center"/>
          </w:tcPr>
          <w:p w14:paraId="69C607D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28.63±2.35</w:t>
            </w:r>
          </w:p>
        </w:tc>
      </w:tr>
      <w:tr w14:paraId="3E3B1A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1A3A0F2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ZPP-winter</w:t>
            </w:r>
          </w:p>
        </w:tc>
        <w:tc>
          <w:tcPr>
            <w:tcW w:w="641" w:type="pct"/>
            <w:tcBorders>
              <w:top w:val="nil"/>
              <w:left w:val="nil"/>
              <w:bottom w:val="nil"/>
              <w:right w:val="nil"/>
            </w:tcBorders>
            <w:vAlign w:val="center"/>
          </w:tcPr>
          <w:p w14:paraId="4063179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0.87±0.04</w:t>
            </w:r>
          </w:p>
        </w:tc>
        <w:tc>
          <w:tcPr>
            <w:tcW w:w="626" w:type="pct"/>
            <w:tcBorders>
              <w:top w:val="nil"/>
              <w:left w:val="nil"/>
              <w:bottom w:val="nil"/>
              <w:right w:val="nil"/>
            </w:tcBorders>
            <w:vAlign w:val="center"/>
          </w:tcPr>
          <w:p w14:paraId="348BE07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0.02±0.01</w:t>
            </w:r>
          </w:p>
        </w:tc>
        <w:tc>
          <w:tcPr>
            <w:tcW w:w="908" w:type="pct"/>
            <w:tcBorders>
              <w:top w:val="nil"/>
              <w:left w:val="nil"/>
              <w:bottom w:val="nil"/>
              <w:right w:val="nil"/>
            </w:tcBorders>
            <w:vAlign w:val="center"/>
          </w:tcPr>
          <w:p w14:paraId="752EA69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0.80±0.07</w:t>
            </w:r>
          </w:p>
        </w:tc>
        <w:tc>
          <w:tcPr>
            <w:tcW w:w="688" w:type="pct"/>
            <w:tcBorders>
              <w:top w:val="nil"/>
              <w:left w:val="nil"/>
              <w:bottom w:val="nil"/>
              <w:right w:val="nil"/>
            </w:tcBorders>
            <w:vAlign w:val="center"/>
          </w:tcPr>
          <w:p w14:paraId="19BAEB7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2.55±0.52</w:t>
            </w:r>
          </w:p>
        </w:tc>
        <w:tc>
          <w:tcPr>
            <w:tcW w:w="626" w:type="pct"/>
            <w:tcBorders>
              <w:top w:val="nil"/>
              <w:left w:val="nil"/>
              <w:bottom w:val="nil"/>
              <w:right w:val="nil"/>
            </w:tcBorders>
            <w:vAlign w:val="center"/>
          </w:tcPr>
          <w:p w14:paraId="32E9106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4.20±0.44</w:t>
            </w:r>
          </w:p>
        </w:tc>
        <w:tc>
          <w:tcPr>
            <w:tcW w:w="688" w:type="pct"/>
            <w:tcBorders>
              <w:top w:val="nil"/>
              <w:left w:val="nil"/>
              <w:bottom w:val="nil"/>
              <w:right w:val="nil"/>
            </w:tcBorders>
            <w:vAlign w:val="center"/>
          </w:tcPr>
          <w:p w14:paraId="3227DC4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27.08±1.46</w:t>
            </w:r>
          </w:p>
        </w:tc>
      </w:tr>
      <w:tr w14:paraId="7FD936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7C61CD1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ZH-summer</w:t>
            </w:r>
          </w:p>
        </w:tc>
        <w:tc>
          <w:tcPr>
            <w:tcW w:w="641" w:type="pct"/>
            <w:tcBorders>
              <w:top w:val="nil"/>
              <w:left w:val="nil"/>
              <w:bottom w:val="nil"/>
              <w:right w:val="nil"/>
            </w:tcBorders>
            <w:vAlign w:val="center"/>
          </w:tcPr>
          <w:p w14:paraId="4F05C9B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0.70±0.10</w:t>
            </w:r>
          </w:p>
        </w:tc>
        <w:tc>
          <w:tcPr>
            <w:tcW w:w="626" w:type="pct"/>
            <w:tcBorders>
              <w:top w:val="nil"/>
              <w:left w:val="nil"/>
              <w:bottom w:val="nil"/>
              <w:right w:val="nil"/>
            </w:tcBorders>
            <w:vAlign w:val="center"/>
          </w:tcPr>
          <w:p w14:paraId="2C17592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0.04±0.02</w:t>
            </w:r>
          </w:p>
        </w:tc>
        <w:tc>
          <w:tcPr>
            <w:tcW w:w="908" w:type="pct"/>
            <w:tcBorders>
              <w:top w:val="nil"/>
              <w:left w:val="nil"/>
              <w:bottom w:val="nil"/>
              <w:right w:val="nil"/>
            </w:tcBorders>
            <w:vAlign w:val="center"/>
          </w:tcPr>
          <w:p w14:paraId="16C3FC7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1.67±0.09</w:t>
            </w:r>
          </w:p>
        </w:tc>
        <w:tc>
          <w:tcPr>
            <w:tcW w:w="688" w:type="pct"/>
            <w:tcBorders>
              <w:top w:val="nil"/>
              <w:left w:val="nil"/>
              <w:bottom w:val="nil"/>
              <w:right w:val="nil"/>
            </w:tcBorders>
            <w:vAlign w:val="center"/>
          </w:tcPr>
          <w:p w14:paraId="77B85BA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1.22±0.18</w:t>
            </w:r>
          </w:p>
        </w:tc>
        <w:tc>
          <w:tcPr>
            <w:tcW w:w="626" w:type="pct"/>
            <w:tcBorders>
              <w:top w:val="nil"/>
              <w:left w:val="nil"/>
              <w:bottom w:val="nil"/>
              <w:right w:val="nil"/>
            </w:tcBorders>
            <w:vAlign w:val="center"/>
          </w:tcPr>
          <w:p w14:paraId="76A034D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3.20±1.59</w:t>
            </w:r>
          </w:p>
        </w:tc>
        <w:tc>
          <w:tcPr>
            <w:tcW w:w="688" w:type="pct"/>
            <w:tcBorders>
              <w:top w:val="nil"/>
              <w:left w:val="nil"/>
              <w:bottom w:val="nil"/>
              <w:right w:val="nil"/>
            </w:tcBorders>
            <w:vAlign w:val="center"/>
          </w:tcPr>
          <w:p w14:paraId="7B18C20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32.04±1.99</w:t>
            </w:r>
          </w:p>
        </w:tc>
      </w:tr>
      <w:tr w14:paraId="590C2D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4B07EFF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ZH-winter</w:t>
            </w:r>
          </w:p>
        </w:tc>
        <w:tc>
          <w:tcPr>
            <w:tcW w:w="641" w:type="pct"/>
            <w:tcBorders>
              <w:top w:val="nil"/>
              <w:left w:val="nil"/>
              <w:bottom w:val="nil"/>
              <w:right w:val="nil"/>
            </w:tcBorders>
            <w:vAlign w:val="center"/>
          </w:tcPr>
          <w:p w14:paraId="0A8ECB8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0.25±0.03</w:t>
            </w:r>
          </w:p>
        </w:tc>
        <w:tc>
          <w:tcPr>
            <w:tcW w:w="626" w:type="pct"/>
            <w:tcBorders>
              <w:top w:val="nil"/>
              <w:left w:val="nil"/>
              <w:bottom w:val="nil"/>
              <w:right w:val="nil"/>
            </w:tcBorders>
            <w:vAlign w:val="center"/>
          </w:tcPr>
          <w:p w14:paraId="2321BA6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0.03±0.01</w:t>
            </w:r>
          </w:p>
        </w:tc>
        <w:tc>
          <w:tcPr>
            <w:tcW w:w="908" w:type="pct"/>
            <w:tcBorders>
              <w:top w:val="nil"/>
              <w:left w:val="nil"/>
              <w:bottom w:val="nil"/>
              <w:right w:val="nil"/>
            </w:tcBorders>
            <w:vAlign w:val="center"/>
          </w:tcPr>
          <w:p w14:paraId="5FF7DCA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1.44±0.00</w:t>
            </w:r>
          </w:p>
        </w:tc>
        <w:tc>
          <w:tcPr>
            <w:tcW w:w="688" w:type="pct"/>
            <w:tcBorders>
              <w:top w:val="nil"/>
              <w:left w:val="nil"/>
              <w:bottom w:val="nil"/>
              <w:right w:val="nil"/>
            </w:tcBorders>
            <w:vAlign w:val="center"/>
          </w:tcPr>
          <w:p w14:paraId="42D8BC1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1.15±0.13</w:t>
            </w:r>
          </w:p>
        </w:tc>
        <w:tc>
          <w:tcPr>
            <w:tcW w:w="626" w:type="pct"/>
            <w:tcBorders>
              <w:top w:val="nil"/>
              <w:left w:val="nil"/>
              <w:bottom w:val="nil"/>
              <w:right w:val="nil"/>
            </w:tcBorders>
            <w:vAlign w:val="center"/>
          </w:tcPr>
          <w:p w14:paraId="0FB4E53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4.26±1.89</w:t>
            </w:r>
          </w:p>
        </w:tc>
        <w:tc>
          <w:tcPr>
            <w:tcW w:w="688" w:type="pct"/>
            <w:tcBorders>
              <w:top w:val="nil"/>
              <w:left w:val="nil"/>
              <w:bottom w:val="nil"/>
              <w:right w:val="nil"/>
            </w:tcBorders>
            <w:vAlign w:val="center"/>
          </w:tcPr>
          <w:p w14:paraId="29CA82E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25.81±1.26</w:t>
            </w:r>
          </w:p>
        </w:tc>
      </w:tr>
      <w:tr w14:paraId="400E97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4343550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HLK-summer</w:t>
            </w:r>
          </w:p>
        </w:tc>
        <w:tc>
          <w:tcPr>
            <w:tcW w:w="641" w:type="pct"/>
            <w:tcBorders>
              <w:top w:val="nil"/>
              <w:left w:val="nil"/>
              <w:bottom w:val="nil"/>
              <w:right w:val="nil"/>
            </w:tcBorders>
            <w:vAlign w:val="center"/>
          </w:tcPr>
          <w:p w14:paraId="092184D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1.37±0.08</w:t>
            </w:r>
          </w:p>
        </w:tc>
        <w:tc>
          <w:tcPr>
            <w:tcW w:w="626" w:type="pct"/>
            <w:tcBorders>
              <w:top w:val="nil"/>
              <w:left w:val="nil"/>
              <w:bottom w:val="nil"/>
              <w:right w:val="nil"/>
            </w:tcBorders>
            <w:vAlign w:val="center"/>
          </w:tcPr>
          <w:p w14:paraId="65F23F1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0.11±0.01</w:t>
            </w:r>
          </w:p>
        </w:tc>
        <w:tc>
          <w:tcPr>
            <w:tcW w:w="908" w:type="pct"/>
            <w:tcBorders>
              <w:top w:val="nil"/>
              <w:left w:val="nil"/>
              <w:bottom w:val="nil"/>
              <w:right w:val="nil"/>
            </w:tcBorders>
            <w:vAlign w:val="center"/>
          </w:tcPr>
          <w:p w14:paraId="196C23E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2.72±0.12</w:t>
            </w:r>
          </w:p>
        </w:tc>
        <w:tc>
          <w:tcPr>
            <w:tcW w:w="688" w:type="pct"/>
            <w:tcBorders>
              <w:top w:val="nil"/>
              <w:left w:val="nil"/>
              <w:bottom w:val="nil"/>
              <w:right w:val="nil"/>
            </w:tcBorders>
            <w:vAlign w:val="center"/>
          </w:tcPr>
          <w:p w14:paraId="64AA7C7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17.18±1.94</w:t>
            </w:r>
          </w:p>
        </w:tc>
        <w:tc>
          <w:tcPr>
            <w:tcW w:w="626" w:type="pct"/>
            <w:tcBorders>
              <w:top w:val="nil"/>
              <w:left w:val="nil"/>
              <w:bottom w:val="nil"/>
              <w:right w:val="nil"/>
            </w:tcBorders>
            <w:vAlign w:val="center"/>
          </w:tcPr>
          <w:p w14:paraId="7B75740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1.40±0.10</w:t>
            </w:r>
          </w:p>
        </w:tc>
        <w:tc>
          <w:tcPr>
            <w:tcW w:w="688" w:type="pct"/>
            <w:tcBorders>
              <w:top w:val="nil"/>
              <w:left w:val="nil"/>
              <w:bottom w:val="nil"/>
              <w:right w:val="nil"/>
            </w:tcBorders>
            <w:vAlign w:val="center"/>
          </w:tcPr>
          <w:p w14:paraId="63F16DC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39.43±6.34</w:t>
            </w:r>
          </w:p>
        </w:tc>
      </w:tr>
      <w:tr w14:paraId="37C34C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0AE2B27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HLK-winter</w:t>
            </w:r>
          </w:p>
        </w:tc>
        <w:tc>
          <w:tcPr>
            <w:tcW w:w="641" w:type="pct"/>
            <w:tcBorders>
              <w:top w:val="nil"/>
              <w:left w:val="nil"/>
              <w:bottom w:val="nil"/>
              <w:right w:val="nil"/>
            </w:tcBorders>
            <w:vAlign w:val="center"/>
          </w:tcPr>
          <w:p w14:paraId="35E5905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0.41±0.06</w:t>
            </w:r>
          </w:p>
        </w:tc>
        <w:tc>
          <w:tcPr>
            <w:tcW w:w="626" w:type="pct"/>
            <w:tcBorders>
              <w:top w:val="nil"/>
              <w:left w:val="nil"/>
              <w:bottom w:val="nil"/>
              <w:right w:val="nil"/>
            </w:tcBorders>
            <w:vAlign w:val="center"/>
          </w:tcPr>
          <w:p w14:paraId="42E039C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0.02±0.01</w:t>
            </w:r>
          </w:p>
        </w:tc>
        <w:tc>
          <w:tcPr>
            <w:tcW w:w="908" w:type="pct"/>
            <w:tcBorders>
              <w:top w:val="nil"/>
              <w:left w:val="nil"/>
              <w:bottom w:val="nil"/>
              <w:right w:val="nil"/>
            </w:tcBorders>
            <w:vAlign w:val="center"/>
          </w:tcPr>
          <w:p w14:paraId="2F15095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1.80±0.08</w:t>
            </w:r>
          </w:p>
        </w:tc>
        <w:tc>
          <w:tcPr>
            <w:tcW w:w="688" w:type="pct"/>
            <w:tcBorders>
              <w:top w:val="nil"/>
              <w:left w:val="nil"/>
              <w:bottom w:val="nil"/>
              <w:right w:val="nil"/>
            </w:tcBorders>
            <w:vAlign w:val="center"/>
          </w:tcPr>
          <w:p w14:paraId="55133E9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2.98±0.81</w:t>
            </w:r>
          </w:p>
        </w:tc>
        <w:tc>
          <w:tcPr>
            <w:tcW w:w="626" w:type="pct"/>
            <w:tcBorders>
              <w:top w:val="nil"/>
              <w:left w:val="nil"/>
              <w:bottom w:val="nil"/>
              <w:right w:val="nil"/>
            </w:tcBorders>
            <w:vAlign w:val="center"/>
          </w:tcPr>
          <w:p w14:paraId="5E5522B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4.77±0.21</w:t>
            </w:r>
          </w:p>
        </w:tc>
        <w:tc>
          <w:tcPr>
            <w:tcW w:w="688" w:type="pct"/>
            <w:tcBorders>
              <w:top w:val="nil"/>
              <w:left w:val="nil"/>
              <w:bottom w:val="nil"/>
              <w:right w:val="nil"/>
            </w:tcBorders>
            <w:vAlign w:val="center"/>
          </w:tcPr>
          <w:p w14:paraId="032183A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29.98±1.25</w:t>
            </w:r>
          </w:p>
        </w:tc>
      </w:tr>
      <w:tr w14:paraId="03CBD2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5A6D8B2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ZL-summer</w:t>
            </w:r>
          </w:p>
        </w:tc>
        <w:tc>
          <w:tcPr>
            <w:tcW w:w="641" w:type="pct"/>
            <w:tcBorders>
              <w:top w:val="nil"/>
              <w:left w:val="nil"/>
              <w:bottom w:val="nil"/>
              <w:right w:val="nil"/>
            </w:tcBorders>
            <w:vAlign w:val="center"/>
          </w:tcPr>
          <w:p w14:paraId="377F868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0.61±0.01</w:t>
            </w:r>
          </w:p>
        </w:tc>
        <w:tc>
          <w:tcPr>
            <w:tcW w:w="626" w:type="pct"/>
            <w:tcBorders>
              <w:top w:val="nil"/>
              <w:left w:val="nil"/>
              <w:bottom w:val="nil"/>
              <w:right w:val="nil"/>
            </w:tcBorders>
            <w:vAlign w:val="center"/>
          </w:tcPr>
          <w:p w14:paraId="3259719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0.04±0.02</w:t>
            </w:r>
          </w:p>
        </w:tc>
        <w:tc>
          <w:tcPr>
            <w:tcW w:w="908" w:type="pct"/>
            <w:tcBorders>
              <w:top w:val="nil"/>
              <w:left w:val="nil"/>
              <w:bottom w:val="nil"/>
              <w:right w:val="nil"/>
            </w:tcBorders>
            <w:vAlign w:val="center"/>
          </w:tcPr>
          <w:p w14:paraId="2C687C3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1.79±0.50</w:t>
            </w:r>
          </w:p>
        </w:tc>
        <w:tc>
          <w:tcPr>
            <w:tcW w:w="688" w:type="pct"/>
            <w:tcBorders>
              <w:top w:val="nil"/>
              <w:left w:val="nil"/>
              <w:bottom w:val="nil"/>
              <w:right w:val="nil"/>
            </w:tcBorders>
            <w:vAlign w:val="center"/>
          </w:tcPr>
          <w:p w14:paraId="3F71035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9.97±7.25</w:t>
            </w:r>
          </w:p>
        </w:tc>
        <w:tc>
          <w:tcPr>
            <w:tcW w:w="626" w:type="pct"/>
            <w:tcBorders>
              <w:top w:val="nil"/>
              <w:left w:val="nil"/>
              <w:bottom w:val="nil"/>
              <w:right w:val="nil"/>
            </w:tcBorders>
            <w:vAlign w:val="center"/>
          </w:tcPr>
          <w:p w14:paraId="6D9A32D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1.53±0.85</w:t>
            </w:r>
          </w:p>
        </w:tc>
        <w:tc>
          <w:tcPr>
            <w:tcW w:w="688" w:type="pct"/>
            <w:tcBorders>
              <w:top w:val="nil"/>
              <w:left w:val="nil"/>
              <w:bottom w:val="nil"/>
              <w:right w:val="nil"/>
            </w:tcBorders>
            <w:vAlign w:val="center"/>
          </w:tcPr>
          <w:p w14:paraId="4F9E37B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49.94±0.62</w:t>
            </w:r>
          </w:p>
        </w:tc>
      </w:tr>
      <w:tr w14:paraId="6E27C0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3D48F86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ZL-winter</w:t>
            </w:r>
          </w:p>
        </w:tc>
        <w:tc>
          <w:tcPr>
            <w:tcW w:w="641" w:type="pct"/>
            <w:tcBorders>
              <w:top w:val="nil"/>
              <w:left w:val="nil"/>
              <w:bottom w:val="nil"/>
              <w:right w:val="nil"/>
            </w:tcBorders>
            <w:vAlign w:val="center"/>
          </w:tcPr>
          <w:p w14:paraId="336D8A8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0.68±0.17</w:t>
            </w:r>
          </w:p>
        </w:tc>
        <w:tc>
          <w:tcPr>
            <w:tcW w:w="626" w:type="pct"/>
            <w:tcBorders>
              <w:top w:val="nil"/>
              <w:left w:val="nil"/>
              <w:bottom w:val="nil"/>
              <w:right w:val="nil"/>
            </w:tcBorders>
            <w:vAlign w:val="center"/>
          </w:tcPr>
          <w:p w14:paraId="0C67A54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0.03±0.01</w:t>
            </w:r>
          </w:p>
        </w:tc>
        <w:tc>
          <w:tcPr>
            <w:tcW w:w="908" w:type="pct"/>
            <w:tcBorders>
              <w:top w:val="nil"/>
              <w:left w:val="nil"/>
              <w:bottom w:val="nil"/>
              <w:right w:val="nil"/>
            </w:tcBorders>
            <w:vAlign w:val="center"/>
          </w:tcPr>
          <w:p w14:paraId="7F3D290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1.60±0.08</w:t>
            </w:r>
          </w:p>
        </w:tc>
        <w:tc>
          <w:tcPr>
            <w:tcW w:w="688" w:type="pct"/>
            <w:tcBorders>
              <w:top w:val="nil"/>
              <w:left w:val="nil"/>
              <w:bottom w:val="nil"/>
              <w:right w:val="nil"/>
            </w:tcBorders>
            <w:vAlign w:val="center"/>
          </w:tcPr>
          <w:p w14:paraId="685CCCC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2.56±0.88</w:t>
            </w:r>
          </w:p>
        </w:tc>
        <w:tc>
          <w:tcPr>
            <w:tcW w:w="626" w:type="pct"/>
            <w:tcBorders>
              <w:top w:val="nil"/>
              <w:left w:val="nil"/>
              <w:bottom w:val="nil"/>
              <w:right w:val="nil"/>
            </w:tcBorders>
            <w:vAlign w:val="center"/>
          </w:tcPr>
          <w:p w14:paraId="4B28243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2.46±1.01</w:t>
            </w:r>
          </w:p>
        </w:tc>
        <w:tc>
          <w:tcPr>
            <w:tcW w:w="688" w:type="pct"/>
            <w:tcBorders>
              <w:top w:val="nil"/>
              <w:left w:val="nil"/>
              <w:bottom w:val="nil"/>
              <w:right w:val="nil"/>
            </w:tcBorders>
            <w:vAlign w:val="center"/>
          </w:tcPr>
          <w:p w14:paraId="5E012CF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33.78±1.25</w:t>
            </w:r>
          </w:p>
        </w:tc>
      </w:tr>
      <w:tr w14:paraId="7DA8ED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061C389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DJK-summer</w:t>
            </w:r>
          </w:p>
        </w:tc>
        <w:tc>
          <w:tcPr>
            <w:tcW w:w="641" w:type="pct"/>
            <w:tcBorders>
              <w:top w:val="nil"/>
              <w:left w:val="nil"/>
              <w:bottom w:val="nil"/>
              <w:right w:val="nil"/>
            </w:tcBorders>
            <w:vAlign w:val="center"/>
          </w:tcPr>
          <w:p w14:paraId="03B4A51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1.05±0.04</w:t>
            </w:r>
          </w:p>
        </w:tc>
        <w:tc>
          <w:tcPr>
            <w:tcW w:w="626" w:type="pct"/>
            <w:tcBorders>
              <w:top w:val="nil"/>
              <w:left w:val="nil"/>
              <w:bottom w:val="nil"/>
              <w:right w:val="nil"/>
            </w:tcBorders>
            <w:vAlign w:val="center"/>
          </w:tcPr>
          <w:p w14:paraId="442E5D3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0.06±0.02</w:t>
            </w:r>
          </w:p>
        </w:tc>
        <w:tc>
          <w:tcPr>
            <w:tcW w:w="908" w:type="pct"/>
            <w:tcBorders>
              <w:top w:val="nil"/>
              <w:left w:val="nil"/>
              <w:bottom w:val="nil"/>
              <w:right w:val="nil"/>
            </w:tcBorders>
            <w:vAlign w:val="center"/>
          </w:tcPr>
          <w:p w14:paraId="41B9E19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2.32±0.12</w:t>
            </w:r>
          </w:p>
        </w:tc>
        <w:tc>
          <w:tcPr>
            <w:tcW w:w="688" w:type="pct"/>
            <w:tcBorders>
              <w:top w:val="nil"/>
              <w:left w:val="nil"/>
              <w:bottom w:val="nil"/>
              <w:right w:val="nil"/>
            </w:tcBorders>
            <w:vAlign w:val="center"/>
          </w:tcPr>
          <w:p w14:paraId="1311227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3.84±0.14</w:t>
            </w:r>
          </w:p>
        </w:tc>
        <w:tc>
          <w:tcPr>
            <w:tcW w:w="626" w:type="pct"/>
            <w:tcBorders>
              <w:top w:val="nil"/>
              <w:left w:val="nil"/>
              <w:bottom w:val="nil"/>
              <w:right w:val="nil"/>
            </w:tcBorders>
            <w:vAlign w:val="center"/>
          </w:tcPr>
          <w:p w14:paraId="1363442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2.90±0.26</w:t>
            </w:r>
          </w:p>
        </w:tc>
        <w:tc>
          <w:tcPr>
            <w:tcW w:w="688" w:type="pct"/>
            <w:tcBorders>
              <w:top w:val="nil"/>
              <w:left w:val="nil"/>
              <w:bottom w:val="nil"/>
              <w:right w:val="nil"/>
            </w:tcBorders>
            <w:vAlign w:val="center"/>
          </w:tcPr>
          <w:p w14:paraId="623A9D1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39.45±1.01</w:t>
            </w:r>
          </w:p>
        </w:tc>
      </w:tr>
      <w:tr w14:paraId="1AD965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54A6241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DJK-winter</w:t>
            </w:r>
          </w:p>
        </w:tc>
        <w:tc>
          <w:tcPr>
            <w:tcW w:w="641" w:type="pct"/>
            <w:tcBorders>
              <w:top w:val="nil"/>
              <w:left w:val="nil"/>
              <w:bottom w:val="nil"/>
              <w:right w:val="nil"/>
            </w:tcBorders>
            <w:vAlign w:val="center"/>
          </w:tcPr>
          <w:p w14:paraId="04C30EA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0.84±0.09</w:t>
            </w:r>
          </w:p>
        </w:tc>
        <w:tc>
          <w:tcPr>
            <w:tcW w:w="626" w:type="pct"/>
            <w:tcBorders>
              <w:top w:val="nil"/>
              <w:left w:val="nil"/>
              <w:bottom w:val="nil"/>
              <w:right w:val="nil"/>
            </w:tcBorders>
            <w:vAlign w:val="center"/>
          </w:tcPr>
          <w:p w14:paraId="4A16BC8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0.03±0.01</w:t>
            </w:r>
          </w:p>
        </w:tc>
        <w:tc>
          <w:tcPr>
            <w:tcW w:w="908" w:type="pct"/>
            <w:tcBorders>
              <w:top w:val="nil"/>
              <w:left w:val="nil"/>
              <w:bottom w:val="nil"/>
              <w:right w:val="nil"/>
            </w:tcBorders>
            <w:vAlign w:val="center"/>
          </w:tcPr>
          <w:p w14:paraId="654BF51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1.95±0.05</w:t>
            </w:r>
          </w:p>
        </w:tc>
        <w:tc>
          <w:tcPr>
            <w:tcW w:w="688" w:type="pct"/>
            <w:tcBorders>
              <w:top w:val="nil"/>
              <w:left w:val="nil"/>
              <w:bottom w:val="nil"/>
              <w:right w:val="nil"/>
            </w:tcBorders>
            <w:vAlign w:val="center"/>
          </w:tcPr>
          <w:p w14:paraId="2E064FF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3.51±0.60</w:t>
            </w:r>
          </w:p>
        </w:tc>
        <w:tc>
          <w:tcPr>
            <w:tcW w:w="626" w:type="pct"/>
            <w:tcBorders>
              <w:top w:val="nil"/>
              <w:left w:val="nil"/>
              <w:bottom w:val="nil"/>
              <w:right w:val="nil"/>
            </w:tcBorders>
            <w:vAlign w:val="center"/>
          </w:tcPr>
          <w:p w14:paraId="4336A40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1.93±0.12</w:t>
            </w:r>
          </w:p>
        </w:tc>
        <w:tc>
          <w:tcPr>
            <w:tcW w:w="688" w:type="pct"/>
            <w:tcBorders>
              <w:top w:val="nil"/>
              <w:left w:val="nil"/>
              <w:bottom w:val="nil"/>
              <w:right w:val="nil"/>
            </w:tcBorders>
            <w:vAlign w:val="center"/>
          </w:tcPr>
          <w:p w14:paraId="2240611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37.32±0.38</w:t>
            </w:r>
          </w:p>
        </w:tc>
      </w:tr>
      <w:tr w14:paraId="3E1592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2107932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SH-summer</w:t>
            </w:r>
          </w:p>
        </w:tc>
        <w:tc>
          <w:tcPr>
            <w:tcW w:w="641" w:type="pct"/>
            <w:tcBorders>
              <w:top w:val="nil"/>
              <w:left w:val="nil"/>
              <w:bottom w:val="nil"/>
              <w:right w:val="nil"/>
            </w:tcBorders>
            <w:vAlign w:val="center"/>
          </w:tcPr>
          <w:p w14:paraId="3AA5CFD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0.63±0.08</w:t>
            </w:r>
          </w:p>
        </w:tc>
        <w:tc>
          <w:tcPr>
            <w:tcW w:w="626" w:type="pct"/>
            <w:tcBorders>
              <w:top w:val="nil"/>
              <w:left w:val="nil"/>
              <w:bottom w:val="nil"/>
              <w:right w:val="nil"/>
            </w:tcBorders>
            <w:vAlign w:val="center"/>
          </w:tcPr>
          <w:p w14:paraId="0622F7D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0.09±0.02</w:t>
            </w:r>
          </w:p>
        </w:tc>
        <w:tc>
          <w:tcPr>
            <w:tcW w:w="908" w:type="pct"/>
            <w:tcBorders>
              <w:top w:val="nil"/>
              <w:left w:val="nil"/>
              <w:bottom w:val="nil"/>
              <w:right w:val="nil"/>
            </w:tcBorders>
            <w:vAlign w:val="center"/>
          </w:tcPr>
          <w:p w14:paraId="068AEEA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3.92±0.15</w:t>
            </w:r>
          </w:p>
        </w:tc>
        <w:tc>
          <w:tcPr>
            <w:tcW w:w="688" w:type="pct"/>
            <w:tcBorders>
              <w:top w:val="nil"/>
              <w:left w:val="nil"/>
              <w:bottom w:val="nil"/>
              <w:right w:val="nil"/>
            </w:tcBorders>
            <w:vAlign w:val="center"/>
          </w:tcPr>
          <w:p w14:paraId="1AF2B76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26.00±0.13</w:t>
            </w:r>
          </w:p>
        </w:tc>
        <w:tc>
          <w:tcPr>
            <w:tcW w:w="626" w:type="pct"/>
            <w:tcBorders>
              <w:top w:val="nil"/>
              <w:left w:val="nil"/>
              <w:bottom w:val="nil"/>
              <w:right w:val="nil"/>
            </w:tcBorders>
            <w:vAlign w:val="center"/>
          </w:tcPr>
          <w:p w14:paraId="6C7243A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0.83±0.03</w:t>
            </w:r>
          </w:p>
        </w:tc>
        <w:tc>
          <w:tcPr>
            <w:tcW w:w="688" w:type="pct"/>
            <w:tcBorders>
              <w:top w:val="nil"/>
              <w:left w:val="nil"/>
              <w:bottom w:val="nil"/>
              <w:right w:val="nil"/>
            </w:tcBorders>
            <w:vAlign w:val="center"/>
          </w:tcPr>
          <w:p w14:paraId="769B479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51.43±0.99</w:t>
            </w:r>
          </w:p>
        </w:tc>
      </w:tr>
      <w:tr w14:paraId="34C949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5CA0C4C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SH-winter</w:t>
            </w:r>
          </w:p>
        </w:tc>
        <w:tc>
          <w:tcPr>
            <w:tcW w:w="641" w:type="pct"/>
            <w:tcBorders>
              <w:top w:val="nil"/>
              <w:left w:val="nil"/>
              <w:bottom w:val="nil"/>
              <w:right w:val="nil"/>
            </w:tcBorders>
            <w:vAlign w:val="center"/>
          </w:tcPr>
          <w:p w14:paraId="1EA9250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0.49±0.05</w:t>
            </w:r>
          </w:p>
        </w:tc>
        <w:tc>
          <w:tcPr>
            <w:tcW w:w="626" w:type="pct"/>
            <w:tcBorders>
              <w:top w:val="nil"/>
              <w:left w:val="nil"/>
              <w:bottom w:val="nil"/>
              <w:right w:val="nil"/>
            </w:tcBorders>
            <w:vAlign w:val="center"/>
          </w:tcPr>
          <w:p w14:paraId="59FEACF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0.03±0.01</w:t>
            </w:r>
          </w:p>
        </w:tc>
        <w:tc>
          <w:tcPr>
            <w:tcW w:w="908" w:type="pct"/>
            <w:tcBorders>
              <w:top w:val="nil"/>
              <w:left w:val="nil"/>
              <w:bottom w:val="nil"/>
              <w:right w:val="nil"/>
            </w:tcBorders>
            <w:vAlign w:val="center"/>
          </w:tcPr>
          <w:p w14:paraId="1A3DC89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2.37±0.05</w:t>
            </w:r>
          </w:p>
        </w:tc>
        <w:tc>
          <w:tcPr>
            <w:tcW w:w="688" w:type="pct"/>
            <w:tcBorders>
              <w:top w:val="nil"/>
              <w:left w:val="nil"/>
              <w:bottom w:val="nil"/>
              <w:right w:val="nil"/>
            </w:tcBorders>
            <w:vAlign w:val="center"/>
          </w:tcPr>
          <w:p w14:paraId="4F44E1F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3.94±1.65</w:t>
            </w:r>
          </w:p>
        </w:tc>
        <w:tc>
          <w:tcPr>
            <w:tcW w:w="626" w:type="pct"/>
            <w:tcBorders>
              <w:top w:val="nil"/>
              <w:left w:val="nil"/>
              <w:bottom w:val="nil"/>
              <w:right w:val="nil"/>
            </w:tcBorders>
            <w:vAlign w:val="center"/>
          </w:tcPr>
          <w:p w14:paraId="209D481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1.73±0.31</w:t>
            </w:r>
          </w:p>
        </w:tc>
        <w:tc>
          <w:tcPr>
            <w:tcW w:w="688" w:type="pct"/>
            <w:tcBorders>
              <w:top w:val="nil"/>
              <w:left w:val="nil"/>
              <w:bottom w:val="nil"/>
              <w:right w:val="nil"/>
            </w:tcBorders>
            <w:vAlign w:val="center"/>
          </w:tcPr>
          <w:p w14:paraId="4CE2D31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37.30±2.60</w:t>
            </w:r>
          </w:p>
        </w:tc>
      </w:tr>
      <w:tr w14:paraId="6A7B69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2924613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BH-summer</w:t>
            </w:r>
          </w:p>
        </w:tc>
        <w:tc>
          <w:tcPr>
            <w:tcW w:w="641" w:type="pct"/>
            <w:tcBorders>
              <w:top w:val="nil"/>
              <w:left w:val="nil"/>
              <w:bottom w:val="nil"/>
              <w:right w:val="nil"/>
            </w:tcBorders>
            <w:vAlign w:val="center"/>
          </w:tcPr>
          <w:p w14:paraId="73B1FCA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2.02±0.04</w:t>
            </w:r>
          </w:p>
        </w:tc>
        <w:tc>
          <w:tcPr>
            <w:tcW w:w="626" w:type="pct"/>
            <w:tcBorders>
              <w:top w:val="nil"/>
              <w:left w:val="nil"/>
              <w:bottom w:val="nil"/>
              <w:right w:val="nil"/>
            </w:tcBorders>
            <w:vAlign w:val="center"/>
          </w:tcPr>
          <w:p w14:paraId="0E35862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0.16±0.03</w:t>
            </w:r>
          </w:p>
        </w:tc>
        <w:tc>
          <w:tcPr>
            <w:tcW w:w="908" w:type="pct"/>
            <w:tcBorders>
              <w:top w:val="nil"/>
              <w:left w:val="nil"/>
              <w:bottom w:val="nil"/>
              <w:right w:val="nil"/>
            </w:tcBorders>
            <w:vAlign w:val="center"/>
          </w:tcPr>
          <w:p w14:paraId="3669568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2.39±0.21</w:t>
            </w:r>
          </w:p>
        </w:tc>
        <w:tc>
          <w:tcPr>
            <w:tcW w:w="688" w:type="pct"/>
            <w:tcBorders>
              <w:top w:val="nil"/>
              <w:left w:val="nil"/>
              <w:bottom w:val="nil"/>
              <w:right w:val="nil"/>
            </w:tcBorders>
            <w:vAlign w:val="center"/>
          </w:tcPr>
          <w:p w14:paraId="022914E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26.13±0.47</w:t>
            </w:r>
          </w:p>
        </w:tc>
        <w:tc>
          <w:tcPr>
            <w:tcW w:w="626" w:type="pct"/>
            <w:tcBorders>
              <w:top w:val="nil"/>
              <w:left w:val="nil"/>
              <w:bottom w:val="nil"/>
              <w:right w:val="nil"/>
            </w:tcBorders>
            <w:vAlign w:val="center"/>
          </w:tcPr>
          <w:p w14:paraId="7D1444B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1.00±0.10</w:t>
            </w:r>
          </w:p>
        </w:tc>
        <w:tc>
          <w:tcPr>
            <w:tcW w:w="688" w:type="pct"/>
            <w:tcBorders>
              <w:top w:val="nil"/>
              <w:left w:val="nil"/>
              <w:bottom w:val="nil"/>
              <w:right w:val="nil"/>
            </w:tcBorders>
            <w:vAlign w:val="center"/>
          </w:tcPr>
          <w:p w14:paraId="0D9D66B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53.96±0.44</w:t>
            </w:r>
          </w:p>
        </w:tc>
      </w:tr>
      <w:tr w14:paraId="4BDCCC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1B87813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BH-winter</w:t>
            </w:r>
          </w:p>
        </w:tc>
        <w:tc>
          <w:tcPr>
            <w:tcW w:w="641" w:type="pct"/>
            <w:tcBorders>
              <w:top w:val="nil"/>
              <w:left w:val="nil"/>
              <w:bottom w:val="nil"/>
              <w:right w:val="nil"/>
            </w:tcBorders>
            <w:vAlign w:val="center"/>
          </w:tcPr>
          <w:p w14:paraId="3874EAE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2.83±0.17</w:t>
            </w:r>
          </w:p>
        </w:tc>
        <w:tc>
          <w:tcPr>
            <w:tcW w:w="626" w:type="pct"/>
            <w:tcBorders>
              <w:top w:val="nil"/>
              <w:left w:val="nil"/>
              <w:bottom w:val="nil"/>
              <w:right w:val="nil"/>
            </w:tcBorders>
            <w:vAlign w:val="center"/>
          </w:tcPr>
          <w:p w14:paraId="78657F0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0.06±0.02</w:t>
            </w:r>
          </w:p>
        </w:tc>
        <w:tc>
          <w:tcPr>
            <w:tcW w:w="908" w:type="pct"/>
            <w:tcBorders>
              <w:top w:val="nil"/>
              <w:left w:val="nil"/>
              <w:bottom w:val="nil"/>
              <w:right w:val="nil"/>
            </w:tcBorders>
            <w:vAlign w:val="center"/>
          </w:tcPr>
          <w:p w14:paraId="68C7363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2.21±0.09</w:t>
            </w:r>
          </w:p>
        </w:tc>
        <w:tc>
          <w:tcPr>
            <w:tcW w:w="688" w:type="pct"/>
            <w:tcBorders>
              <w:top w:val="nil"/>
              <w:left w:val="nil"/>
              <w:bottom w:val="nil"/>
              <w:right w:val="nil"/>
            </w:tcBorders>
            <w:vAlign w:val="center"/>
          </w:tcPr>
          <w:p w14:paraId="3D76B90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8.94±6.35</w:t>
            </w:r>
          </w:p>
        </w:tc>
        <w:tc>
          <w:tcPr>
            <w:tcW w:w="626" w:type="pct"/>
            <w:tcBorders>
              <w:top w:val="nil"/>
              <w:left w:val="nil"/>
              <w:bottom w:val="nil"/>
              <w:right w:val="nil"/>
            </w:tcBorders>
            <w:vAlign w:val="center"/>
          </w:tcPr>
          <w:p w14:paraId="0EA47F4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2.01±1.13</w:t>
            </w:r>
          </w:p>
        </w:tc>
        <w:tc>
          <w:tcPr>
            <w:tcW w:w="688" w:type="pct"/>
            <w:tcBorders>
              <w:top w:val="nil"/>
              <w:left w:val="nil"/>
              <w:bottom w:val="nil"/>
              <w:right w:val="nil"/>
            </w:tcBorders>
            <w:vAlign w:val="center"/>
          </w:tcPr>
          <w:p w14:paraId="57B4BDA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45.97±5.72</w:t>
            </w:r>
          </w:p>
        </w:tc>
      </w:tr>
      <w:tr w14:paraId="70BC54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nil"/>
              <w:right w:val="nil"/>
            </w:tcBorders>
            <w:vAlign w:val="center"/>
          </w:tcPr>
          <w:p w14:paraId="70A0BE2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YT-summer</w:t>
            </w:r>
          </w:p>
        </w:tc>
        <w:tc>
          <w:tcPr>
            <w:tcW w:w="641" w:type="pct"/>
            <w:tcBorders>
              <w:top w:val="nil"/>
              <w:left w:val="nil"/>
              <w:bottom w:val="nil"/>
              <w:right w:val="nil"/>
            </w:tcBorders>
            <w:vAlign w:val="center"/>
          </w:tcPr>
          <w:p w14:paraId="61ABB21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1.28±0.13</w:t>
            </w:r>
          </w:p>
        </w:tc>
        <w:tc>
          <w:tcPr>
            <w:tcW w:w="626" w:type="pct"/>
            <w:tcBorders>
              <w:top w:val="nil"/>
              <w:left w:val="nil"/>
              <w:bottom w:val="nil"/>
              <w:right w:val="nil"/>
            </w:tcBorders>
            <w:vAlign w:val="center"/>
          </w:tcPr>
          <w:p w14:paraId="12DBE09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0.33±0.08</w:t>
            </w:r>
          </w:p>
        </w:tc>
        <w:tc>
          <w:tcPr>
            <w:tcW w:w="908" w:type="pct"/>
            <w:tcBorders>
              <w:top w:val="nil"/>
              <w:left w:val="nil"/>
              <w:bottom w:val="nil"/>
              <w:right w:val="nil"/>
            </w:tcBorders>
            <w:vAlign w:val="center"/>
          </w:tcPr>
          <w:p w14:paraId="1844D31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5.48±0.18</w:t>
            </w:r>
          </w:p>
        </w:tc>
        <w:tc>
          <w:tcPr>
            <w:tcW w:w="688" w:type="pct"/>
            <w:tcBorders>
              <w:top w:val="nil"/>
              <w:left w:val="nil"/>
              <w:bottom w:val="nil"/>
              <w:right w:val="nil"/>
            </w:tcBorders>
            <w:vAlign w:val="center"/>
          </w:tcPr>
          <w:p w14:paraId="2362A39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46.41±2.41</w:t>
            </w:r>
          </w:p>
        </w:tc>
        <w:tc>
          <w:tcPr>
            <w:tcW w:w="626" w:type="pct"/>
            <w:tcBorders>
              <w:top w:val="nil"/>
              <w:left w:val="nil"/>
              <w:bottom w:val="nil"/>
              <w:right w:val="nil"/>
            </w:tcBorders>
            <w:vAlign w:val="center"/>
          </w:tcPr>
          <w:p w14:paraId="1A2BE02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0.80±0.00</w:t>
            </w:r>
          </w:p>
        </w:tc>
        <w:tc>
          <w:tcPr>
            <w:tcW w:w="688" w:type="pct"/>
            <w:tcBorders>
              <w:top w:val="nil"/>
              <w:left w:val="nil"/>
              <w:bottom w:val="nil"/>
              <w:right w:val="nil"/>
            </w:tcBorders>
            <w:vAlign w:val="center"/>
          </w:tcPr>
          <w:p w14:paraId="2044214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61.20±0.44</w:t>
            </w:r>
          </w:p>
        </w:tc>
      </w:tr>
      <w:tr w14:paraId="62DE4C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19" w:type="pct"/>
            <w:tcBorders>
              <w:top w:val="nil"/>
              <w:left w:val="nil"/>
              <w:bottom w:val="single" w:color="auto" w:sz="12" w:space="0"/>
              <w:right w:val="nil"/>
            </w:tcBorders>
            <w:vAlign w:val="center"/>
          </w:tcPr>
          <w:p w14:paraId="03F886A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YT-winter</w:t>
            </w:r>
          </w:p>
        </w:tc>
        <w:tc>
          <w:tcPr>
            <w:tcW w:w="641" w:type="pct"/>
            <w:tcBorders>
              <w:top w:val="nil"/>
              <w:left w:val="nil"/>
              <w:bottom w:val="single" w:color="auto" w:sz="12" w:space="0"/>
              <w:right w:val="nil"/>
            </w:tcBorders>
            <w:vAlign w:val="center"/>
          </w:tcPr>
          <w:p w14:paraId="705243B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2.57±0.09</w:t>
            </w:r>
          </w:p>
        </w:tc>
        <w:tc>
          <w:tcPr>
            <w:tcW w:w="626" w:type="pct"/>
            <w:tcBorders>
              <w:top w:val="nil"/>
              <w:left w:val="nil"/>
              <w:bottom w:val="single" w:color="auto" w:sz="12" w:space="0"/>
              <w:right w:val="nil"/>
            </w:tcBorders>
            <w:vAlign w:val="center"/>
          </w:tcPr>
          <w:p w14:paraId="1EFD23F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0.11±0.02</w:t>
            </w:r>
          </w:p>
        </w:tc>
        <w:tc>
          <w:tcPr>
            <w:tcW w:w="908" w:type="pct"/>
            <w:tcBorders>
              <w:top w:val="nil"/>
              <w:left w:val="nil"/>
              <w:bottom w:val="single" w:color="auto" w:sz="12" w:space="0"/>
              <w:right w:val="nil"/>
            </w:tcBorders>
            <w:vAlign w:val="center"/>
          </w:tcPr>
          <w:p w14:paraId="70599C0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4.85±0.09</w:t>
            </w:r>
          </w:p>
        </w:tc>
        <w:tc>
          <w:tcPr>
            <w:tcW w:w="688" w:type="pct"/>
            <w:tcBorders>
              <w:top w:val="nil"/>
              <w:left w:val="nil"/>
              <w:bottom w:val="single" w:color="auto" w:sz="12" w:space="0"/>
              <w:right w:val="nil"/>
            </w:tcBorders>
            <w:vAlign w:val="center"/>
          </w:tcPr>
          <w:p w14:paraId="38C4E9C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50.93±7.58</w:t>
            </w:r>
          </w:p>
        </w:tc>
        <w:tc>
          <w:tcPr>
            <w:tcW w:w="626" w:type="pct"/>
            <w:tcBorders>
              <w:top w:val="nil"/>
              <w:left w:val="nil"/>
              <w:bottom w:val="single" w:color="auto" w:sz="12" w:space="0"/>
              <w:right w:val="nil"/>
            </w:tcBorders>
            <w:vAlign w:val="center"/>
          </w:tcPr>
          <w:p w14:paraId="75495AB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1.30±0.22</w:t>
            </w:r>
          </w:p>
        </w:tc>
        <w:tc>
          <w:tcPr>
            <w:tcW w:w="688" w:type="pct"/>
            <w:tcBorders>
              <w:top w:val="nil"/>
              <w:left w:val="nil"/>
              <w:bottom w:val="single" w:color="auto" w:sz="12" w:space="0"/>
              <w:right w:val="nil"/>
            </w:tcBorders>
            <w:vAlign w:val="center"/>
          </w:tcPr>
          <w:p w14:paraId="1A2A467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57.92±1.09</w:t>
            </w:r>
          </w:p>
        </w:tc>
      </w:tr>
    </w:tbl>
    <w:p w14:paraId="05323AF7">
      <w:pPr>
        <w:spacing w:line="480" w:lineRule="auto"/>
        <w:ind w:firstLine="0" w:firstLineChars="0"/>
        <w:rPr>
          <w:rFonts w:cs="Times New Roman"/>
          <w:b/>
          <w:bCs/>
          <w:sz w:val="21"/>
          <w:szCs w:val="21"/>
        </w:rPr>
      </w:pPr>
      <w:r>
        <w:rPr>
          <w:rFonts w:cs="Times New Roman"/>
          <w:b/>
          <w:bCs/>
          <w:sz w:val="21"/>
          <w:szCs w:val="21"/>
        </w:rPr>
        <w:br w:type="page"/>
      </w:r>
    </w:p>
    <w:p w14:paraId="730CBC77">
      <w:pPr>
        <w:spacing w:line="480" w:lineRule="auto"/>
        <w:ind w:firstLine="0" w:firstLineChars="0"/>
        <w:rPr>
          <w:rFonts w:cs="Times New Roman"/>
          <w:b/>
          <w:bCs/>
          <w:sz w:val="21"/>
          <w:szCs w:val="21"/>
        </w:rPr>
      </w:pPr>
      <w:r>
        <w:rPr>
          <w:rFonts w:cs="Times New Roman"/>
          <w:b/>
          <w:bCs/>
          <w:sz w:val="21"/>
          <w:szCs w:val="21"/>
        </w:rPr>
        <w:t>Table S4 The average values ± standard deviations of the FT-ICR MS indicators of the sampled reservoirs</w:t>
      </w:r>
    </w:p>
    <w:tbl>
      <w:tblPr>
        <w:tblStyle w:val="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30"/>
        <w:gridCol w:w="1381"/>
        <w:gridCol w:w="1068"/>
        <w:gridCol w:w="1068"/>
        <w:gridCol w:w="865"/>
        <w:gridCol w:w="1268"/>
        <w:gridCol w:w="1149"/>
        <w:gridCol w:w="1512"/>
      </w:tblGrid>
      <w:tr w14:paraId="7CE542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34" w:type="pct"/>
            <w:tcBorders>
              <w:top w:val="single" w:color="auto" w:sz="12" w:space="0"/>
              <w:left w:val="nil"/>
              <w:bottom w:val="single" w:color="auto" w:sz="6" w:space="0"/>
              <w:right w:val="nil"/>
            </w:tcBorders>
            <w:vAlign w:val="center"/>
          </w:tcPr>
          <w:p w14:paraId="4AA71DE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Reservoir</w:t>
            </w:r>
          </w:p>
        </w:tc>
        <w:tc>
          <w:tcPr>
            <w:tcW w:w="709" w:type="pct"/>
            <w:tcBorders>
              <w:top w:val="single" w:color="auto" w:sz="12" w:space="0"/>
              <w:left w:val="nil"/>
              <w:bottom w:val="single" w:color="auto" w:sz="6" w:space="0"/>
              <w:right w:val="nil"/>
            </w:tcBorders>
            <w:vAlign w:val="center"/>
          </w:tcPr>
          <w:p w14:paraId="08335714">
            <w:pPr>
              <w:spacing w:line="480" w:lineRule="auto"/>
              <w:ind w:firstLine="0" w:firstLineChars="0"/>
              <w:jc w:val="center"/>
              <w:rPr>
                <w:rFonts w:eastAsia="Times New Roman" w:cs="Times New Roman"/>
                <w:kern w:val="0"/>
                <w:sz w:val="21"/>
                <w:szCs w:val="21"/>
              </w:rPr>
            </w:pPr>
            <w:r>
              <w:rPr>
                <w:rFonts w:hint="eastAsia" w:eastAsia="Times New Roman" w:cs="Times New Roman"/>
                <w:kern w:val="0"/>
                <w:sz w:val="21"/>
                <w:szCs w:val="21"/>
              </w:rPr>
              <w:t>m/z</w:t>
            </w:r>
          </w:p>
        </w:tc>
        <w:tc>
          <w:tcPr>
            <w:tcW w:w="548" w:type="pct"/>
            <w:tcBorders>
              <w:top w:val="single" w:color="auto" w:sz="12" w:space="0"/>
              <w:left w:val="nil"/>
              <w:bottom w:val="single" w:color="auto" w:sz="6" w:space="0"/>
              <w:right w:val="nil"/>
            </w:tcBorders>
            <w:vAlign w:val="center"/>
          </w:tcPr>
          <w:p w14:paraId="34A04F2B">
            <w:pPr>
              <w:spacing w:line="480" w:lineRule="auto"/>
              <w:ind w:firstLine="0" w:firstLineChars="0"/>
              <w:jc w:val="center"/>
              <w:rPr>
                <w:rFonts w:eastAsia="Times New Roman" w:cs="Times New Roman"/>
                <w:kern w:val="0"/>
                <w:sz w:val="21"/>
                <w:szCs w:val="21"/>
              </w:rPr>
            </w:pPr>
            <w:r>
              <w:rPr>
                <w:rFonts w:hint="eastAsia" w:cs="Times New Roman"/>
                <w:kern w:val="0"/>
                <w:sz w:val="21"/>
                <w:szCs w:val="21"/>
                <w:lang w:eastAsia="zh-CN"/>
              </w:rPr>
              <w:t>AImod</w:t>
            </w:r>
            <w:r>
              <w:rPr>
                <w:rFonts w:hint="eastAsia" w:eastAsia="Times New Roman" w:cs="Times New Roman"/>
                <w:kern w:val="0"/>
                <w:sz w:val="21"/>
                <w:szCs w:val="21"/>
              </w:rPr>
              <w:t>w</w:t>
            </w:r>
          </w:p>
        </w:tc>
        <w:tc>
          <w:tcPr>
            <w:tcW w:w="548" w:type="pct"/>
            <w:tcBorders>
              <w:top w:val="single" w:color="auto" w:sz="12" w:space="0"/>
              <w:left w:val="nil"/>
              <w:bottom w:val="single" w:color="auto" w:sz="6" w:space="0"/>
              <w:right w:val="nil"/>
            </w:tcBorders>
            <w:vAlign w:val="center"/>
          </w:tcPr>
          <w:p w14:paraId="0509E13E">
            <w:pPr>
              <w:spacing w:line="480" w:lineRule="auto"/>
              <w:ind w:firstLine="0" w:firstLineChars="0"/>
              <w:jc w:val="center"/>
              <w:rPr>
                <w:rFonts w:eastAsia="Times New Roman" w:cs="Times New Roman"/>
                <w:kern w:val="0"/>
                <w:sz w:val="21"/>
                <w:szCs w:val="21"/>
              </w:rPr>
            </w:pPr>
            <w:r>
              <w:rPr>
                <w:rFonts w:hint="eastAsia" w:eastAsia="Times New Roman" w:cs="Times New Roman"/>
                <w:kern w:val="0"/>
                <w:sz w:val="21"/>
                <w:szCs w:val="21"/>
              </w:rPr>
              <w:t>H/Cw</w:t>
            </w:r>
          </w:p>
        </w:tc>
        <w:tc>
          <w:tcPr>
            <w:tcW w:w="444" w:type="pct"/>
            <w:tcBorders>
              <w:top w:val="single" w:color="auto" w:sz="12" w:space="0"/>
              <w:left w:val="nil"/>
              <w:bottom w:val="single" w:color="auto" w:sz="6" w:space="0"/>
              <w:right w:val="nil"/>
            </w:tcBorders>
            <w:vAlign w:val="center"/>
          </w:tcPr>
          <w:p w14:paraId="6712B8F9">
            <w:pPr>
              <w:spacing w:line="480" w:lineRule="auto"/>
              <w:ind w:firstLine="0" w:firstLineChars="0"/>
              <w:jc w:val="center"/>
              <w:rPr>
                <w:rFonts w:eastAsia="Times New Roman" w:cs="Times New Roman"/>
                <w:kern w:val="0"/>
                <w:sz w:val="21"/>
                <w:szCs w:val="21"/>
              </w:rPr>
            </w:pPr>
            <w:r>
              <w:rPr>
                <w:rFonts w:hint="eastAsia" w:eastAsia="Times New Roman" w:cs="Times New Roman"/>
                <w:kern w:val="0"/>
                <w:sz w:val="21"/>
                <w:szCs w:val="21"/>
              </w:rPr>
              <w:t>O/Cw</w:t>
            </w:r>
          </w:p>
        </w:tc>
        <w:tc>
          <w:tcPr>
            <w:tcW w:w="651" w:type="pct"/>
            <w:tcBorders>
              <w:top w:val="single" w:color="auto" w:sz="12" w:space="0"/>
              <w:left w:val="nil"/>
              <w:bottom w:val="single" w:color="auto" w:sz="6" w:space="0"/>
              <w:right w:val="nil"/>
            </w:tcBorders>
            <w:vAlign w:val="center"/>
          </w:tcPr>
          <w:p w14:paraId="544F242A">
            <w:pPr>
              <w:spacing w:line="480" w:lineRule="auto"/>
              <w:ind w:firstLine="0" w:firstLineChars="0"/>
              <w:jc w:val="center"/>
              <w:rPr>
                <w:rFonts w:eastAsia="Times New Roman" w:cs="Times New Roman"/>
                <w:kern w:val="0"/>
                <w:sz w:val="21"/>
                <w:szCs w:val="21"/>
              </w:rPr>
            </w:pPr>
            <w:r>
              <w:rPr>
                <w:rFonts w:hint="eastAsia" w:eastAsia="Times New Roman" w:cs="Times New Roman"/>
                <w:kern w:val="0"/>
                <w:sz w:val="21"/>
                <w:szCs w:val="21"/>
              </w:rPr>
              <w:t>NOSCw</w:t>
            </w:r>
          </w:p>
        </w:tc>
        <w:tc>
          <w:tcPr>
            <w:tcW w:w="590" w:type="pct"/>
            <w:tcBorders>
              <w:top w:val="single" w:color="auto" w:sz="12" w:space="0"/>
              <w:left w:val="nil"/>
              <w:bottom w:val="single" w:color="auto" w:sz="6" w:space="0"/>
              <w:right w:val="nil"/>
            </w:tcBorders>
            <w:vAlign w:val="center"/>
          </w:tcPr>
          <w:p w14:paraId="7B2B34D3">
            <w:pPr>
              <w:spacing w:line="480" w:lineRule="auto"/>
              <w:ind w:firstLine="0" w:firstLineChars="0"/>
              <w:jc w:val="center"/>
              <w:rPr>
                <w:rFonts w:eastAsia="Times New Roman" w:cs="Times New Roman"/>
                <w:kern w:val="0"/>
                <w:sz w:val="21"/>
                <w:szCs w:val="21"/>
              </w:rPr>
            </w:pPr>
            <w:r>
              <w:rPr>
                <w:rFonts w:hint="eastAsia" w:eastAsia="Times New Roman" w:cs="Times New Roman"/>
                <w:kern w:val="0"/>
                <w:sz w:val="21"/>
                <w:szCs w:val="21"/>
              </w:rPr>
              <w:t>DBEw</w:t>
            </w:r>
          </w:p>
        </w:tc>
        <w:tc>
          <w:tcPr>
            <w:tcW w:w="776" w:type="pct"/>
            <w:tcBorders>
              <w:top w:val="single" w:color="auto" w:sz="12" w:space="0"/>
              <w:left w:val="nil"/>
              <w:bottom w:val="single" w:color="auto" w:sz="6" w:space="0"/>
              <w:right w:val="nil"/>
            </w:tcBorders>
            <w:vAlign w:val="center"/>
          </w:tcPr>
          <w:p w14:paraId="43966D20">
            <w:pPr>
              <w:spacing w:line="480" w:lineRule="auto"/>
              <w:ind w:firstLine="0" w:firstLineChars="0"/>
              <w:jc w:val="center"/>
              <w:rPr>
                <w:rFonts w:hint="eastAsia" w:eastAsia="宋体" w:cs="Times New Roman"/>
                <w:kern w:val="0"/>
                <w:sz w:val="21"/>
                <w:szCs w:val="21"/>
                <w:lang w:eastAsia="zh-CN"/>
              </w:rPr>
            </w:pPr>
            <w:r>
              <w:rPr>
                <w:rFonts w:hint="eastAsia" w:eastAsia="Times New Roman" w:cs="Times New Roman"/>
                <w:kern w:val="0"/>
                <w:sz w:val="21"/>
                <w:szCs w:val="21"/>
              </w:rPr>
              <w:t>CRAMs</w:t>
            </w:r>
            <w:r>
              <w:rPr>
                <w:rFonts w:hint="eastAsia" w:cs="Times New Roman"/>
                <w:kern w:val="0"/>
                <w:sz w:val="21"/>
                <w:szCs w:val="21"/>
                <w:lang w:eastAsia="zh-CN"/>
              </w:rPr>
              <w:t>(</w:t>
            </w:r>
            <w:r>
              <w:rPr>
                <w:rFonts w:hint="eastAsia" w:eastAsia="Times New Roman" w:cs="Times New Roman"/>
                <w:kern w:val="0"/>
                <w:sz w:val="21"/>
                <w:szCs w:val="21"/>
              </w:rPr>
              <w:t>%</w:t>
            </w:r>
            <w:r>
              <w:rPr>
                <w:rFonts w:hint="eastAsia" w:cs="Times New Roman"/>
                <w:kern w:val="0"/>
                <w:sz w:val="21"/>
                <w:szCs w:val="21"/>
                <w:lang w:eastAsia="zh-CN"/>
              </w:rPr>
              <w:t>)</w:t>
            </w:r>
          </w:p>
        </w:tc>
      </w:tr>
      <w:tr w14:paraId="1D7CE0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single" w:color="auto" w:sz="6" w:space="0"/>
              <w:left w:val="nil"/>
              <w:bottom w:val="nil"/>
              <w:right w:val="nil"/>
            </w:tcBorders>
            <w:shd w:val="clear" w:color="auto" w:fill="FFFFFF"/>
            <w:vAlign w:val="center"/>
          </w:tcPr>
          <w:p w14:paraId="39E2966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QY-summer</w:t>
            </w:r>
          </w:p>
          <w:p w14:paraId="44B1F71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QY-winter</w:t>
            </w:r>
          </w:p>
          <w:p w14:paraId="7A61143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ZPP-summer</w:t>
            </w:r>
          </w:p>
          <w:p w14:paraId="7952045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ZPP-winter</w:t>
            </w:r>
          </w:p>
          <w:p w14:paraId="5A7D161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ZH-summer</w:t>
            </w:r>
          </w:p>
          <w:p w14:paraId="0BC5F2F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ZH-winter</w:t>
            </w:r>
          </w:p>
          <w:p w14:paraId="44058E9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HLK-summer</w:t>
            </w:r>
          </w:p>
          <w:p w14:paraId="243C39E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HLK-winter</w:t>
            </w:r>
          </w:p>
          <w:p w14:paraId="3586473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ZL-summer</w:t>
            </w:r>
          </w:p>
          <w:p w14:paraId="7B66927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ZL-winter</w:t>
            </w:r>
          </w:p>
          <w:p w14:paraId="290EEE9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DJK-summer</w:t>
            </w:r>
          </w:p>
          <w:p w14:paraId="3CE4431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DJK-winter</w:t>
            </w:r>
          </w:p>
          <w:p w14:paraId="1BEFA01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SH-summer</w:t>
            </w:r>
          </w:p>
          <w:p w14:paraId="52DCF25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SH-winter</w:t>
            </w:r>
          </w:p>
          <w:p w14:paraId="014A9E2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BH-summer</w:t>
            </w:r>
          </w:p>
          <w:p w14:paraId="26A0D7E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BH-winter</w:t>
            </w:r>
          </w:p>
          <w:p w14:paraId="0387FEE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YT-summer</w:t>
            </w:r>
          </w:p>
          <w:p w14:paraId="0240E56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YT-wintersummer</w:t>
            </w:r>
          </w:p>
        </w:tc>
        <w:tc>
          <w:tcPr>
            <w:tcW w:w="709" w:type="pct"/>
            <w:tcBorders>
              <w:top w:val="single" w:color="auto" w:sz="6" w:space="0"/>
              <w:left w:val="nil"/>
              <w:bottom w:val="nil"/>
              <w:right w:val="nil"/>
            </w:tcBorders>
            <w:shd w:val="clear" w:color="auto" w:fill="FFFFFF"/>
            <w:vAlign w:val="center"/>
          </w:tcPr>
          <w:p w14:paraId="0EAD70F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389.88±16.78</w:t>
            </w:r>
          </w:p>
        </w:tc>
        <w:tc>
          <w:tcPr>
            <w:tcW w:w="548" w:type="pct"/>
            <w:tcBorders>
              <w:top w:val="single" w:color="auto" w:sz="6" w:space="0"/>
              <w:left w:val="nil"/>
              <w:bottom w:val="nil"/>
              <w:right w:val="nil"/>
            </w:tcBorders>
            <w:shd w:val="clear" w:color="auto" w:fill="FFFFFF"/>
            <w:vAlign w:val="center"/>
          </w:tcPr>
          <w:p w14:paraId="2ED397B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0.20±0.01</w:t>
            </w:r>
          </w:p>
        </w:tc>
        <w:tc>
          <w:tcPr>
            <w:tcW w:w="548" w:type="pct"/>
            <w:tcBorders>
              <w:top w:val="single" w:color="auto" w:sz="6" w:space="0"/>
              <w:left w:val="nil"/>
              <w:bottom w:val="nil"/>
              <w:right w:val="nil"/>
            </w:tcBorders>
            <w:shd w:val="clear" w:color="auto" w:fill="FFFFFF"/>
            <w:vAlign w:val="center"/>
          </w:tcPr>
          <w:p w14:paraId="066F114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1.38±0.02</w:t>
            </w:r>
          </w:p>
        </w:tc>
        <w:tc>
          <w:tcPr>
            <w:tcW w:w="444" w:type="pct"/>
            <w:tcBorders>
              <w:top w:val="single" w:color="auto" w:sz="6" w:space="0"/>
              <w:left w:val="nil"/>
              <w:bottom w:val="nil"/>
              <w:right w:val="nil"/>
            </w:tcBorders>
            <w:shd w:val="clear" w:color="auto" w:fill="FFFFFF"/>
            <w:vAlign w:val="center"/>
          </w:tcPr>
          <w:p w14:paraId="6DF5CE0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0.42±0.01</w:t>
            </w:r>
          </w:p>
        </w:tc>
        <w:tc>
          <w:tcPr>
            <w:tcW w:w="651" w:type="pct"/>
            <w:tcBorders>
              <w:top w:val="single" w:color="auto" w:sz="6" w:space="0"/>
              <w:left w:val="nil"/>
              <w:bottom w:val="nil"/>
              <w:right w:val="nil"/>
            </w:tcBorders>
            <w:shd w:val="clear" w:color="auto" w:fill="FFFFFF"/>
            <w:vAlign w:val="center"/>
          </w:tcPr>
          <w:p w14:paraId="09EE574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-0.51±0.04</w:t>
            </w:r>
          </w:p>
        </w:tc>
        <w:tc>
          <w:tcPr>
            <w:tcW w:w="590" w:type="pct"/>
            <w:tcBorders>
              <w:top w:val="single" w:color="auto" w:sz="6" w:space="0"/>
              <w:left w:val="nil"/>
              <w:bottom w:val="nil"/>
              <w:right w:val="nil"/>
            </w:tcBorders>
            <w:shd w:val="clear" w:color="auto" w:fill="FFFFFF"/>
            <w:vAlign w:val="center"/>
          </w:tcPr>
          <w:p w14:paraId="1796621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7.22±0.49</w:t>
            </w:r>
          </w:p>
        </w:tc>
        <w:tc>
          <w:tcPr>
            <w:tcW w:w="776" w:type="pct"/>
            <w:tcBorders>
              <w:top w:val="single" w:color="auto" w:sz="6" w:space="0"/>
              <w:left w:val="nil"/>
              <w:bottom w:val="nil"/>
              <w:right w:val="nil"/>
            </w:tcBorders>
            <w:shd w:val="clear" w:color="auto" w:fill="FFFFFF"/>
            <w:vAlign w:val="center"/>
          </w:tcPr>
          <w:p w14:paraId="7F3E8B8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51.63±0.44</w:t>
            </w:r>
          </w:p>
        </w:tc>
      </w:tr>
      <w:tr w14:paraId="37D41F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shd w:val="clear" w:color="auto" w:fill="FFFFFF"/>
            <w:vAlign w:val="center"/>
          </w:tcPr>
          <w:p w14:paraId="5ABA18E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QY-winter</w:t>
            </w:r>
          </w:p>
        </w:tc>
        <w:tc>
          <w:tcPr>
            <w:tcW w:w="709" w:type="pct"/>
            <w:tcBorders>
              <w:top w:val="nil"/>
              <w:left w:val="nil"/>
              <w:bottom w:val="nil"/>
              <w:right w:val="nil"/>
            </w:tcBorders>
            <w:shd w:val="clear" w:color="auto" w:fill="FFFFFF"/>
            <w:vAlign w:val="center"/>
          </w:tcPr>
          <w:p w14:paraId="305A19F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434.74±4.23</w:t>
            </w:r>
          </w:p>
        </w:tc>
        <w:tc>
          <w:tcPr>
            <w:tcW w:w="548" w:type="pct"/>
            <w:tcBorders>
              <w:top w:val="nil"/>
              <w:left w:val="nil"/>
              <w:bottom w:val="nil"/>
              <w:right w:val="nil"/>
            </w:tcBorders>
            <w:shd w:val="clear" w:color="auto" w:fill="FFFFFF"/>
            <w:vAlign w:val="center"/>
          </w:tcPr>
          <w:p w14:paraId="0BA27CC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0.21±0.01</w:t>
            </w:r>
          </w:p>
        </w:tc>
        <w:tc>
          <w:tcPr>
            <w:tcW w:w="548" w:type="pct"/>
            <w:tcBorders>
              <w:top w:val="nil"/>
              <w:left w:val="nil"/>
              <w:bottom w:val="nil"/>
              <w:right w:val="nil"/>
            </w:tcBorders>
            <w:shd w:val="clear" w:color="auto" w:fill="FFFFFF"/>
            <w:vAlign w:val="center"/>
          </w:tcPr>
          <w:p w14:paraId="7399E80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1.36±0.02</w:t>
            </w:r>
          </w:p>
        </w:tc>
        <w:tc>
          <w:tcPr>
            <w:tcW w:w="444" w:type="pct"/>
            <w:tcBorders>
              <w:top w:val="nil"/>
              <w:left w:val="nil"/>
              <w:bottom w:val="nil"/>
              <w:right w:val="nil"/>
            </w:tcBorders>
            <w:shd w:val="clear" w:color="auto" w:fill="FFFFFF"/>
            <w:vAlign w:val="center"/>
          </w:tcPr>
          <w:p w14:paraId="72668F6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0.42±0.00</w:t>
            </w:r>
          </w:p>
        </w:tc>
        <w:tc>
          <w:tcPr>
            <w:tcW w:w="651" w:type="pct"/>
            <w:tcBorders>
              <w:top w:val="nil"/>
              <w:left w:val="nil"/>
              <w:bottom w:val="nil"/>
              <w:right w:val="nil"/>
            </w:tcBorders>
            <w:shd w:val="clear" w:color="auto" w:fill="FFFFFF"/>
            <w:vAlign w:val="center"/>
          </w:tcPr>
          <w:p w14:paraId="639789C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-0.49±0.03</w:t>
            </w:r>
          </w:p>
        </w:tc>
        <w:tc>
          <w:tcPr>
            <w:tcW w:w="590" w:type="pct"/>
            <w:tcBorders>
              <w:top w:val="nil"/>
              <w:left w:val="nil"/>
              <w:bottom w:val="nil"/>
              <w:right w:val="nil"/>
            </w:tcBorders>
            <w:shd w:val="clear" w:color="auto" w:fill="FFFFFF"/>
            <w:vAlign w:val="center"/>
          </w:tcPr>
          <w:p w14:paraId="478D75C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8.05±0.15</w:t>
            </w:r>
          </w:p>
        </w:tc>
        <w:tc>
          <w:tcPr>
            <w:tcW w:w="776" w:type="pct"/>
            <w:tcBorders>
              <w:top w:val="nil"/>
              <w:left w:val="nil"/>
              <w:bottom w:val="nil"/>
              <w:right w:val="nil"/>
            </w:tcBorders>
            <w:shd w:val="clear" w:color="auto" w:fill="FFFFFF"/>
            <w:vAlign w:val="center"/>
          </w:tcPr>
          <w:p w14:paraId="18EC2F0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52.76±1.70</w:t>
            </w:r>
          </w:p>
        </w:tc>
      </w:tr>
      <w:tr w14:paraId="328CC4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5FD46DD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ZPP-summer</w:t>
            </w:r>
          </w:p>
        </w:tc>
        <w:tc>
          <w:tcPr>
            <w:tcW w:w="709" w:type="pct"/>
            <w:tcBorders>
              <w:top w:val="nil"/>
              <w:left w:val="nil"/>
              <w:bottom w:val="nil"/>
              <w:right w:val="nil"/>
            </w:tcBorders>
            <w:vAlign w:val="center"/>
          </w:tcPr>
          <w:p w14:paraId="7386825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409.84±6.89</w:t>
            </w:r>
          </w:p>
        </w:tc>
        <w:tc>
          <w:tcPr>
            <w:tcW w:w="548" w:type="pct"/>
            <w:tcBorders>
              <w:top w:val="nil"/>
              <w:left w:val="nil"/>
              <w:bottom w:val="nil"/>
              <w:right w:val="nil"/>
            </w:tcBorders>
            <w:vAlign w:val="center"/>
          </w:tcPr>
          <w:p w14:paraId="0A42DDA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0.25±0.01</w:t>
            </w:r>
          </w:p>
        </w:tc>
        <w:tc>
          <w:tcPr>
            <w:tcW w:w="548" w:type="pct"/>
            <w:tcBorders>
              <w:top w:val="nil"/>
              <w:left w:val="nil"/>
              <w:bottom w:val="nil"/>
              <w:right w:val="nil"/>
            </w:tcBorders>
            <w:vAlign w:val="center"/>
          </w:tcPr>
          <w:p w14:paraId="423F3E2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1.27±0.02</w:t>
            </w:r>
          </w:p>
        </w:tc>
        <w:tc>
          <w:tcPr>
            <w:tcW w:w="444" w:type="pct"/>
            <w:tcBorders>
              <w:top w:val="nil"/>
              <w:left w:val="nil"/>
              <w:bottom w:val="nil"/>
              <w:right w:val="nil"/>
            </w:tcBorders>
            <w:vAlign w:val="center"/>
          </w:tcPr>
          <w:p w14:paraId="0F3FD46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0.45±0.01</w:t>
            </w:r>
          </w:p>
        </w:tc>
        <w:tc>
          <w:tcPr>
            <w:tcW w:w="651" w:type="pct"/>
            <w:tcBorders>
              <w:top w:val="nil"/>
              <w:left w:val="nil"/>
              <w:bottom w:val="nil"/>
              <w:right w:val="nil"/>
            </w:tcBorders>
            <w:vAlign w:val="center"/>
          </w:tcPr>
          <w:p w14:paraId="1EC5424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-0.35±0.04</w:t>
            </w:r>
          </w:p>
        </w:tc>
        <w:tc>
          <w:tcPr>
            <w:tcW w:w="590" w:type="pct"/>
            <w:tcBorders>
              <w:top w:val="nil"/>
              <w:left w:val="nil"/>
              <w:bottom w:val="nil"/>
              <w:right w:val="nil"/>
            </w:tcBorders>
            <w:vAlign w:val="center"/>
          </w:tcPr>
          <w:p w14:paraId="108C47C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8.87±0.34</w:t>
            </w:r>
          </w:p>
        </w:tc>
        <w:tc>
          <w:tcPr>
            <w:tcW w:w="776" w:type="pct"/>
            <w:tcBorders>
              <w:top w:val="nil"/>
              <w:left w:val="nil"/>
              <w:bottom w:val="nil"/>
              <w:right w:val="nil"/>
            </w:tcBorders>
            <w:vAlign w:val="center"/>
          </w:tcPr>
          <w:p w14:paraId="70A9862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62.55±2.41</w:t>
            </w:r>
          </w:p>
        </w:tc>
      </w:tr>
      <w:tr w14:paraId="2E3DDE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5D6BF05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ZPP-winter</w:t>
            </w:r>
          </w:p>
        </w:tc>
        <w:tc>
          <w:tcPr>
            <w:tcW w:w="709" w:type="pct"/>
            <w:tcBorders>
              <w:top w:val="nil"/>
              <w:left w:val="nil"/>
              <w:bottom w:val="nil"/>
              <w:right w:val="nil"/>
            </w:tcBorders>
            <w:vAlign w:val="center"/>
          </w:tcPr>
          <w:p w14:paraId="10F052E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439.21±3.71</w:t>
            </w:r>
          </w:p>
        </w:tc>
        <w:tc>
          <w:tcPr>
            <w:tcW w:w="548" w:type="pct"/>
            <w:tcBorders>
              <w:top w:val="nil"/>
              <w:left w:val="nil"/>
              <w:bottom w:val="nil"/>
              <w:right w:val="nil"/>
            </w:tcBorders>
            <w:vAlign w:val="center"/>
          </w:tcPr>
          <w:p w14:paraId="6EA9808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0.22±0.01</w:t>
            </w:r>
          </w:p>
        </w:tc>
        <w:tc>
          <w:tcPr>
            <w:tcW w:w="548" w:type="pct"/>
            <w:tcBorders>
              <w:top w:val="nil"/>
              <w:left w:val="nil"/>
              <w:bottom w:val="nil"/>
              <w:right w:val="nil"/>
            </w:tcBorders>
            <w:vAlign w:val="center"/>
          </w:tcPr>
          <w:p w14:paraId="77B554C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1.33±0.03</w:t>
            </w:r>
          </w:p>
        </w:tc>
        <w:tc>
          <w:tcPr>
            <w:tcW w:w="444" w:type="pct"/>
            <w:tcBorders>
              <w:top w:val="nil"/>
              <w:left w:val="nil"/>
              <w:bottom w:val="nil"/>
              <w:right w:val="nil"/>
            </w:tcBorders>
            <w:vAlign w:val="center"/>
          </w:tcPr>
          <w:p w14:paraId="0282089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0.43±0.00</w:t>
            </w:r>
          </w:p>
        </w:tc>
        <w:tc>
          <w:tcPr>
            <w:tcW w:w="651" w:type="pct"/>
            <w:tcBorders>
              <w:top w:val="nil"/>
              <w:left w:val="nil"/>
              <w:bottom w:val="nil"/>
              <w:right w:val="nil"/>
            </w:tcBorders>
            <w:vAlign w:val="center"/>
          </w:tcPr>
          <w:p w14:paraId="518F9E6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-0.43±0.03</w:t>
            </w:r>
          </w:p>
        </w:tc>
        <w:tc>
          <w:tcPr>
            <w:tcW w:w="590" w:type="pct"/>
            <w:tcBorders>
              <w:top w:val="nil"/>
              <w:left w:val="nil"/>
              <w:bottom w:val="nil"/>
              <w:right w:val="nil"/>
            </w:tcBorders>
            <w:vAlign w:val="center"/>
          </w:tcPr>
          <w:p w14:paraId="0DBBEB2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8.41±0.30</w:t>
            </w:r>
          </w:p>
        </w:tc>
        <w:tc>
          <w:tcPr>
            <w:tcW w:w="776" w:type="pct"/>
            <w:tcBorders>
              <w:top w:val="nil"/>
              <w:left w:val="nil"/>
              <w:bottom w:val="nil"/>
              <w:right w:val="nil"/>
            </w:tcBorders>
            <w:vAlign w:val="center"/>
          </w:tcPr>
          <w:p w14:paraId="7D39D21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56.04±1.96</w:t>
            </w:r>
          </w:p>
        </w:tc>
      </w:tr>
      <w:tr w14:paraId="1FA2E9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167F51C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ZH-summer</w:t>
            </w:r>
          </w:p>
        </w:tc>
        <w:tc>
          <w:tcPr>
            <w:tcW w:w="709" w:type="pct"/>
            <w:tcBorders>
              <w:top w:val="nil"/>
              <w:left w:val="nil"/>
              <w:bottom w:val="nil"/>
              <w:right w:val="nil"/>
            </w:tcBorders>
            <w:vAlign w:val="center"/>
          </w:tcPr>
          <w:p w14:paraId="2D705B0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379.96±13.73</w:t>
            </w:r>
          </w:p>
        </w:tc>
        <w:tc>
          <w:tcPr>
            <w:tcW w:w="548" w:type="pct"/>
            <w:tcBorders>
              <w:top w:val="nil"/>
              <w:left w:val="nil"/>
              <w:bottom w:val="nil"/>
              <w:right w:val="nil"/>
            </w:tcBorders>
            <w:vAlign w:val="center"/>
          </w:tcPr>
          <w:p w14:paraId="4A61671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0.20±0.02</w:t>
            </w:r>
          </w:p>
        </w:tc>
        <w:tc>
          <w:tcPr>
            <w:tcW w:w="548" w:type="pct"/>
            <w:tcBorders>
              <w:top w:val="nil"/>
              <w:left w:val="nil"/>
              <w:bottom w:val="nil"/>
              <w:right w:val="nil"/>
            </w:tcBorders>
            <w:vAlign w:val="center"/>
          </w:tcPr>
          <w:p w14:paraId="15BDFDF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1.34±0.05</w:t>
            </w:r>
          </w:p>
        </w:tc>
        <w:tc>
          <w:tcPr>
            <w:tcW w:w="444" w:type="pct"/>
            <w:tcBorders>
              <w:top w:val="nil"/>
              <w:left w:val="nil"/>
              <w:bottom w:val="nil"/>
              <w:right w:val="nil"/>
            </w:tcBorders>
            <w:vAlign w:val="center"/>
          </w:tcPr>
          <w:p w14:paraId="34C476D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0.46±0.02</w:t>
            </w:r>
          </w:p>
        </w:tc>
        <w:tc>
          <w:tcPr>
            <w:tcW w:w="651" w:type="pct"/>
            <w:tcBorders>
              <w:top w:val="nil"/>
              <w:left w:val="nil"/>
              <w:bottom w:val="nil"/>
              <w:right w:val="nil"/>
            </w:tcBorders>
            <w:vAlign w:val="center"/>
          </w:tcPr>
          <w:p w14:paraId="70102A5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-0.39±0.08</w:t>
            </w:r>
          </w:p>
        </w:tc>
        <w:tc>
          <w:tcPr>
            <w:tcW w:w="590" w:type="pct"/>
            <w:tcBorders>
              <w:top w:val="nil"/>
              <w:left w:val="nil"/>
              <w:bottom w:val="nil"/>
              <w:right w:val="nil"/>
            </w:tcBorders>
            <w:vAlign w:val="center"/>
          </w:tcPr>
          <w:p w14:paraId="373423D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7.37±0.63</w:t>
            </w:r>
          </w:p>
        </w:tc>
        <w:tc>
          <w:tcPr>
            <w:tcW w:w="776" w:type="pct"/>
            <w:tcBorders>
              <w:top w:val="nil"/>
              <w:left w:val="nil"/>
              <w:bottom w:val="nil"/>
              <w:right w:val="nil"/>
            </w:tcBorders>
            <w:vAlign w:val="center"/>
          </w:tcPr>
          <w:p w14:paraId="664FD4C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56.05±2.78</w:t>
            </w:r>
          </w:p>
        </w:tc>
      </w:tr>
      <w:tr w14:paraId="0E7E3A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47D7579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ZH-winter</w:t>
            </w:r>
          </w:p>
        </w:tc>
        <w:tc>
          <w:tcPr>
            <w:tcW w:w="709" w:type="pct"/>
            <w:tcBorders>
              <w:top w:val="nil"/>
              <w:left w:val="nil"/>
              <w:bottom w:val="nil"/>
              <w:right w:val="nil"/>
            </w:tcBorders>
            <w:vAlign w:val="center"/>
          </w:tcPr>
          <w:p w14:paraId="2B48B85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406.16±9.57</w:t>
            </w:r>
          </w:p>
        </w:tc>
        <w:tc>
          <w:tcPr>
            <w:tcW w:w="548" w:type="pct"/>
            <w:tcBorders>
              <w:top w:val="nil"/>
              <w:left w:val="nil"/>
              <w:bottom w:val="nil"/>
              <w:right w:val="nil"/>
            </w:tcBorders>
            <w:vAlign w:val="center"/>
          </w:tcPr>
          <w:p w14:paraId="1FD5A69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0.21±0.00</w:t>
            </w:r>
          </w:p>
        </w:tc>
        <w:tc>
          <w:tcPr>
            <w:tcW w:w="548" w:type="pct"/>
            <w:tcBorders>
              <w:top w:val="nil"/>
              <w:left w:val="nil"/>
              <w:bottom w:val="nil"/>
              <w:right w:val="nil"/>
            </w:tcBorders>
            <w:vAlign w:val="center"/>
          </w:tcPr>
          <w:p w14:paraId="6264004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1.34±0.01</w:t>
            </w:r>
          </w:p>
        </w:tc>
        <w:tc>
          <w:tcPr>
            <w:tcW w:w="444" w:type="pct"/>
            <w:tcBorders>
              <w:top w:val="nil"/>
              <w:left w:val="nil"/>
              <w:bottom w:val="nil"/>
              <w:right w:val="nil"/>
            </w:tcBorders>
            <w:vAlign w:val="center"/>
          </w:tcPr>
          <w:p w14:paraId="316AE04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0.44±0.01</w:t>
            </w:r>
          </w:p>
        </w:tc>
        <w:tc>
          <w:tcPr>
            <w:tcW w:w="651" w:type="pct"/>
            <w:tcBorders>
              <w:top w:val="nil"/>
              <w:left w:val="nil"/>
              <w:bottom w:val="nil"/>
              <w:right w:val="nil"/>
            </w:tcBorders>
            <w:vAlign w:val="center"/>
          </w:tcPr>
          <w:p w14:paraId="6C2B111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-0.42±0.03</w:t>
            </w:r>
          </w:p>
        </w:tc>
        <w:tc>
          <w:tcPr>
            <w:tcW w:w="590" w:type="pct"/>
            <w:tcBorders>
              <w:top w:val="nil"/>
              <w:left w:val="nil"/>
              <w:bottom w:val="nil"/>
              <w:right w:val="nil"/>
            </w:tcBorders>
            <w:vAlign w:val="center"/>
          </w:tcPr>
          <w:p w14:paraId="4B3C28A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7.69±0.25</w:t>
            </w:r>
          </w:p>
        </w:tc>
        <w:tc>
          <w:tcPr>
            <w:tcW w:w="776" w:type="pct"/>
            <w:tcBorders>
              <w:top w:val="nil"/>
              <w:left w:val="nil"/>
              <w:bottom w:val="nil"/>
              <w:right w:val="nil"/>
            </w:tcBorders>
            <w:vAlign w:val="center"/>
          </w:tcPr>
          <w:p w14:paraId="5DF1560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55.37±1.05</w:t>
            </w:r>
          </w:p>
        </w:tc>
      </w:tr>
      <w:tr w14:paraId="7FC203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1BA7CE5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HLK-summer</w:t>
            </w:r>
          </w:p>
        </w:tc>
        <w:tc>
          <w:tcPr>
            <w:tcW w:w="709" w:type="pct"/>
            <w:tcBorders>
              <w:top w:val="nil"/>
              <w:left w:val="nil"/>
              <w:bottom w:val="nil"/>
              <w:right w:val="nil"/>
            </w:tcBorders>
            <w:vAlign w:val="center"/>
          </w:tcPr>
          <w:p w14:paraId="0FA3F8E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388.73±2.58</w:t>
            </w:r>
          </w:p>
        </w:tc>
        <w:tc>
          <w:tcPr>
            <w:tcW w:w="548" w:type="pct"/>
            <w:tcBorders>
              <w:top w:val="nil"/>
              <w:left w:val="nil"/>
              <w:bottom w:val="nil"/>
              <w:right w:val="nil"/>
            </w:tcBorders>
            <w:vAlign w:val="center"/>
          </w:tcPr>
          <w:p w14:paraId="2090CE8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0.26±0.01</w:t>
            </w:r>
          </w:p>
        </w:tc>
        <w:tc>
          <w:tcPr>
            <w:tcW w:w="548" w:type="pct"/>
            <w:tcBorders>
              <w:top w:val="nil"/>
              <w:left w:val="nil"/>
              <w:bottom w:val="nil"/>
              <w:right w:val="nil"/>
            </w:tcBorders>
            <w:vAlign w:val="center"/>
          </w:tcPr>
          <w:p w14:paraId="6E50AAC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1.25±0.01</w:t>
            </w:r>
          </w:p>
        </w:tc>
        <w:tc>
          <w:tcPr>
            <w:tcW w:w="444" w:type="pct"/>
            <w:tcBorders>
              <w:top w:val="nil"/>
              <w:left w:val="nil"/>
              <w:bottom w:val="nil"/>
              <w:right w:val="nil"/>
            </w:tcBorders>
            <w:vAlign w:val="center"/>
          </w:tcPr>
          <w:p w14:paraId="27B4469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0.46±0.01</w:t>
            </w:r>
          </w:p>
        </w:tc>
        <w:tc>
          <w:tcPr>
            <w:tcW w:w="651" w:type="pct"/>
            <w:tcBorders>
              <w:top w:val="nil"/>
              <w:left w:val="nil"/>
              <w:bottom w:val="nil"/>
              <w:right w:val="nil"/>
            </w:tcBorders>
            <w:vAlign w:val="center"/>
          </w:tcPr>
          <w:p w14:paraId="4A04246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-0.30±0.01</w:t>
            </w:r>
          </w:p>
        </w:tc>
        <w:tc>
          <w:tcPr>
            <w:tcW w:w="590" w:type="pct"/>
            <w:tcBorders>
              <w:top w:val="nil"/>
              <w:left w:val="nil"/>
              <w:bottom w:val="nil"/>
              <w:right w:val="nil"/>
            </w:tcBorders>
            <w:vAlign w:val="center"/>
          </w:tcPr>
          <w:p w14:paraId="1BF4992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8.54±0.30</w:t>
            </w:r>
          </w:p>
        </w:tc>
        <w:tc>
          <w:tcPr>
            <w:tcW w:w="776" w:type="pct"/>
            <w:tcBorders>
              <w:top w:val="nil"/>
              <w:left w:val="nil"/>
              <w:bottom w:val="nil"/>
              <w:right w:val="nil"/>
            </w:tcBorders>
            <w:vAlign w:val="center"/>
          </w:tcPr>
          <w:p w14:paraId="11A4F11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63.88±0.60</w:t>
            </w:r>
          </w:p>
        </w:tc>
      </w:tr>
      <w:tr w14:paraId="0A9DF0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5119BB4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HLK-winter</w:t>
            </w:r>
          </w:p>
        </w:tc>
        <w:tc>
          <w:tcPr>
            <w:tcW w:w="709" w:type="pct"/>
            <w:tcBorders>
              <w:top w:val="nil"/>
              <w:left w:val="nil"/>
              <w:bottom w:val="nil"/>
              <w:right w:val="nil"/>
            </w:tcBorders>
            <w:vAlign w:val="center"/>
          </w:tcPr>
          <w:p w14:paraId="63315AF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402.97±4.86</w:t>
            </w:r>
          </w:p>
        </w:tc>
        <w:tc>
          <w:tcPr>
            <w:tcW w:w="548" w:type="pct"/>
            <w:tcBorders>
              <w:top w:val="nil"/>
              <w:left w:val="nil"/>
              <w:bottom w:val="nil"/>
              <w:right w:val="nil"/>
            </w:tcBorders>
            <w:vAlign w:val="center"/>
          </w:tcPr>
          <w:p w14:paraId="777CACD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0.24±0.00</w:t>
            </w:r>
          </w:p>
        </w:tc>
        <w:tc>
          <w:tcPr>
            <w:tcW w:w="548" w:type="pct"/>
            <w:tcBorders>
              <w:top w:val="nil"/>
              <w:left w:val="nil"/>
              <w:bottom w:val="nil"/>
              <w:right w:val="nil"/>
            </w:tcBorders>
            <w:vAlign w:val="center"/>
          </w:tcPr>
          <w:p w14:paraId="04FED95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1.31±0.01</w:t>
            </w:r>
          </w:p>
        </w:tc>
        <w:tc>
          <w:tcPr>
            <w:tcW w:w="444" w:type="pct"/>
            <w:tcBorders>
              <w:top w:val="nil"/>
              <w:left w:val="nil"/>
              <w:bottom w:val="nil"/>
              <w:right w:val="nil"/>
            </w:tcBorders>
            <w:vAlign w:val="center"/>
          </w:tcPr>
          <w:p w14:paraId="3FE5C65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0.42±0.01</w:t>
            </w:r>
          </w:p>
        </w:tc>
        <w:tc>
          <w:tcPr>
            <w:tcW w:w="651" w:type="pct"/>
            <w:tcBorders>
              <w:top w:val="nil"/>
              <w:left w:val="nil"/>
              <w:bottom w:val="nil"/>
              <w:right w:val="nil"/>
            </w:tcBorders>
            <w:vAlign w:val="center"/>
          </w:tcPr>
          <w:p w14:paraId="6CF6AD4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-0.44±0.03</w:t>
            </w:r>
          </w:p>
        </w:tc>
        <w:tc>
          <w:tcPr>
            <w:tcW w:w="590" w:type="pct"/>
            <w:tcBorders>
              <w:top w:val="nil"/>
              <w:left w:val="nil"/>
              <w:bottom w:val="nil"/>
              <w:right w:val="nil"/>
            </w:tcBorders>
            <w:vAlign w:val="center"/>
          </w:tcPr>
          <w:p w14:paraId="4E61728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8.07±0.03</w:t>
            </w:r>
          </w:p>
        </w:tc>
        <w:tc>
          <w:tcPr>
            <w:tcW w:w="776" w:type="pct"/>
            <w:tcBorders>
              <w:top w:val="nil"/>
              <w:left w:val="nil"/>
              <w:bottom w:val="nil"/>
              <w:right w:val="nil"/>
            </w:tcBorders>
            <w:vAlign w:val="center"/>
          </w:tcPr>
          <w:p w14:paraId="0B74604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58.14±0.69</w:t>
            </w:r>
          </w:p>
        </w:tc>
      </w:tr>
      <w:tr w14:paraId="2FF8AE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682A3D6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ZL-summer</w:t>
            </w:r>
          </w:p>
        </w:tc>
        <w:tc>
          <w:tcPr>
            <w:tcW w:w="709" w:type="pct"/>
            <w:tcBorders>
              <w:top w:val="nil"/>
              <w:left w:val="nil"/>
              <w:bottom w:val="nil"/>
              <w:right w:val="nil"/>
            </w:tcBorders>
            <w:vAlign w:val="center"/>
          </w:tcPr>
          <w:p w14:paraId="3783A7F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380.55±15.84</w:t>
            </w:r>
          </w:p>
        </w:tc>
        <w:tc>
          <w:tcPr>
            <w:tcW w:w="548" w:type="pct"/>
            <w:tcBorders>
              <w:top w:val="nil"/>
              <w:left w:val="nil"/>
              <w:bottom w:val="nil"/>
              <w:right w:val="nil"/>
            </w:tcBorders>
            <w:vAlign w:val="center"/>
          </w:tcPr>
          <w:p w14:paraId="50CE692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0.22±0.00</w:t>
            </w:r>
          </w:p>
        </w:tc>
        <w:tc>
          <w:tcPr>
            <w:tcW w:w="548" w:type="pct"/>
            <w:tcBorders>
              <w:top w:val="nil"/>
              <w:left w:val="nil"/>
              <w:bottom w:val="nil"/>
              <w:right w:val="nil"/>
            </w:tcBorders>
            <w:vAlign w:val="center"/>
          </w:tcPr>
          <w:p w14:paraId="19A48AC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1.32±0.00</w:t>
            </w:r>
          </w:p>
        </w:tc>
        <w:tc>
          <w:tcPr>
            <w:tcW w:w="444" w:type="pct"/>
            <w:tcBorders>
              <w:top w:val="nil"/>
              <w:left w:val="nil"/>
              <w:bottom w:val="nil"/>
              <w:right w:val="nil"/>
            </w:tcBorders>
            <w:vAlign w:val="center"/>
          </w:tcPr>
          <w:p w14:paraId="586DDCE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0.45±0.00</w:t>
            </w:r>
          </w:p>
        </w:tc>
        <w:tc>
          <w:tcPr>
            <w:tcW w:w="651" w:type="pct"/>
            <w:tcBorders>
              <w:top w:val="nil"/>
              <w:left w:val="nil"/>
              <w:bottom w:val="nil"/>
              <w:right w:val="nil"/>
            </w:tcBorders>
            <w:vAlign w:val="center"/>
          </w:tcPr>
          <w:p w14:paraId="09C12CA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-0.39±0.01</w:t>
            </w:r>
          </w:p>
        </w:tc>
        <w:tc>
          <w:tcPr>
            <w:tcW w:w="590" w:type="pct"/>
            <w:tcBorders>
              <w:top w:val="nil"/>
              <w:left w:val="nil"/>
              <w:bottom w:val="nil"/>
              <w:right w:val="nil"/>
            </w:tcBorders>
            <w:vAlign w:val="center"/>
          </w:tcPr>
          <w:p w14:paraId="52DA606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7.57±0.22</w:t>
            </w:r>
          </w:p>
        </w:tc>
        <w:tc>
          <w:tcPr>
            <w:tcW w:w="776" w:type="pct"/>
            <w:tcBorders>
              <w:top w:val="nil"/>
              <w:left w:val="nil"/>
              <w:bottom w:val="nil"/>
              <w:right w:val="nil"/>
            </w:tcBorders>
            <w:vAlign w:val="center"/>
          </w:tcPr>
          <w:p w14:paraId="1EB20F1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56.94±1.87</w:t>
            </w:r>
          </w:p>
        </w:tc>
      </w:tr>
      <w:tr w14:paraId="324D35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72384A5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ZL-winter</w:t>
            </w:r>
          </w:p>
        </w:tc>
        <w:tc>
          <w:tcPr>
            <w:tcW w:w="709" w:type="pct"/>
            <w:tcBorders>
              <w:top w:val="nil"/>
              <w:left w:val="nil"/>
              <w:bottom w:val="nil"/>
              <w:right w:val="nil"/>
            </w:tcBorders>
            <w:vAlign w:val="center"/>
          </w:tcPr>
          <w:p w14:paraId="748977C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431.10±15.52</w:t>
            </w:r>
          </w:p>
        </w:tc>
        <w:tc>
          <w:tcPr>
            <w:tcW w:w="548" w:type="pct"/>
            <w:tcBorders>
              <w:top w:val="nil"/>
              <w:left w:val="nil"/>
              <w:bottom w:val="nil"/>
              <w:right w:val="nil"/>
            </w:tcBorders>
            <w:vAlign w:val="center"/>
          </w:tcPr>
          <w:p w14:paraId="58C4C45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0.22±0.01</w:t>
            </w:r>
          </w:p>
        </w:tc>
        <w:tc>
          <w:tcPr>
            <w:tcW w:w="548" w:type="pct"/>
            <w:tcBorders>
              <w:top w:val="nil"/>
              <w:left w:val="nil"/>
              <w:bottom w:val="nil"/>
              <w:right w:val="nil"/>
            </w:tcBorders>
            <w:vAlign w:val="center"/>
          </w:tcPr>
          <w:p w14:paraId="0FAE111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1.33±0.04</w:t>
            </w:r>
          </w:p>
        </w:tc>
        <w:tc>
          <w:tcPr>
            <w:tcW w:w="444" w:type="pct"/>
            <w:tcBorders>
              <w:top w:val="nil"/>
              <w:left w:val="nil"/>
              <w:bottom w:val="nil"/>
              <w:right w:val="nil"/>
            </w:tcBorders>
            <w:vAlign w:val="center"/>
          </w:tcPr>
          <w:p w14:paraId="23D3132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0.42±0.02</w:t>
            </w:r>
          </w:p>
        </w:tc>
        <w:tc>
          <w:tcPr>
            <w:tcW w:w="651" w:type="pct"/>
            <w:tcBorders>
              <w:top w:val="nil"/>
              <w:left w:val="nil"/>
              <w:bottom w:val="nil"/>
              <w:right w:val="nil"/>
            </w:tcBorders>
            <w:vAlign w:val="center"/>
          </w:tcPr>
          <w:p w14:paraId="73935B1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-0.45±0.08</w:t>
            </w:r>
          </w:p>
        </w:tc>
        <w:tc>
          <w:tcPr>
            <w:tcW w:w="590" w:type="pct"/>
            <w:tcBorders>
              <w:top w:val="nil"/>
              <w:left w:val="nil"/>
              <w:bottom w:val="nil"/>
              <w:right w:val="nil"/>
            </w:tcBorders>
            <w:vAlign w:val="center"/>
          </w:tcPr>
          <w:p w14:paraId="7719A47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8.31±0.54</w:t>
            </w:r>
          </w:p>
        </w:tc>
        <w:tc>
          <w:tcPr>
            <w:tcW w:w="776" w:type="pct"/>
            <w:tcBorders>
              <w:top w:val="nil"/>
              <w:left w:val="nil"/>
              <w:bottom w:val="nil"/>
              <w:right w:val="nil"/>
            </w:tcBorders>
            <w:vAlign w:val="center"/>
          </w:tcPr>
          <w:p w14:paraId="2DC67A4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58.89±3.29</w:t>
            </w:r>
          </w:p>
        </w:tc>
      </w:tr>
      <w:tr w14:paraId="3E7A5F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5718D4E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DJK-summer</w:t>
            </w:r>
          </w:p>
        </w:tc>
        <w:tc>
          <w:tcPr>
            <w:tcW w:w="709" w:type="pct"/>
            <w:tcBorders>
              <w:top w:val="nil"/>
              <w:left w:val="nil"/>
              <w:bottom w:val="nil"/>
              <w:right w:val="nil"/>
            </w:tcBorders>
            <w:vAlign w:val="center"/>
          </w:tcPr>
          <w:p w14:paraId="6EAC656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372.22±5.85</w:t>
            </w:r>
          </w:p>
        </w:tc>
        <w:tc>
          <w:tcPr>
            <w:tcW w:w="548" w:type="pct"/>
            <w:tcBorders>
              <w:top w:val="nil"/>
              <w:left w:val="nil"/>
              <w:bottom w:val="nil"/>
              <w:right w:val="nil"/>
            </w:tcBorders>
            <w:vAlign w:val="center"/>
          </w:tcPr>
          <w:p w14:paraId="66BBF9A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0.24±0.00</w:t>
            </w:r>
          </w:p>
        </w:tc>
        <w:tc>
          <w:tcPr>
            <w:tcW w:w="548" w:type="pct"/>
            <w:tcBorders>
              <w:top w:val="nil"/>
              <w:left w:val="nil"/>
              <w:bottom w:val="nil"/>
              <w:right w:val="nil"/>
            </w:tcBorders>
            <w:vAlign w:val="center"/>
          </w:tcPr>
          <w:p w14:paraId="5466AEC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1.31±0.01</w:t>
            </w:r>
          </w:p>
        </w:tc>
        <w:tc>
          <w:tcPr>
            <w:tcW w:w="444" w:type="pct"/>
            <w:tcBorders>
              <w:top w:val="nil"/>
              <w:left w:val="nil"/>
              <w:bottom w:val="nil"/>
              <w:right w:val="nil"/>
            </w:tcBorders>
            <w:vAlign w:val="center"/>
          </w:tcPr>
          <w:p w14:paraId="024BD9F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0.44±0.00</w:t>
            </w:r>
          </w:p>
        </w:tc>
        <w:tc>
          <w:tcPr>
            <w:tcW w:w="651" w:type="pct"/>
            <w:tcBorders>
              <w:top w:val="nil"/>
              <w:left w:val="nil"/>
              <w:bottom w:val="nil"/>
              <w:right w:val="nil"/>
            </w:tcBorders>
            <w:vAlign w:val="center"/>
          </w:tcPr>
          <w:p w14:paraId="32F5B21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-0.39±0.02</w:t>
            </w:r>
          </w:p>
        </w:tc>
        <w:tc>
          <w:tcPr>
            <w:tcW w:w="590" w:type="pct"/>
            <w:tcBorders>
              <w:top w:val="nil"/>
              <w:left w:val="nil"/>
              <w:bottom w:val="nil"/>
              <w:right w:val="nil"/>
            </w:tcBorders>
            <w:vAlign w:val="center"/>
          </w:tcPr>
          <w:p w14:paraId="16BF1D7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8.04±0.16</w:t>
            </w:r>
          </w:p>
        </w:tc>
        <w:tc>
          <w:tcPr>
            <w:tcW w:w="776" w:type="pct"/>
            <w:tcBorders>
              <w:top w:val="nil"/>
              <w:left w:val="nil"/>
              <w:bottom w:val="nil"/>
              <w:right w:val="nil"/>
            </w:tcBorders>
            <w:vAlign w:val="center"/>
          </w:tcPr>
          <w:p w14:paraId="3CDB272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63.33±0.22</w:t>
            </w:r>
          </w:p>
        </w:tc>
      </w:tr>
      <w:tr w14:paraId="4AE0BA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77AFC61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DJK-winter</w:t>
            </w:r>
          </w:p>
        </w:tc>
        <w:tc>
          <w:tcPr>
            <w:tcW w:w="709" w:type="pct"/>
            <w:tcBorders>
              <w:top w:val="nil"/>
              <w:left w:val="nil"/>
              <w:bottom w:val="nil"/>
              <w:right w:val="nil"/>
            </w:tcBorders>
            <w:vAlign w:val="center"/>
          </w:tcPr>
          <w:p w14:paraId="2D501AF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420.04±2.43</w:t>
            </w:r>
          </w:p>
        </w:tc>
        <w:tc>
          <w:tcPr>
            <w:tcW w:w="548" w:type="pct"/>
            <w:tcBorders>
              <w:top w:val="nil"/>
              <w:left w:val="nil"/>
              <w:bottom w:val="nil"/>
              <w:right w:val="nil"/>
            </w:tcBorders>
            <w:vAlign w:val="center"/>
          </w:tcPr>
          <w:p w14:paraId="7527DDE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0.24±0.00</w:t>
            </w:r>
          </w:p>
        </w:tc>
        <w:tc>
          <w:tcPr>
            <w:tcW w:w="548" w:type="pct"/>
            <w:tcBorders>
              <w:top w:val="nil"/>
              <w:left w:val="nil"/>
              <w:bottom w:val="nil"/>
              <w:right w:val="nil"/>
            </w:tcBorders>
            <w:vAlign w:val="center"/>
          </w:tcPr>
          <w:p w14:paraId="1579EFF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1.29±0.00</w:t>
            </w:r>
          </w:p>
        </w:tc>
        <w:tc>
          <w:tcPr>
            <w:tcW w:w="444" w:type="pct"/>
            <w:tcBorders>
              <w:top w:val="nil"/>
              <w:left w:val="nil"/>
              <w:bottom w:val="nil"/>
              <w:right w:val="nil"/>
            </w:tcBorders>
            <w:vAlign w:val="center"/>
          </w:tcPr>
          <w:p w14:paraId="01F8B8E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0.43±0.00</w:t>
            </w:r>
          </w:p>
        </w:tc>
        <w:tc>
          <w:tcPr>
            <w:tcW w:w="651" w:type="pct"/>
            <w:tcBorders>
              <w:top w:val="nil"/>
              <w:left w:val="nil"/>
              <w:bottom w:val="nil"/>
              <w:right w:val="nil"/>
            </w:tcBorders>
            <w:vAlign w:val="center"/>
          </w:tcPr>
          <w:p w14:paraId="3DDADA7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-0.39±0.01</w:t>
            </w:r>
          </w:p>
        </w:tc>
        <w:tc>
          <w:tcPr>
            <w:tcW w:w="590" w:type="pct"/>
            <w:tcBorders>
              <w:top w:val="nil"/>
              <w:left w:val="nil"/>
              <w:bottom w:val="nil"/>
              <w:right w:val="nil"/>
            </w:tcBorders>
            <w:vAlign w:val="center"/>
          </w:tcPr>
          <w:p w14:paraId="0FFB47C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8.49±0.07</w:t>
            </w:r>
          </w:p>
        </w:tc>
        <w:tc>
          <w:tcPr>
            <w:tcW w:w="776" w:type="pct"/>
            <w:tcBorders>
              <w:top w:val="nil"/>
              <w:left w:val="nil"/>
              <w:bottom w:val="nil"/>
              <w:right w:val="nil"/>
            </w:tcBorders>
            <w:vAlign w:val="center"/>
          </w:tcPr>
          <w:p w14:paraId="35FD20D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60.99±0.67</w:t>
            </w:r>
          </w:p>
        </w:tc>
      </w:tr>
      <w:tr w14:paraId="3721A1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2A4CAE8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SH-summer</w:t>
            </w:r>
          </w:p>
        </w:tc>
        <w:tc>
          <w:tcPr>
            <w:tcW w:w="709" w:type="pct"/>
            <w:tcBorders>
              <w:top w:val="nil"/>
              <w:left w:val="nil"/>
              <w:bottom w:val="nil"/>
              <w:right w:val="nil"/>
            </w:tcBorders>
            <w:vAlign w:val="center"/>
          </w:tcPr>
          <w:p w14:paraId="5AD035A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377.83±4.55</w:t>
            </w:r>
          </w:p>
        </w:tc>
        <w:tc>
          <w:tcPr>
            <w:tcW w:w="548" w:type="pct"/>
            <w:tcBorders>
              <w:top w:val="nil"/>
              <w:left w:val="nil"/>
              <w:bottom w:val="nil"/>
              <w:right w:val="nil"/>
            </w:tcBorders>
            <w:vAlign w:val="center"/>
          </w:tcPr>
          <w:p w14:paraId="00A8166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0.22±0.01</w:t>
            </w:r>
          </w:p>
        </w:tc>
        <w:tc>
          <w:tcPr>
            <w:tcW w:w="548" w:type="pct"/>
            <w:tcBorders>
              <w:top w:val="nil"/>
              <w:left w:val="nil"/>
              <w:bottom w:val="nil"/>
              <w:right w:val="nil"/>
            </w:tcBorders>
            <w:vAlign w:val="center"/>
          </w:tcPr>
          <w:p w14:paraId="4B6F234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1.34±0.04</w:t>
            </w:r>
          </w:p>
        </w:tc>
        <w:tc>
          <w:tcPr>
            <w:tcW w:w="444" w:type="pct"/>
            <w:tcBorders>
              <w:top w:val="nil"/>
              <w:left w:val="nil"/>
              <w:bottom w:val="nil"/>
              <w:right w:val="nil"/>
            </w:tcBorders>
            <w:vAlign w:val="center"/>
          </w:tcPr>
          <w:p w14:paraId="01A898A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0.43±0.02</w:t>
            </w:r>
          </w:p>
        </w:tc>
        <w:tc>
          <w:tcPr>
            <w:tcW w:w="651" w:type="pct"/>
            <w:tcBorders>
              <w:top w:val="nil"/>
              <w:left w:val="nil"/>
              <w:bottom w:val="nil"/>
              <w:right w:val="nil"/>
            </w:tcBorders>
            <w:vAlign w:val="center"/>
          </w:tcPr>
          <w:p w14:paraId="3BF4553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-0.46±0.07</w:t>
            </w:r>
          </w:p>
        </w:tc>
        <w:tc>
          <w:tcPr>
            <w:tcW w:w="590" w:type="pct"/>
            <w:tcBorders>
              <w:top w:val="nil"/>
              <w:left w:val="nil"/>
              <w:bottom w:val="nil"/>
              <w:right w:val="nil"/>
            </w:tcBorders>
            <w:vAlign w:val="center"/>
          </w:tcPr>
          <w:p w14:paraId="277715E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7.51±0.33</w:t>
            </w:r>
          </w:p>
        </w:tc>
        <w:tc>
          <w:tcPr>
            <w:tcW w:w="776" w:type="pct"/>
            <w:tcBorders>
              <w:top w:val="nil"/>
              <w:left w:val="nil"/>
              <w:bottom w:val="nil"/>
              <w:right w:val="nil"/>
            </w:tcBorders>
            <w:vAlign w:val="center"/>
          </w:tcPr>
          <w:p w14:paraId="1E90E15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58.73±1.37</w:t>
            </w:r>
          </w:p>
        </w:tc>
      </w:tr>
      <w:tr w14:paraId="7A5F55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204E848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SH-winter</w:t>
            </w:r>
          </w:p>
        </w:tc>
        <w:tc>
          <w:tcPr>
            <w:tcW w:w="709" w:type="pct"/>
            <w:tcBorders>
              <w:top w:val="nil"/>
              <w:left w:val="nil"/>
              <w:bottom w:val="nil"/>
              <w:right w:val="nil"/>
            </w:tcBorders>
            <w:vAlign w:val="center"/>
          </w:tcPr>
          <w:p w14:paraId="7F3DF63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421.50±3.30</w:t>
            </w:r>
          </w:p>
        </w:tc>
        <w:tc>
          <w:tcPr>
            <w:tcW w:w="548" w:type="pct"/>
            <w:tcBorders>
              <w:top w:val="nil"/>
              <w:left w:val="nil"/>
              <w:bottom w:val="nil"/>
              <w:right w:val="nil"/>
            </w:tcBorders>
            <w:vAlign w:val="center"/>
          </w:tcPr>
          <w:p w14:paraId="071AB1E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0.23±0.00</w:t>
            </w:r>
          </w:p>
        </w:tc>
        <w:tc>
          <w:tcPr>
            <w:tcW w:w="548" w:type="pct"/>
            <w:tcBorders>
              <w:top w:val="nil"/>
              <w:left w:val="nil"/>
              <w:bottom w:val="nil"/>
              <w:right w:val="nil"/>
            </w:tcBorders>
            <w:vAlign w:val="center"/>
          </w:tcPr>
          <w:p w14:paraId="2626FD2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1.31±0.01</w:t>
            </w:r>
          </w:p>
        </w:tc>
        <w:tc>
          <w:tcPr>
            <w:tcW w:w="444" w:type="pct"/>
            <w:tcBorders>
              <w:top w:val="nil"/>
              <w:left w:val="nil"/>
              <w:bottom w:val="nil"/>
              <w:right w:val="nil"/>
            </w:tcBorders>
            <w:vAlign w:val="center"/>
          </w:tcPr>
          <w:p w14:paraId="40CA70A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0.43±0.01</w:t>
            </w:r>
          </w:p>
        </w:tc>
        <w:tc>
          <w:tcPr>
            <w:tcW w:w="651" w:type="pct"/>
            <w:tcBorders>
              <w:top w:val="nil"/>
              <w:left w:val="nil"/>
              <w:bottom w:val="nil"/>
              <w:right w:val="nil"/>
            </w:tcBorders>
            <w:vAlign w:val="center"/>
          </w:tcPr>
          <w:p w14:paraId="3151567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-0.42±0.04</w:t>
            </w:r>
          </w:p>
        </w:tc>
        <w:tc>
          <w:tcPr>
            <w:tcW w:w="590" w:type="pct"/>
            <w:tcBorders>
              <w:top w:val="nil"/>
              <w:left w:val="nil"/>
              <w:bottom w:val="nil"/>
              <w:right w:val="nil"/>
            </w:tcBorders>
            <w:vAlign w:val="center"/>
          </w:tcPr>
          <w:p w14:paraId="186F073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8.27±0.06</w:t>
            </w:r>
          </w:p>
        </w:tc>
        <w:tc>
          <w:tcPr>
            <w:tcW w:w="776" w:type="pct"/>
            <w:tcBorders>
              <w:top w:val="nil"/>
              <w:left w:val="nil"/>
              <w:bottom w:val="nil"/>
              <w:right w:val="nil"/>
            </w:tcBorders>
            <w:vAlign w:val="center"/>
          </w:tcPr>
          <w:p w14:paraId="7674D01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59.68±1.36</w:t>
            </w:r>
          </w:p>
        </w:tc>
      </w:tr>
      <w:tr w14:paraId="6CA6E1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366D43D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BH-summer</w:t>
            </w:r>
          </w:p>
        </w:tc>
        <w:tc>
          <w:tcPr>
            <w:tcW w:w="709" w:type="pct"/>
            <w:tcBorders>
              <w:top w:val="nil"/>
              <w:left w:val="nil"/>
              <w:bottom w:val="nil"/>
              <w:right w:val="nil"/>
            </w:tcBorders>
            <w:vAlign w:val="center"/>
          </w:tcPr>
          <w:p w14:paraId="18D173F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373.23±7.00</w:t>
            </w:r>
          </w:p>
        </w:tc>
        <w:tc>
          <w:tcPr>
            <w:tcW w:w="548" w:type="pct"/>
            <w:tcBorders>
              <w:top w:val="nil"/>
              <w:left w:val="nil"/>
              <w:bottom w:val="nil"/>
              <w:right w:val="nil"/>
            </w:tcBorders>
            <w:vAlign w:val="center"/>
          </w:tcPr>
          <w:p w14:paraId="365B90A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0.23±0.01</w:t>
            </w:r>
          </w:p>
        </w:tc>
        <w:tc>
          <w:tcPr>
            <w:tcW w:w="548" w:type="pct"/>
            <w:tcBorders>
              <w:top w:val="nil"/>
              <w:left w:val="nil"/>
              <w:bottom w:val="nil"/>
              <w:right w:val="nil"/>
            </w:tcBorders>
            <w:vAlign w:val="center"/>
          </w:tcPr>
          <w:p w14:paraId="71C9CF3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1.30±0.02</w:t>
            </w:r>
          </w:p>
        </w:tc>
        <w:tc>
          <w:tcPr>
            <w:tcW w:w="444" w:type="pct"/>
            <w:tcBorders>
              <w:top w:val="nil"/>
              <w:left w:val="nil"/>
              <w:bottom w:val="nil"/>
              <w:right w:val="nil"/>
            </w:tcBorders>
            <w:vAlign w:val="center"/>
          </w:tcPr>
          <w:p w14:paraId="661EEAF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0.45±0.01</w:t>
            </w:r>
          </w:p>
        </w:tc>
        <w:tc>
          <w:tcPr>
            <w:tcW w:w="651" w:type="pct"/>
            <w:tcBorders>
              <w:top w:val="nil"/>
              <w:left w:val="nil"/>
              <w:bottom w:val="nil"/>
              <w:right w:val="nil"/>
            </w:tcBorders>
            <w:vAlign w:val="center"/>
          </w:tcPr>
          <w:p w14:paraId="4B29B15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-0.35±0.04</w:t>
            </w:r>
          </w:p>
        </w:tc>
        <w:tc>
          <w:tcPr>
            <w:tcW w:w="590" w:type="pct"/>
            <w:tcBorders>
              <w:top w:val="nil"/>
              <w:left w:val="nil"/>
              <w:bottom w:val="nil"/>
              <w:right w:val="nil"/>
            </w:tcBorders>
            <w:vAlign w:val="center"/>
          </w:tcPr>
          <w:p w14:paraId="19864B9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7.74±0.25</w:t>
            </w:r>
          </w:p>
        </w:tc>
        <w:tc>
          <w:tcPr>
            <w:tcW w:w="776" w:type="pct"/>
            <w:tcBorders>
              <w:top w:val="nil"/>
              <w:left w:val="nil"/>
              <w:bottom w:val="nil"/>
              <w:right w:val="nil"/>
            </w:tcBorders>
            <w:vAlign w:val="center"/>
          </w:tcPr>
          <w:p w14:paraId="500F0E5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60.94±1.55</w:t>
            </w:r>
          </w:p>
        </w:tc>
      </w:tr>
      <w:tr w14:paraId="0057F8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591A2C1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BH-winter</w:t>
            </w:r>
          </w:p>
        </w:tc>
        <w:tc>
          <w:tcPr>
            <w:tcW w:w="709" w:type="pct"/>
            <w:tcBorders>
              <w:top w:val="nil"/>
              <w:left w:val="nil"/>
              <w:bottom w:val="nil"/>
              <w:right w:val="nil"/>
            </w:tcBorders>
            <w:vAlign w:val="center"/>
          </w:tcPr>
          <w:p w14:paraId="5C19F14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413.54±0.72</w:t>
            </w:r>
          </w:p>
        </w:tc>
        <w:tc>
          <w:tcPr>
            <w:tcW w:w="548" w:type="pct"/>
            <w:tcBorders>
              <w:top w:val="nil"/>
              <w:left w:val="nil"/>
              <w:bottom w:val="nil"/>
              <w:right w:val="nil"/>
            </w:tcBorders>
            <w:vAlign w:val="center"/>
          </w:tcPr>
          <w:p w14:paraId="6A4A0DD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0.23±0.00</w:t>
            </w:r>
          </w:p>
        </w:tc>
        <w:tc>
          <w:tcPr>
            <w:tcW w:w="548" w:type="pct"/>
            <w:tcBorders>
              <w:top w:val="nil"/>
              <w:left w:val="nil"/>
              <w:bottom w:val="nil"/>
              <w:right w:val="nil"/>
            </w:tcBorders>
            <w:vAlign w:val="center"/>
          </w:tcPr>
          <w:p w14:paraId="360254F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1.32±0.00</w:t>
            </w:r>
          </w:p>
        </w:tc>
        <w:tc>
          <w:tcPr>
            <w:tcW w:w="444" w:type="pct"/>
            <w:tcBorders>
              <w:top w:val="nil"/>
              <w:left w:val="nil"/>
              <w:bottom w:val="nil"/>
              <w:right w:val="nil"/>
            </w:tcBorders>
            <w:vAlign w:val="center"/>
          </w:tcPr>
          <w:p w14:paraId="1282495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0.43±0.00</w:t>
            </w:r>
          </w:p>
        </w:tc>
        <w:tc>
          <w:tcPr>
            <w:tcW w:w="651" w:type="pct"/>
            <w:tcBorders>
              <w:top w:val="nil"/>
              <w:left w:val="nil"/>
              <w:bottom w:val="nil"/>
              <w:right w:val="nil"/>
            </w:tcBorders>
            <w:vAlign w:val="center"/>
          </w:tcPr>
          <w:p w14:paraId="2B45797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-0.41±0.00</w:t>
            </w:r>
          </w:p>
        </w:tc>
        <w:tc>
          <w:tcPr>
            <w:tcW w:w="590" w:type="pct"/>
            <w:tcBorders>
              <w:top w:val="nil"/>
              <w:left w:val="nil"/>
              <w:bottom w:val="nil"/>
              <w:right w:val="nil"/>
            </w:tcBorders>
            <w:vAlign w:val="center"/>
          </w:tcPr>
          <w:p w14:paraId="235257D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8.09±0.05</w:t>
            </w:r>
          </w:p>
        </w:tc>
        <w:tc>
          <w:tcPr>
            <w:tcW w:w="776" w:type="pct"/>
            <w:tcBorders>
              <w:top w:val="nil"/>
              <w:left w:val="nil"/>
              <w:bottom w:val="nil"/>
              <w:right w:val="nil"/>
            </w:tcBorders>
            <w:vAlign w:val="center"/>
          </w:tcPr>
          <w:p w14:paraId="290001F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57.57±0.29</w:t>
            </w:r>
          </w:p>
        </w:tc>
      </w:tr>
      <w:tr w14:paraId="512F5F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nil"/>
              <w:right w:val="nil"/>
            </w:tcBorders>
            <w:vAlign w:val="center"/>
          </w:tcPr>
          <w:p w14:paraId="49ED166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YT-summer</w:t>
            </w:r>
          </w:p>
        </w:tc>
        <w:tc>
          <w:tcPr>
            <w:tcW w:w="709" w:type="pct"/>
            <w:tcBorders>
              <w:top w:val="nil"/>
              <w:left w:val="nil"/>
              <w:bottom w:val="nil"/>
              <w:right w:val="nil"/>
            </w:tcBorders>
            <w:vAlign w:val="center"/>
          </w:tcPr>
          <w:p w14:paraId="2780BD9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396.70±4.95</w:t>
            </w:r>
          </w:p>
        </w:tc>
        <w:tc>
          <w:tcPr>
            <w:tcW w:w="548" w:type="pct"/>
            <w:tcBorders>
              <w:top w:val="nil"/>
              <w:left w:val="nil"/>
              <w:bottom w:val="nil"/>
              <w:right w:val="nil"/>
            </w:tcBorders>
            <w:vAlign w:val="center"/>
          </w:tcPr>
          <w:p w14:paraId="10F71C9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0.24±0.01</w:t>
            </w:r>
          </w:p>
        </w:tc>
        <w:tc>
          <w:tcPr>
            <w:tcW w:w="548" w:type="pct"/>
            <w:tcBorders>
              <w:top w:val="nil"/>
              <w:left w:val="nil"/>
              <w:bottom w:val="nil"/>
              <w:right w:val="nil"/>
            </w:tcBorders>
            <w:vAlign w:val="center"/>
          </w:tcPr>
          <w:p w14:paraId="731147B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1.26±0.01</w:t>
            </w:r>
          </w:p>
        </w:tc>
        <w:tc>
          <w:tcPr>
            <w:tcW w:w="444" w:type="pct"/>
            <w:tcBorders>
              <w:top w:val="nil"/>
              <w:left w:val="nil"/>
              <w:bottom w:val="nil"/>
              <w:right w:val="nil"/>
            </w:tcBorders>
            <w:vAlign w:val="center"/>
          </w:tcPr>
          <w:p w14:paraId="78F9166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0.47±0.00</w:t>
            </w:r>
          </w:p>
        </w:tc>
        <w:tc>
          <w:tcPr>
            <w:tcW w:w="651" w:type="pct"/>
            <w:tcBorders>
              <w:top w:val="nil"/>
              <w:left w:val="nil"/>
              <w:bottom w:val="nil"/>
              <w:right w:val="nil"/>
            </w:tcBorders>
            <w:vAlign w:val="center"/>
          </w:tcPr>
          <w:p w14:paraId="06DDBFB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-0.26±0.02</w:t>
            </w:r>
          </w:p>
        </w:tc>
        <w:tc>
          <w:tcPr>
            <w:tcW w:w="590" w:type="pct"/>
            <w:tcBorders>
              <w:top w:val="nil"/>
              <w:left w:val="nil"/>
              <w:bottom w:val="nil"/>
              <w:right w:val="nil"/>
            </w:tcBorders>
            <w:vAlign w:val="center"/>
          </w:tcPr>
          <w:p w14:paraId="0411B0C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8.31±0.27</w:t>
            </w:r>
          </w:p>
        </w:tc>
        <w:tc>
          <w:tcPr>
            <w:tcW w:w="776" w:type="pct"/>
            <w:tcBorders>
              <w:top w:val="nil"/>
              <w:left w:val="nil"/>
              <w:bottom w:val="nil"/>
              <w:right w:val="nil"/>
            </w:tcBorders>
            <w:vAlign w:val="center"/>
          </w:tcPr>
          <w:p w14:paraId="35B739C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61.79±0.73</w:t>
            </w:r>
          </w:p>
        </w:tc>
      </w:tr>
      <w:tr w14:paraId="2200D9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34" w:type="pct"/>
            <w:tcBorders>
              <w:top w:val="nil"/>
              <w:left w:val="nil"/>
              <w:bottom w:val="single" w:color="auto" w:sz="12" w:space="0"/>
              <w:right w:val="nil"/>
            </w:tcBorders>
            <w:vAlign w:val="center"/>
          </w:tcPr>
          <w:p w14:paraId="217C232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YT-winter</w:t>
            </w:r>
          </w:p>
        </w:tc>
        <w:tc>
          <w:tcPr>
            <w:tcW w:w="709" w:type="pct"/>
            <w:tcBorders>
              <w:top w:val="nil"/>
              <w:left w:val="nil"/>
              <w:bottom w:val="single" w:color="auto" w:sz="12" w:space="0"/>
              <w:right w:val="nil"/>
            </w:tcBorders>
            <w:vAlign w:val="center"/>
          </w:tcPr>
          <w:p w14:paraId="325C7E0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399.57±2.50</w:t>
            </w:r>
          </w:p>
        </w:tc>
        <w:tc>
          <w:tcPr>
            <w:tcW w:w="548" w:type="pct"/>
            <w:tcBorders>
              <w:top w:val="nil"/>
              <w:left w:val="nil"/>
              <w:bottom w:val="single" w:color="auto" w:sz="12" w:space="0"/>
              <w:right w:val="nil"/>
            </w:tcBorders>
            <w:vAlign w:val="center"/>
          </w:tcPr>
          <w:p w14:paraId="215BD8F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0.24±0.00</w:t>
            </w:r>
          </w:p>
        </w:tc>
        <w:tc>
          <w:tcPr>
            <w:tcW w:w="548" w:type="pct"/>
            <w:tcBorders>
              <w:top w:val="nil"/>
              <w:left w:val="nil"/>
              <w:bottom w:val="single" w:color="auto" w:sz="12" w:space="0"/>
              <w:right w:val="nil"/>
            </w:tcBorders>
            <w:vAlign w:val="center"/>
          </w:tcPr>
          <w:p w14:paraId="5B9F505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1.30±0.01</w:t>
            </w:r>
          </w:p>
        </w:tc>
        <w:tc>
          <w:tcPr>
            <w:tcW w:w="444" w:type="pct"/>
            <w:tcBorders>
              <w:top w:val="nil"/>
              <w:left w:val="nil"/>
              <w:bottom w:val="single" w:color="auto" w:sz="12" w:space="0"/>
              <w:right w:val="nil"/>
            </w:tcBorders>
            <w:vAlign w:val="center"/>
          </w:tcPr>
          <w:p w14:paraId="09D95CC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0.43±0.00</w:t>
            </w:r>
          </w:p>
        </w:tc>
        <w:tc>
          <w:tcPr>
            <w:tcW w:w="651" w:type="pct"/>
            <w:tcBorders>
              <w:top w:val="nil"/>
              <w:left w:val="nil"/>
              <w:bottom w:val="single" w:color="auto" w:sz="12" w:space="0"/>
              <w:right w:val="nil"/>
            </w:tcBorders>
            <w:vAlign w:val="center"/>
          </w:tcPr>
          <w:p w14:paraId="72C8922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-0.37±0.01</w:t>
            </w:r>
          </w:p>
        </w:tc>
        <w:tc>
          <w:tcPr>
            <w:tcW w:w="590" w:type="pct"/>
            <w:tcBorders>
              <w:top w:val="nil"/>
              <w:left w:val="nil"/>
              <w:bottom w:val="single" w:color="auto" w:sz="12" w:space="0"/>
              <w:right w:val="nil"/>
            </w:tcBorders>
            <w:vAlign w:val="center"/>
          </w:tcPr>
          <w:p w14:paraId="139C094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8.07±0.05</w:t>
            </w:r>
          </w:p>
        </w:tc>
        <w:tc>
          <w:tcPr>
            <w:tcW w:w="776" w:type="pct"/>
            <w:tcBorders>
              <w:top w:val="nil"/>
              <w:left w:val="nil"/>
              <w:bottom w:val="single" w:color="auto" w:sz="12" w:space="0"/>
              <w:right w:val="nil"/>
            </w:tcBorders>
            <w:vAlign w:val="center"/>
          </w:tcPr>
          <w:p w14:paraId="641C053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59.96±1.65</w:t>
            </w:r>
          </w:p>
        </w:tc>
      </w:tr>
    </w:tbl>
    <w:p w14:paraId="15A34C7A">
      <w:pPr>
        <w:spacing w:line="480" w:lineRule="auto"/>
        <w:ind w:firstLine="0" w:firstLineChars="0"/>
        <w:jc w:val="center"/>
        <w:rPr>
          <w:rFonts w:cs="Times New Roman"/>
          <w:b/>
          <w:bCs/>
          <w:sz w:val="21"/>
          <w:szCs w:val="21"/>
        </w:rPr>
      </w:pPr>
      <w:bookmarkStart w:id="10" w:name="OLE_LINK41"/>
      <w:r>
        <w:rPr>
          <w:rFonts w:cs="Times New Roman"/>
          <w:b/>
          <w:bCs/>
          <w:sz w:val="21"/>
          <w:szCs w:val="21"/>
        </w:rPr>
        <w:br w:type="page"/>
      </w:r>
    </w:p>
    <w:p w14:paraId="34B9982C">
      <w:pPr>
        <w:spacing w:line="480" w:lineRule="auto"/>
        <w:ind w:firstLine="0" w:firstLineChars="0"/>
        <w:jc w:val="center"/>
        <w:rPr>
          <w:rFonts w:cs="Times New Roman"/>
          <w:b/>
          <w:bCs/>
          <w:sz w:val="21"/>
          <w:szCs w:val="21"/>
        </w:rPr>
      </w:pPr>
    </w:p>
    <w:p w14:paraId="4F0F9E22">
      <w:pPr>
        <w:spacing w:line="480" w:lineRule="auto"/>
        <w:ind w:firstLine="0" w:firstLineChars="0"/>
        <w:jc w:val="center"/>
        <w:rPr>
          <w:rFonts w:cs="Times New Roman"/>
          <w:b/>
          <w:bCs/>
          <w:sz w:val="21"/>
          <w:szCs w:val="21"/>
        </w:rPr>
      </w:pPr>
      <w:r>
        <w:rPr>
          <w:rFonts w:cs="Times New Roman"/>
          <w:b/>
          <w:bCs/>
          <w:sz w:val="21"/>
          <w:szCs w:val="21"/>
        </w:rPr>
        <w:t>Table S5 The average value ± standard deviation of the FT-ICR MS components of the sampled reservoirs</w:t>
      </w:r>
    </w:p>
    <w:tbl>
      <w:tblPr>
        <w:tblStyle w:val="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025"/>
        <w:gridCol w:w="1355"/>
        <w:gridCol w:w="1322"/>
        <w:gridCol w:w="1532"/>
        <w:gridCol w:w="1511"/>
        <w:gridCol w:w="1442"/>
      </w:tblGrid>
      <w:tr w14:paraId="203FA1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800" w:type="pct"/>
            <w:tcBorders>
              <w:top w:val="single" w:color="auto" w:sz="12" w:space="0"/>
              <w:left w:val="nil"/>
              <w:bottom w:val="single" w:color="auto" w:sz="6" w:space="0"/>
              <w:right w:val="nil"/>
            </w:tcBorders>
            <w:vAlign w:val="center"/>
          </w:tcPr>
          <w:p w14:paraId="2532698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Reservoir</w:t>
            </w:r>
          </w:p>
        </w:tc>
        <w:tc>
          <w:tcPr>
            <w:tcW w:w="526" w:type="pct"/>
            <w:tcBorders>
              <w:top w:val="single" w:color="auto" w:sz="12" w:space="0"/>
              <w:left w:val="nil"/>
              <w:bottom w:val="single" w:color="auto" w:sz="6" w:space="0"/>
              <w:right w:val="nil"/>
            </w:tcBorders>
            <w:vAlign w:val="center"/>
          </w:tcPr>
          <w:p w14:paraId="1A06239A">
            <w:pPr>
              <w:spacing w:line="480" w:lineRule="auto"/>
              <w:ind w:firstLine="0" w:firstLineChars="0"/>
              <w:jc w:val="center"/>
              <w:rPr>
                <w:rFonts w:hint="eastAsia" w:eastAsia="宋体" w:cs="Times New Roman"/>
                <w:kern w:val="0"/>
                <w:sz w:val="21"/>
                <w:szCs w:val="21"/>
                <w:lang w:eastAsia="zh-CN"/>
              </w:rPr>
            </w:pPr>
            <w:r>
              <w:rPr>
                <w:rFonts w:eastAsia="Times New Roman" w:cs="Times New Roman"/>
                <w:kern w:val="0"/>
                <w:sz w:val="21"/>
                <w:szCs w:val="21"/>
              </w:rPr>
              <w:t>CHO</w:t>
            </w:r>
            <w:r>
              <w:rPr>
                <w:rFonts w:hint="eastAsia" w:ascii="宋体" w:hAnsi="宋体" w:cs="宋体"/>
                <w:kern w:val="0"/>
                <w:sz w:val="21"/>
                <w:szCs w:val="21"/>
                <w:lang w:eastAsia="zh-CN"/>
              </w:rPr>
              <w:t>(</w:t>
            </w:r>
            <w:r>
              <w:rPr>
                <w:rFonts w:eastAsia="Times New Roman" w:cs="Times New Roman"/>
                <w:kern w:val="0"/>
                <w:sz w:val="21"/>
                <w:szCs w:val="21"/>
              </w:rPr>
              <w:t>%</w:t>
            </w:r>
            <w:r>
              <w:rPr>
                <w:rFonts w:hint="eastAsia" w:ascii="宋体" w:hAnsi="宋体" w:cs="宋体"/>
                <w:kern w:val="0"/>
                <w:sz w:val="21"/>
                <w:szCs w:val="21"/>
                <w:lang w:eastAsia="zh-CN"/>
              </w:rPr>
              <w:t>)</w:t>
            </w:r>
          </w:p>
        </w:tc>
        <w:tc>
          <w:tcPr>
            <w:tcW w:w="695" w:type="pct"/>
            <w:tcBorders>
              <w:top w:val="single" w:color="auto" w:sz="12" w:space="0"/>
              <w:left w:val="nil"/>
              <w:bottom w:val="single" w:color="auto" w:sz="6" w:space="0"/>
              <w:right w:val="nil"/>
            </w:tcBorders>
            <w:vAlign w:val="center"/>
          </w:tcPr>
          <w:p w14:paraId="78908516">
            <w:pPr>
              <w:spacing w:line="480" w:lineRule="auto"/>
              <w:ind w:firstLine="0" w:firstLineChars="0"/>
              <w:jc w:val="center"/>
              <w:rPr>
                <w:rFonts w:hint="eastAsia" w:eastAsia="宋体" w:cs="Times New Roman"/>
                <w:kern w:val="0"/>
                <w:sz w:val="21"/>
                <w:szCs w:val="21"/>
                <w:lang w:eastAsia="zh-CN"/>
              </w:rPr>
            </w:pPr>
            <w:r>
              <w:rPr>
                <w:rFonts w:eastAsia="Times New Roman" w:cs="Times New Roman"/>
                <w:kern w:val="0"/>
                <w:sz w:val="21"/>
                <w:szCs w:val="21"/>
              </w:rPr>
              <w:t>CHON</w:t>
            </w:r>
            <w:r>
              <w:rPr>
                <w:rFonts w:hint="eastAsia" w:ascii="宋体" w:hAnsi="宋体" w:cs="宋体"/>
                <w:kern w:val="0"/>
                <w:sz w:val="21"/>
                <w:szCs w:val="21"/>
                <w:lang w:eastAsia="zh-CN"/>
              </w:rPr>
              <w:t>(</w:t>
            </w:r>
            <w:r>
              <w:rPr>
                <w:rFonts w:eastAsia="Times New Roman" w:cs="Times New Roman"/>
                <w:kern w:val="0"/>
                <w:sz w:val="21"/>
                <w:szCs w:val="21"/>
              </w:rPr>
              <w:t>%</w:t>
            </w:r>
            <w:r>
              <w:rPr>
                <w:rFonts w:hint="eastAsia" w:ascii="宋体" w:hAnsi="宋体" w:cs="宋体"/>
                <w:kern w:val="0"/>
                <w:sz w:val="21"/>
                <w:szCs w:val="21"/>
                <w:lang w:eastAsia="zh-CN"/>
              </w:rPr>
              <w:t>)</w:t>
            </w:r>
          </w:p>
        </w:tc>
        <w:tc>
          <w:tcPr>
            <w:tcW w:w="678" w:type="pct"/>
            <w:tcBorders>
              <w:top w:val="single" w:color="auto" w:sz="12" w:space="0"/>
              <w:left w:val="nil"/>
              <w:bottom w:val="single" w:color="auto" w:sz="6" w:space="0"/>
              <w:right w:val="nil"/>
            </w:tcBorders>
            <w:vAlign w:val="center"/>
          </w:tcPr>
          <w:p w14:paraId="5B4E9B65">
            <w:pPr>
              <w:spacing w:line="480" w:lineRule="auto"/>
              <w:ind w:firstLine="0" w:firstLineChars="0"/>
              <w:jc w:val="center"/>
              <w:rPr>
                <w:rFonts w:hint="eastAsia" w:eastAsia="宋体" w:cs="Times New Roman"/>
                <w:kern w:val="0"/>
                <w:sz w:val="21"/>
                <w:szCs w:val="21"/>
                <w:lang w:eastAsia="zh-CN"/>
              </w:rPr>
            </w:pPr>
            <w:r>
              <w:rPr>
                <w:rFonts w:eastAsia="Times New Roman" w:cs="Times New Roman"/>
                <w:kern w:val="0"/>
                <w:sz w:val="21"/>
                <w:szCs w:val="21"/>
              </w:rPr>
              <w:t>CHOS</w:t>
            </w:r>
            <w:r>
              <w:rPr>
                <w:rFonts w:hint="eastAsia" w:ascii="宋体" w:hAnsi="宋体" w:cs="宋体"/>
                <w:kern w:val="0"/>
                <w:sz w:val="21"/>
                <w:szCs w:val="21"/>
                <w:lang w:eastAsia="zh-CN"/>
              </w:rPr>
              <w:t>(</w:t>
            </w:r>
            <w:r>
              <w:rPr>
                <w:rFonts w:eastAsia="Times New Roman" w:cs="Times New Roman"/>
                <w:kern w:val="0"/>
                <w:sz w:val="21"/>
                <w:szCs w:val="21"/>
              </w:rPr>
              <w:t>%</w:t>
            </w:r>
            <w:r>
              <w:rPr>
                <w:rFonts w:hint="eastAsia" w:ascii="宋体" w:hAnsi="宋体" w:cs="宋体"/>
                <w:kern w:val="0"/>
                <w:sz w:val="21"/>
                <w:szCs w:val="21"/>
                <w:lang w:eastAsia="zh-CN"/>
              </w:rPr>
              <w:t>)</w:t>
            </w:r>
          </w:p>
        </w:tc>
        <w:tc>
          <w:tcPr>
            <w:tcW w:w="786" w:type="pct"/>
            <w:tcBorders>
              <w:top w:val="single" w:color="auto" w:sz="12" w:space="0"/>
              <w:left w:val="nil"/>
              <w:bottom w:val="single" w:color="auto" w:sz="6" w:space="0"/>
              <w:right w:val="nil"/>
            </w:tcBorders>
            <w:vAlign w:val="center"/>
          </w:tcPr>
          <w:p w14:paraId="71AC5C03">
            <w:pPr>
              <w:spacing w:line="480" w:lineRule="auto"/>
              <w:ind w:firstLine="0" w:firstLineChars="0"/>
              <w:jc w:val="center"/>
              <w:rPr>
                <w:rFonts w:hint="eastAsia" w:eastAsia="宋体" w:cs="Times New Roman"/>
                <w:kern w:val="0"/>
                <w:sz w:val="21"/>
                <w:szCs w:val="21"/>
                <w:lang w:eastAsia="zh-CN"/>
              </w:rPr>
            </w:pPr>
            <w:r>
              <w:rPr>
                <w:rFonts w:eastAsia="Times New Roman" w:cs="Times New Roman"/>
                <w:kern w:val="0"/>
                <w:sz w:val="21"/>
                <w:szCs w:val="21"/>
              </w:rPr>
              <w:t>HBDOM</w:t>
            </w:r>
            <w:r>
              <w:rPr>
                <w:rFonts w:hint="eastAsia" w:ascii="宋体" w:hAnsi="宋体" w:cs="宋体"/>
                <w:kern w:val="0"/>
                <w:sz w:val="21"/>
                <w:szCs w:val="21"/>
                <w:lang w:eastAsia="zh-CN"/>
              </w:rPr>
              <w:t>(</w:t>
            </w:r>
            <w:r>
              <w:rPr>
                <w:rFonts w:eastAsia="Times New Roman" w:cs="Times New Roman"/>
                <w:kern w:val="0"/>
                <w:sz w:val="21"/>
                <w:szCs w:val="21"/>
              </w:rPr>
              <w:t>%</w:t>
            </w:r>
            <w:r>
              <w:rPr>
                <w:rFonts w:hint="eastAsia" w:ascii="宋体" w:hAnsi="宋体" w:cs="宋体"/>
                <w:kern w:val="0"/>
                <w:sz w:val="21"/>
                <w:szCs w:val="21"/>
                <w:lang w:eastAsia="zh-CN"/>
              </w:rPr>
              <w:t>)</w:t>
            </w:r>
          </w:p>
        </w:tc>
        <w:tc>
          <w:tcPr>
            <w:tcW w:w="775" w:type="pct"/>
            <w:tcBorders>
              <w:top w:val="single" w:color="auto" w:sz="12" w:space="0"/>
              <w:left w:val="nil"/>
              <w:bottom w:val="single" w:color="auto" w:sz="6" w:space="0"/>
              <w:right w:val="nil"/>
            </w:tcBorders>
            <w:vAlign w:val="center"/>
          </w:tcPr>
          <w:p w14:paraId="7C52D5A0">
            <w:pPr>
              <w:spacing w:line="480" w:lineRule="auto"/>
              <w:ind w:firstLine="0" w:firstLineChars="0"/>
              <w:jc w:val="center"/>
              <w:rPr>
                <w:rFonts w:hint="eastAsia" w:eastAsia="宋体" w:cs="Times New Roman"/>
                <w:kern w:val="0"/>
                <w:sz w:val="21"/>
                <w:szCs w:val="21"/>
                <w:lang w:eastAsia="zh-CN"/>
              </w:rPr>
            </w:pPr>
            <w:r>
              <w:rPr>
                <w:rFonts w:eastAsia="Times New Roman" w:cs="Times New Roman"/>
                <w:kern w:val="0"/>
                <w:sz w:val="21"/>
                <w:szCs w:val="21"/>
              </w:rPr>
              <w:t>LBDOM</w:t>
            </w:r>
            <w:r>
              <w:rPr>
                <w:rFonts w:hint="eastAsia" w:ascii="宋体" w:hAnsi="宋体" w:cs="宋体"/>
                <w:kern w:val="0"/>
                <w:sz w:val="21"/>
                <w:szCs w:val="21"/>
                <w:lang w:eastAsia="zh-CN"/>
              </w:rPr>
              <w:t>(</w:t>
            </w:r>
            <w:r>
              <w:rPr>
                <w:rFonts w:eastAsia="Times New Roman" w:cs="Times New Roman"/>
                <w:kern w:val="0"/>
                <w:sz w:val="21"/>
                <w:szCs w:val="21"/>
              </w:rPr>
              <w:t>%</w:t>
            </w:r>
            <w:r>
              <w:rPr>
                <w:rFonts w:hint="eastAsia" w:ascii="宋体" w:hAnsi="宋体" w:cs="宋体"/>
                <w:kern w:val="0"/>
                <w:sz w:val="21"/>
                <w:szCs w:val="21"/>
                <w:lang w:eastAsia="zh-CN"/>
              </w:rPr>
              <w:t>)</w:t>
            </w:r>
          </w:p>
        </w:tc>
        <w:tc>
          <w:tcPr>
            <w:tcW w:w="740" w:type="pct"/>
            <w:tcBorders>
              <w:top w:val="single" w:color="auto" w:sz="12" w:space="0"/>
              <w:left w:val="nil"/>
              <w:bottom w:val="single" w:color="auto" w:sz="6" w:space="0"/>
              <w:right w:val="nil"/>
            </w:tcBorders>
            <w:vAlign w:val="center"/>
          </w:tcPr>
          <w:p w14:paraId="10DA42C1">
            <w:pPr>
              <w:spacing w:line="480" w:lineRule="auto"/>
              <w:ind w:firstLine="0" w:firstLineChars="0"/>
              <w:jc w:val="center"/>
              <w:rPr>
                <w:rFonts w:hint="eastAsia" w:eastAsia="宋体" w:cs="Times New Roman"/>
                <w:kern w:val="0"/>
                <w:sz w:val="21"/>
                <w:szCs w:val="21"/>
                <w:lang w:eastAsia="zh-CN"/>
              </w:rPr>
            </w:pPr>
            <w:r>
              <w:rPr>
                <w:rFonts w:eastAsia="Times New Roman" w:cs="Times New Roman"/>
                <w:kern w:val="0"/>
                <w:sz w:val="21"/>
                <w:szCs w:val="21"/>
              </w:rPr>
              <w:t>MLB_L</w:t>
            </w:r>
            <w:r>
              <w:rPr>
                <w:rFonts w:hint="eastAsia" w:ascii="宋体" w:hAnsi="宋体" w:cs="宋体"/>
                <w:kern w:val="0"/>
                <w:sz w:val="21"/>
                <w:szCs w:val="21"/>
                <w:lang w:eastAsia="zh-CN"/>
              </w:rPr>
              <w:t>(</w:t>
            </w:r>
            <w:r>
              <w:rPr>
                <w:rFonts w:eastAsia="Times New Roman" w:cs="Times New Roman"/>
                <w:kern w:val="0"/>
                <w:sz w:val="21"/>
                <w:szCs w:val="21"/>
              </w:rPr>
              <w:t>%</w:t>
            </w:r>
            <w:r>
              <w:rPr>
                <w:rFonts w:hint="eastAsia" w:ascii="宋体" w:hAnsi="宋体" w:cs="宋体"/>
                <w:kern w:val="0"/>
                <w:sz w:val="21"/>
                <w:szCs w:val="21"/>
                <w:lang w:eastAsia="zh-CN"/>
              </w:rPr>
              <w:t>)</w:t>
            </w:r>
          </w:p>
        </w:tc>
      </w:tr>
      <w:tr w14:paraId="31DE8A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single" w:color="auto" w:sz="6" w:space="0"/>
              <w:left w:val="nil"/>
              <w:bottom w:val="nil"/>
              <w:right w:val="nil"/>
            </w:tcBorders>
            <w:shd w:val="clear" w:color="auto" w:fill="FFFFFF"/>
            <w:vAlign w:val="center"/>
          </w:tcPr>
          <w:p w14:paraId="00AA60E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QY-summer</w:t>
            </w:r>
          </w:p>
          <w:p w14:paraId="23531A9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QY-winter</w:t>
            </w:r>
          </w:p>
          <w:p w14:paraId="462FC29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ZPP-summer</w:t>
            </w:r>
          </w:p>
          <w:p w14:paraId="3148CE8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ZPP-winter</w:t>
            </w:r>
          </w:p>
          <w:p w14:paraId="5127943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ZH-summer</w:t>
            </w:r>
          </w:p>
          <w:p w14:paraId="766CE76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ZH-winter</w:t>
            </w:r>
          </w:p>
          <w:p w14:paraId="4AF63ED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HLK-summer</w:t>
            </w:r>
          </w:p>
          <w:p w14:paraId="63D4E76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HLK-winter</w:t>
            </w:r>
          </w:p>
          <w:p w14:paraId="79BEA14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ZL-summer</w:t>
            </w:r>
          </w:p>
          <w:p w14:paraId="213DFD7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ZL-winter</w:t>
            </w:r>
          </w:p>
          <w:p w14:paraId="623225A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DJK-summer</w:t>
            </w:r>
          </w:p>
          <w:p w14:paraId="38DC87C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DJK-winter</w:t>
            </w:r>
          </w:p>
          <w:p w14:paraId="7F52025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SH-summer</w:t>
            </w:r>
          </w:p>
          <w:p w14:paraId="0831632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SH-winter</w:t>
            </w:r>
          </w:p>
          <w:p w14:paraId="69B6BAF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BH-summer</w:t>
            </w:r>
          </w:p>
          <w:p w14:paraId="222EAA9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BH-winter</w:t>
            </w:r>
          </w:p>
          <w:p w14:paraId="7352F9B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YT-summer</w:t>
            </w:r>
          </w:p>
          <w:p w14:paraId="442A798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YT-wintersummer</w:t>
            </w:r>
          </w:p>
        </w:tc>
        <w:tc>
          <w:tcPr>
            <w:tcW w:w="526" w:type="pct"/>
            <w:tcBorders>
              <w:top w:val="single" w:color="auto" w:sz="6" w:space="0"/>
              <w:left w:val="nil"/>
              <w:bottom w:val="nil"/>
              <w:right w:val="nil"/>
            </w:tcBorders>
            <w:shd w:val="clear" w:color="auto" w:fill="FFFFFF"/>
            <w:vAlign w:val="center"/>
          </w:tcPr>
          <w:p w14:paraId="2C864BA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79.47±1.46</w:t>
            </w:r>
          </w:p>
        </w:tc>
        <w:tc>
          <w:tcPr>
            <w:tcW w:w="695" w:type="pct"/>
            <w:tcBorders>
              <w:top w:val="single" w:color="auto" w:sz="6" w:space="0"/>
              <w:left w:val="nil"/>
              <w:bottom w:val="nil"/>
              <w:right w:val="nil"/>
            </w:tcBorders>
            <w:shd w:val="clear" w:color="auto" w:fill="FFFFFF"/>
            <w:vAlign w:val="center"/>
          </w:tcPr>
          <w:p w14:paraId="3710097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12.41±1.27</w:t>
            </w:r>
          </w:p>
        </w:tc>
        <w:tc>
          <w:tcPr>
            <w:tcW w:w="678" w:type="pct"/>
            <w:tcBorders>
              <w:top w:val="single" w:color="auto" w:sz="6" w:space="0"/>
              <w:left w:val="nil"/>
              <w:bottom w:val="nil"/>
              <w:right w:val="nil"/>
            </w:tcBorders>
            <w:shd w:val="clear" w:color="auto" w:fill="FFFFFF"/>
            <w:vAlign w:val="center"/>
          </w:tcPr>
          <w:p w14:paraId="7D474FD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2.11±1.05</w:t>
            </w:r>
          </w:p>
        </w:tc>
        <w:tc>
          <w:tcPr>
            <w:tcW w:w="786" w:type="pct"/>
            <w:tcBorders>
              <w:top w:val="single" w:color="auto" w:sz="6" w:space="0"/>
              <w:left w:val="nil"/>
              <w:bottom w:val="nil"/>
              <w:right w:val="nil"/>
            </w:tcBorders>
            <w:shd w:val="clear" w:color="auto" w:fill="FFFFFF"/>
            <w:vAlign w:val="center"/>
          </w:tcPr>
          <w:p w14:paraId="33CE43B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23.73±1.24</w:t>
            </w:r>
          </w:p>
        </w:tc>
        <w:tc>
          <w:tcPr>
            <w:tcW w:w="775" w:type="pct"/>
            <w:tcBorders>
              <w:top w:val="single" w:color="auto" w:sz="6" w:space="0"/>
              <w:left w:val="nil"/>
              <w:bottom w:val="nil"/>
              <w:right w:val="nil"/>
            </w:tcBorders>
            <w:shd w:val="clear" w:color="auto" w:fill="FFFFFF"/>
            <w:vAlign w:val="center"/>
          </w:tcPr>
          <w:p w14:paraId="0B07C8D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74.04±1.22</w:t>
            </w:r>
          </w:p>
        </w:tc>
        <w:tc>
          <w:tcPr>
            <w:tcW w:w="740" w:type="pct"/>
            <w:tcBorders>
              <w:top w:val="single" w:color="auto" w:sz="6" w:space="0"/>
              <w:left w:val="nil"/>
              <w:bottom w:val="nil"/>
              <w:right w:val="nil"/>
            </w:tcBorders>
            <w:shd w:val="clear" w:color="auto" w:fill="FFFFFF"/>
            <w:vAlign w:val="center"/>
          </w:tcPr>
          <w:p w14:paraId="44B0133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28.94±1.66</w:t>
            </w:r>
          </w:p>
        </w:tc>
      </w:tr>
      <w:tr w14:paraId="525AA2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shd w:val="clear" w:color="auto" w:fill="FFFFFF"/>
            <w:vAlign w:val="center"/>
          </w:tcPr>
          <w:p w14:paraId="416DDF2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QY-winter</w:t>
            </w:r>
          </w:p>
        </w:tc>
        <w:tc>
          <w:tcPr>
            <w:tcW w:w="526" w:type="pct"/>
            <w:tcBorders>
              <w:top w:val="nil"/>
              <w:left w:val="nil"/>
              <w:bottom w:val="nil"/>
              <w:right w:val="nil"/>
            </w:tcBorders>
            <w:shd w:val="clear" w:color="auto" w:fill="FFFFFF"/>
            <w:vAlign w:val="center"/>
          </w:tcPr>
          <w:p w14:paraId="2F16DA2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79.34±0.59</w:t>
            </w:r>
          </w:p>
        </w:tc>
        <w:tc>
          <w:tcPr>
            <w:tcW w:w="695" w:type="pct"/>
            <w:tcBorders>
              <w:top w:val="nil"/>
              <w:left w:val="nil"/>
              <w:bottom w:val="nil"/>
              <w:right w:val="nil"/>
            </w:tcBorders>
            <w:shd w:val="clear" w:color="auto" w:fill="FFFFFF"/>
            <w:vAlign w:val="center"/>
          </w:tcPr>
          <w:p w14:paraId="1ABC9F4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17.49±1.15</w:t>
            </w:r>
          </w:p>
        </w:tc>
        <w:tc>
          <w:tcPr>
            <w:tcW w:w="678" w:type="pct"/>
            <w:tcBorders>
              <w:top w:val="nil"/>
              <w:left w:val="nil"/>
              <w:bottom w:val="nil"/>
              <w:right w:val="nil"/>
            </w:tcBorders>
            <w:shd w:val="clear" w:color="auto" w:fill="FFFFFF"/>
            <w:vAlign w:val="center"/>
          </w:tcPr>
          <w:p w14:paraId="51364F3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1.34±0.25</w:t>
            </w:r>
          </w:p>
        </w:tc>
        <w:tc>
          <w:tcPr>
            <w:tcW w:w="786" w:type="pct"/>
            <w:tcBorders>
              <w:top w:val="nil"/>
              <w:left w:val="nil"/>
              <w:bottom w:val="nil"/>
              <w:right w:val="nil"/>
            </w:tcBorders>
            <w:shd w:val="clear" w:color="auto" w:fill="FFFFFF"/>
            <w:vAlign w:val="center"/>
          </w:tcPr>
          <w:p w14:paraId="2B89B93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24.49±2.40</w:t>
            </w:r>
          </w:p>
        </w:tc>
        <w:tc>
          <w:tcPr>
            <w:tcW w:w="775" w:type="pct"/>
            <w:tcBorders>
              <w:top w:val="nil"/>
              <w:left w:val="nil"/>
              <w:bottom w:val="nil"/>
              <w:right w:val="nil"/>
            </w:tcBorders>
            <w:shd w:val="clear" w:color="auto" w:fill="FFFFFF"/>
            <w:vAlign w:val="center"/>
          </w:tcPr>
          <w:p w14:paraId="5D932A5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72.89±2.59</w:t>
            </w:r>
          </w:p>
        </w:tc>
        <w:tc>
          <w:tcPr>
            <w:tcW w:w="740" w:type="pct"/>
            <w:tcBorders>
              <w:top w:val="nil"/>
              <w:left w:val="nil"/>
              <w:bottom w:val="nil"/>
              <w:right w:val="nil"/>
            </w:tcBorders>
            <w:shd w:val="clear" w:color="auto" w:fill="FFFFFF"/>
            <w:vAlign w:val="center"/>
          </w:tcPr>
          <w:p w14:paraId="71CCA17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29.61±2.55</w:t>
            </w:r>
          </w:p>
        </w:tc>
      </w:tr>
      <w:tr w14:paraId="2574E1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7A07AE8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ZPP-summer</w:t>
            </w:r>
          </w:p>
        </w:tc>
        <w:tc>
          <w:tcPr>
            <w:tcW w:w="526" w:type="pct"/>
            <w:tcBorders>
              <w:top w:val="nil"/>
              <w:left w:val="nil"/>
              <w:bottom w:val="nil"/>
              <w:right w:val="nil"/>
            </w:tcBorders>
            <w:vAlign w:val="center"/>
          </w:tcPr>
          <w:p w14:paraId="13BE664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82.02±5.44</w:t>
            </w:r>
          </w:p>
        </w:tc>
        <w:tc>
          <w:tcPr>
            <w:tcW w:w="695" w:type="pct"/>
            <w:tcBorders>
              <w:top w:val="nil"/>
              <w:left w:val="nil"/>
              <w:bottom w:val="nil"/>
              <w:right w:val="nil"/>
            </w:tcBorders>
            <w:vAlign w:val="center"/>
          </w:tcPr>
          <w:p w14:paraId="0A667C5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10.66±0.54</w:t>
            </w:r>
          </w:p>
        </w:tc>
        <w:tc>
          <w:tcPr>
            <w:tcW w:w="678" w:type="pct"/>
            <w:tcBorders>
              <w:top w:val="nil"/>
              <w:left w:val="nil"/>
              <w:bottom w:val="nil"/>
              <w:right w:val="nil"/>
            </w:tcBorders>
            <w:vAlign w:val="center"/>
          </w:tcPr>
          <w:p w14:paraId="18BD31E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0.71±0.13</w:t>
            </w:r>
          </w:p>
        </w:tc>
        <w:tc>
          <w:tcPr>
            <w:tcW w:w="786" w:type="pct"/>
            <w:tcBorders>
              <w:top w:val="nil"/>
              <w:left w:val="nil"/>
              <w:bottom w:val="nil"/>
              <w:right w:val="nil"/>
            </w:tcBorders>
            <w:vAlign w:val="center"/>
          </w:tcPr>
          <w:p w14:paraId="2D30676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12.37±2.57</w:t>
            </w:r>
          </w:p>
        </w:tc>
        <w:tc>
          <w:tcPr>
            <w:tcW w:w="775" w:type="pct"/>
            <w:tcBorders>
              <w:top w:val="nil"/>
              <w:left w:val="nil"/>
              <w:bottom w:val="nil"/>
              <w:right w:val="nil"/>
            </w:tcBorders>
            <w:vAlign w:val="center"/>
          </w:tcPr>
          <w:p w14:paraId="34FA9C6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86.47±2.71</w:t>
            </w:r>
          </w:p>
        </w:tc>
        <w:tc>
          <w:tcPr>
            <w:tcW w:w="740" w:type="pct"/>
            <w:tcBorders>
              <w:top w:val="nil"/>
              <w:left w:val="nil"/>
              <w:bottom w:val="nil"/>
              <w:right w:val="nil"/>
            </w:tcBorders>
            <w:vAlign w:val="center"/>
          </w:tcPr>
          <w:p w14:paraId="0D4EDCA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15.39±3.04</w:t>
            </w:r>
          </w:p>
        </w:tc>
      </w:tr>
      <w:tr w14:paraId="4B0349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0FEB2B8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ZPP-winter</w:t>
            </w:r>
          </w:p>
        </w:tc>
        <w:tc>
          <w:tcPr>
            <w:tcW w:w="526" w:type="pct"/>
            <w:tcBorders>
              <w:top w:val="nil"/>
              <w:left w:val="nil"/>
              <w:bottom w:val="nil"/>
              <w:right w:val="nil"/>
            </w:tcBorders>
            <w:vAlign w:val="center"/>
          </w:tcPr>
          <w:p w14:paraId="4BF2D36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80.87±1.77</w:t>
            </w:r>
          </w:p>
        </w:tc>
        <w:tc>
          <w:tcPr>
            <w:tcW w:w="695" w:type="pct"/>
            <w:tcBorders>
              <w:top w:val="nil"/>
              <w:left w:val="nil"/>
              <w:bottom w:val="nil"/>
              <w:right w:val="nil"/>
            </w:tcBorders>
            <w:vAlign w:val="center"/>
          </w:tcPr>
          <w:p w14:paraId="3DA4268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15.68±1.46</w:t>
            </w:r>
          </w:p>
        </w:tc>
        <w:tc>
          <w:tcPr>
            <w:tcW w:w="678" w:type="pct"/>
            <w:tcBorders>
              <w:top w:val="nil"/>
              <w:left w:val="nil"/>
              <w:bottom w:val="nil"/>
              <w:right w:val="nil"/>
            </w:tcBorders>
            <w:vAlign w:val="center"/>
          </w:tcPr>
          <w:p w14:paraId="5D67C1C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1.50±0.31</w:t>
            </w:r>
          </w:p>
        </w:tc>
        <w:tc>
          <w:tcPr>
            <w:tcW w:w="786" w:type="pct"/>
            <w:tcBorders>
              <w:top w:val="nil"/>
              <w:left w:val="nil"/>
              <w:bottom w:val="nil"/>
              <w:right w:val="nil"/>
            </w:tcBorders>
            <w:vAlign w:val="center"/>
          </w:tcPr>
          <w:p w14:paraId="7082690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21.36±2.66</w:t>
            </w:r>
          </w:p>
        </w:tc>
        <w:tc>
          <w:tcPr>
            <w:tcW w:w="775" w:type="pct"/>
            <w:tcBorders>
              <w:top w:val="nil"/>
              <w:left w:val="nil"/>
              <w:bottom w:val="nil"/>
              <w:right w:val="nil"/>
            </w:tcBorders>
            <w:vAlign w:val="center"/>
          </w:tcPr>
          <w:p w14:paraId="56041B0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75.87±3.07</w:t>
            </w:r>
          </w:p>
        </w:tc>
        <w:tc>
          <w:tcPr>
            <w:tcW w:w="740" w:type="pct"/>
            <w:tcBorders>
              <w:top w:val="nil"/>
              <w:left w:val="nil"/>
              <w:bottom w:val="nil"/>
              <w:right w:val="nil"/>
            </w:tcBorders>
            <w:vAlign w:val="center"/>
          </w:tcPr>
          <w:p w14:paraId="768E453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25.93±3.14</w:t>
            </w:r>
          </w:p>
        </w:tc>
      </w:tr>
      <w:tr w14:paraId="625500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58397F0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ZH-summer</w:t>
            </w:r>
          </w:p>
        </w:tc>
        <w:tc>
          <w:tcPr>
            <w:tcW w:w="526" w:type="pct"/>
            <w:tcBorders>
              <w:top w:val="nil"/>
              <w:left w:val="nil"/>
              <w:bottom w:val="nil"/>
              <w:right w:val="nil"/>
            </w:tcBorders>
            <w:vAlign w:val="center"/>
          </w:tcPr>
          <w:p w14:paraId="30CB9B9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81.52±3.51</w:t>
            </w:r>
          </w:p>
        </w:tc>
        <w:tc>
          <w:tcPr>
            <w:tcW w:w="695" w:type="pct"/>
            <w:tcBorders>
              <w:top w:val="nil"/>
              <w:left w:val="nil"/>
              <w:bottom w:val="nil"/>
              <w:right w:val="nil"/>
            </w:tcBorders>
            <w:vAlign w:val="center"/>
          </w:tcPr>
          <w:p w14:paraId="0E1BE9F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11.10±0.79</w:t>
            </w:r>
          </w:p>
        </w:tc>
        <w:tc>
          <w:tcPr>
            <w:tcW w:w="678" w:type="pct"/>
            <w:tcBorders>
              <w:top w:val="nil"/>
              <w:left w:val="nil"/>
              <w:bottom w:val="nil"/>
              <w:right w:val="nil"/>
            </w:tcBorders>
            <w:vAlign w:val="center"/>
          </w:tcPr>
          <w:p w14:paraId="5FEB458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2.09±1.02</w:t>
            </w:r>
          </w:p>
        </w:tc>
        <w:tc>
          <w:tcPr>
            <w:tcW w:w="786" w:type="pct"/>
            <w:tcBorders>
              <w:top w:val="nil"/>
              <w:left w:val="nil"/>
              <w:bottom w:val="nil"/>
              <w:right w:val="nil"/>
            </w:tcBorders>
            <w:vAlign w:val="center"/>
          </w:tcPr>
          <w:p w14:paraId="5FD6361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17.10±4.21</w:t>
            </w:r>
          </w:p>
        </w:tc>
        <w:tc>
          <w:tcPr>
            <w:tcW w:w="775" w:type="pct"/>
            <w:tcBorders>
              <w:top w:val="nil"/>
              <w:left w:val="nil"/>
              <w:bottom w:val="nil"/>
              <w:right w:val="nil"/>
            </w:tcBorders>
            <w:vAlign w:val="center"/>
          </w:tcPr>
          <w:p w14:paraId="37E6BE9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80.85±4.65</w:t>
            </w:r>
          </w:p>
        </w:tc>
        <w:tc>
          <w:tcPr>
            <w:tcW w:w="740" w:type="pct"/>
            <w:tcBorders>
              <w:top w:val="nil"/>
              <w:left w:val="nil"/>
              <w:bottom w:val="nil"/>
              <w:right w:val="nil"/>
            </w:tcBorders>
            <w:vAlign w:val="center"/>
          </w:tcPr>
          <w:p w14:paraId="2A2B833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22.25±5.22</w:t>
            </w:r>
          </w:p>
        </w:tc>
      </w:tr>
      <w:tr w14:paraId="6FA36B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71F40D6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ZH-winter</w:t>
            </w:r>
          </w:p>
        </w:tc>
        <w:tc>
          <w:tcPr>
            <w:tcW w:w="526" w:type="pct"/>
            <w:tcBorders>
              <w:top w:val="nil"/>
              <w:left w:val="nil"/>
              <w:bottom w:val="nil"/>
              <w:right w:val="nil"/>
            </w:tcBorders>
            <w:vAlign w:val="center"/>
          </w:tcPr>
          <w:p w14:paraId="3AB3AA9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84.22±0.37</w:t>
            </w:r>
          </w:p>
        </w:tc>
        <w:tc>
          <w:tcPr>
            <w:tcW w:w="695" w:type="pct"/>
            <w:tcBorders>
              <w:top w:val="nil"/>
              <w:left w:val="nil"/>
              <w:bottom w:val="nil"/>
              <w:right w:val="nil"/>
            </w:tcBorders>
            <w:vAlign w:val="center"/>
          </w:tcPr>
          <w:p w14:paraId="19A56D3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14.26±0.03</w:t>
            </w:r>
          </w:p>
        </w:tc>
        <w:tc>
          <w:tcPr>
            <w:tcW w:w="678" w:type="pct"/>
            <w:tcBorders>
              <w:top w:val="nil"/>
              <w:left w:val="nil"/>
              <w:bottom w:val="nil"/>
              <w:right w:val="nil"/>
            </w:tcBorders>
            <w:vAlign w:val="center"/>
          </w:tcPr>
          <w:p w14:paraId="7A5B3CC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0.86±0.26</w:t>
            </w:r>
          </w:p>
        </w:tc>
        <w:tc>
          <w:tcPr>
            <w:tcW w:w="786" w:type="pct"/>
            <w:tcBorders>
              <w:top w:val="nil"/>
              <w:left w:val="nil"/>
              <w:bottom w:val="nil"/>
              <w:right w:val="nil"/>
            </w:tcBorders>
            <w:vAlign w:val="center"/>
          </w:tcPr>
          <w:p w14:paraId="1936A24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20.47±1.72</w:t>
            </w:r>
          </w:p>
        </w:tc>
        <w:tc>
          <w:tcPr>
            <w:tcW w:w="775" w:type="pct"/>
            <w:tcBorders>
              <w:top w:val="nil"/>
              <w:left w:val="nil"/>
              <w:bottom w:val="nil"/>
              <w:right w:val="nil"/>
            </w:tcBorders>
            <w:vAlign w:val="center"/>
          </w:tcPr>
          <w:p w14:paraId="5FFCB33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77.30±1.95</w:t>
            </w:r>
          </w:p>
        </w:tc>
        <w:tc>
          <w:tcPr>
            <w:tcW w:w="740" w:type="pct"/>
            <w:tcBorders>
              <w:top w:val="nil"/>
              <w:left w:val="nil"/>
              <w:bottom w:val="nil"/>
              <w:right w:val="nil"/>
            </w:tcBorders>
            <w:vAlign w:val="center"/>
          </w:tcPr>
          <w:p w14:paraId="7C73557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25.53±1.95</w:t>
            </w:r>
          </w:p>
        </w:tc>
      </w:tr>
      <w:tr w14:paraId="46278F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6B5E599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HLK-summer</w:t>
            </w:r>
          </w:p>
        </w:tc>
        <w:tc>
          <w:tcPr>
            <w:tcW w:w="526" w:type="pct"/>
            <w:tcBorders>
              <w:top w:val="nil"/>
              <w:left w:val="nil"/>
              <w:bottom w:val="nil"/>
              <w:right w:val="nil"/>
            </w:tcBorders>
            <w:vAlign w:val="center"/>
          </w:tcPr>
          <w:p w14:paraId="1DA0F4D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82.14±2.94</w:t>
            </w:r>
          </w:p>
        </w:tc>
        <w:tc>
          <w:tcPr>
            <w:tcW w:w="695" w:type="pct"/>
            <w:tcBorders>
              <w:top w:val="nil"/>
              <w:left w:val="nil"/>
              <w:bottom w:val="nil"/>
              <w:right w:val="nil"/>
            </w:tcBorders>
            <w:vAlign w:val="center"/>
          </w:tcPr>
          <w:p w14:paraId="42DCB77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12.29±0.92</w:t>
            </w:r>
          </w:p>
        </w:tc>
        <w:tc>
          <w:tcPr>
            <w:tcW w:w="678" w:type="pct"/>
            <w:tcBorders>
              <w:top w:val="nil"/>
              <w:left w:val="nil"/>
              <w:bottom w:val="nil"/>
              <w:right w:val="nil"/>
            </w:tcBorders>
            <w:vAlign w:val="center"/>
          </w:tcPr>
          <w:p w14:paraId="28780DC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1.89±0.73</w:t>
            </w:r>
          </w:p>
        </w:tc>
        <w:tc>
          <w:tcPr>
            <w:tcW w:w="786" w:type="pct"/>
            <w:tcBorders>
              <w:top w:val="nil"/>
              <w:left w:val="nil"/>
              <w:bottom w:val="nil"/>
              <w:right w:val="nil"/>
            </w:tcBorders>
            <w:vAlign w:val="center"/>
          </w:tcPr>
          <w:p w14:paraId="20B55D3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10.02±0.67</w:t>
            </w:r>
          </w:p>
        </w:tc>
        <w:tc>
          <w:tcPr>
            <w:tcW w:w="775" w:type="pct"/>
            <w:tcBorders>
              <w:top w:val="nil"/>
              <w:left w:val="nil"/>
              <w:bottom w:val="nil"/>
              <w:right w:val="nil"/>
            </w:tcBorders>
            <w:vAlign w:val="center"/>
          </w:tcPr>
          <w:p w14:paraId="68C4E8B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88.97±0.62</w:t>
            </w:r>
          </w:p>
        </w:tc>
        <w:tc>
          <w:tcPr>
            <w:tcW w:w="740" w:type="pct"/>
            <w:tcBorders>
              <w:top w:val="nil"/>
              <w:left w:val="nil"/>
              <w:bottom w:val="nil"/>
              <w:right w:val="nil"/>
            </w:tcBorders>
            <w:vAlign w:val="center"/>
          </w:tcPr>
          <w:p w14:paraId="6521362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13.01±0.80</w:t>
            </w:r>
          </w:p>
        </w:tc>
      </w:tr>
      <w:tr w14:paraId="38A6B5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76C3605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HLK-winter</w:t>
            </w:r>
          </w:p>
        </w:tc>
        <w:tc>
          <w:tcPr>
            <w:tcW w:w="526" w:type="pct"/>
            <w:tcBorders>
              <w:top w:val="nil"/>
              <w:left w:val="nil"/>
              <w:bottom w:val="nil"/>
              <w:right w:val="nil"/>
            </w:tcBorders>
            <w:vAlign w:val="center"/>
          </w:tcPr>
          <w:p w14:paraId="4053D96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82.58±0.28</w:t>
            </w:r>
          </w:p>
        </w:tc>
        <w:tc>
          <w:tcPr>
            <w:tcW w:w="695" w:type="pct"/>
            <w:tcBorders>
              <w:top w:val="nil"/>
              <w:left w:val="nil"/>
              <w:bottom w:val="nil"/>
              <w:right w:val="nil"/>
            </w:tcBorders>
            <w:vAlign w:val="center"/>
          </w:tcPr>
          <w:p w14:paraId="6BC7F83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15.36±0.21</w:t>
            </w:r>
          </w:p>
        </w:tc>
        <w:tc>
          <w:tcPr>
            <w:tcW w:w="678" w:type="pct"/>
            <w:tcBorders>
              <w:top w:val="nil"/>
              <w:left w:val="nil"/>
              <w:bottom w:val="nil"/>
              <w:right w:val="nil"/>
            </w:tcBorders>
            <w:vAlign w:val="center"/>
          </w:tcPr>
          <w:p w14:paraId="71895D5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1.18±0.10</w:t>
            </w:r>
          </w:p>
        </w:tc>
        <w:tc>
          <w:tcPr>
            <w:tcW w:w="786" w:type="pct"/>
            <w:tcBorders>
              <w:top w:val="nil"/>
              <w:left w:val="nil"/>
              <w:bottom w:val="nil"/>
              <w:right w:val="nil"/>
            </w:tcBorders>
            <w:vAlign w:val="center"/>
          </w:tcPr>
          <w:p w14:paraId="3DCEE86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17.31±1.49</w:t>
            </w:r>
          </w:p>
        </w:tc>
        <w:tc>
          <w:tcPr>
            <w:tcW w:w="775" w:type="pct"/>
            <w:tcBorders>
              <w:top w:val="nil"/>
              <w:left w:val="nil"/>
              <w:bottom w:val="nil"/>
              <w:right w:val="nil"/>
            </w:tcBorders>
            <w:vAlign w:val="center"/>
          </w:tcPr>
          <w:p w14:paraId="45B5FBB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81.09±1.40</w:t>
            </w:r>
          </w:p>
        </w:tc>
        <w:tc>
          <w:tcPr>
            <w:tcW w:w="740" w:type="pct"/>
            <w:tcBorders>
              <w:top w:val="nil"/>
              <w:left w:val="nil"/>
              <w:bottom w:val="nil"/>
              <w:right w:val="nil"/>
            </w:tcBorders>
            <w:vAlign w:val="center"/>
          </w:tcPr>
          <w:p w14:paraId="7185E4C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21.36±1.27</w:t>
            </w:r>
          </w:p>
        </w:tc>
      </w:tr>
      <w:tr w14:paraId="544C39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6E9E4D3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ZL-summer</w:t>
            </w:r>
          </w:p>
        </w:tc>
        <w:tc>
          <w:tcPr>
            <w:tcW w:w="526" w:type="pct"/>
            <w:tcBorders>
              <w:top w:val="nil"/>
              <w:left w:val="nil"/>
              <w:bottom w:val="nil"/>
              <w:right w:val="nil"/>
            </w:tcBorders>
            <w:vAlign w:val="center"/>
          </w:tcPr>
          <w:p w14:paraId="4A061EF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80.53±2.39</w:t>
            </w:r>
          </w:p>
        </w:tc>
        <w:tc>
          <w:tcPr>
            <w:tcW w:w="695" w:type="pct"/>
            <w:tcBorders>
              <w:top w:val="nil"/>
              <w:left w:val="nil"/>
              <w:bottom w:val="nil"/>
              <w:right w:val="nil"/>
            </w:tcBorders>
            <w:vAlign w:val="center"/>
          </w:tcPr>
          <w:p w14:paraId="67DDA7B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14.63±0.36</w:t>
            </w:r>
          </w:p>
        </w:tc>
        <w:tc>
          <w:tcPr>
            <w:tcW w:w="678" w:type="pct"/>
            <w:tcBorders>
              <w:top w:val="nil"/>
              <w:left w:val="nil"/>
              <w:bottom w:val="nil"/>
              <w:right w:val="nil"/>
            </w:tcBorders>
            <w:vAlign w:val="center"/>
          </w:tcPr>
          <w:p w14:paraId="3D78F39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0.65±0.03</w:t>
            </w:r>
          </w:p>
        </w:tc>
        <w:tc>
          <w:tcPr>
            <w:tcW w:w="786" w:type="pct"/>
            <w:tcBorders>
              <w:top w:val="nil"/>
              <w:left w:val="nil"/>
              <w:bottom w:val="nil"/>
              <w:right w:val="nil"/>
            </w:tcBorders>
            <w:vAlign w:val="center"/>
          </w:tcPr>
          <w:p w14:paraId="64260AA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16.85±1.22</w:t>
            </w:r>
          </w:p>
        </w:tc>
        <w:tc>
          <w:tcPr>
            <w:tcW w:w="775" w:type="pct"/>
            <w:tcBorders>
              <w:top w:val="nil"/>
              <w:left w:val="nil"/>
              <w:bottom w:val="nil"/>
              <w:right w:val="nil"/>
            </w:tcBorders>
            <w:vAlign w:val="center"/>
          </w:tcPr>
          <w:p w14:paraId="22745D6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81.35±1.29</w:t>
            </w:r>
          </w:p>
        </w:tc>
        <w:tc>
          <w:tcPr>
            <w:tcW w:w="740" w:type="pct"/>
            <w:tcBorders>
              <w:top w:val="nil"/>
              <w:left w:val="nil"/>
              <w:bottom w:val="nil"/>
              <w:right w:val="nil"/>
            </w:tcBorders>
            <w:vAlign w:val="center"/>
          </w:tcPr>
          <w:p w14:paraId="652EED2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21.47±1.16</w:t>
            </w:r>
          </w:p>
        </w:tc>
      </w:tr>
      <w:tr w14:paraId="56F7CB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0B49786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ZL-winter</w:t>
            </w:r>
          </w:p>
        </w:tc>
        <w:tc>
          <w:tcPr>
            <w:tcW w:w="526" w:type="pct"/>
            <w:tcBorders>
              <w:top w:val="nil"/>
              <w:left w:val="nil"/>
              <w:bottom w:val="nil"/>
              <w:right w:val="nil"/>
            </w:tcBorders>
            <w:vAlign w:val="center"/>
          </w:tcPr>
          <w:p w14:paraId="1C9D8DA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80.05±3.44</w:t>
            </w:r>
          </w:p>
        </w:tc>
        <w:tc>
          <w:tcPr>
            <w:tcW w:w="695" w:type="pct"/>
            <w:tcBorders>
              <w:top w:val="nil"/>
              <w:left w:val="nil"/>
              <w:bottom w:val="nil"/>
              <w:right w:val="nil"/>
            </w:tcBorders>
            <w:vAlign w:val="center"/>
          </w:tcPr>
          <w:p w14:paraId="6350A91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14.41±1.30</w:t>
            </w:r>
          </w:p>
        </w:tc>
        <w:tc>
          <w:tcPr>
            <w:tcW w:w="678" w:type="pct"/>
            <w:tcBorders>
              <w:top w:val="nil"/>
              <w:left w:val="nil"/>
              <w:bottom w:val="nil"/>
              <w:right w:val="nil"/>
            </w:tcBorders>
            <w:vAlign w:val="center"/>
          </w:tcPr>
          <w:p w14:paraId="2872EA1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1.47±0.74</w:t>
            </w:r>
          </w:p>
        </w:tc>
        <w:tc>
          <w:tcPr>
            <w:tcW w:w="786" w:type="pct"/>
            <w:tcBorders>
              <w:top w:val="nil"/>
              <w:left w:val="nil"/>
              <w:bottom w:val="nil"/>
              <w:right w:val="nil"/>
            </w:tcBorders>
            <w:vAlign w:val="center"/>
          </w:tcPr>
          <w:p w14:paraId="5B8C147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18.75±4.82</w:t>
            </w:r>
          </w:p>
        </w:tc>
        <w:tc>
          <w:tcPr>
            <w:tcW w:w="775" w:type="pct"/>
            <w:tcBorders>
              <w:top w:val="nil"/>
              <w:left w:val="nil"/>
              <w:bottom w:val="nil"/>
              <w:right w:val="nil"/>
            </w:tcBorders>
            <w:vAlign w:val="center"/>
          </w:tcPr>
          <w:p w14:paraId="27F98FA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79.47±5.13</w:t>
            </w:r>
          </w:p>
        </w:tc>
        <w:tc>
          <w:tcPr>
            <w:tcW w:w="740" w:type="pct"/>
            <w:tcBorders>
              <w:top w:val="nil"/>
              <w:left w:val="nil"/>
              <w:bottom w:val="nil"/>
              <w:right w:val="nil"/>
            </w:tcBorders>
            <w:vAlign w:val="center"/>
          </w:tcPr>
          <w:p w14:paraId="2C0856D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23.09±5.42</w:t>
            </w:r>
          </w:p>
        </w:tc>
      </w:tr>
      <w:tr w14:paraId="080054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7B374DE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DJK-summer</w:t>
            </w:r>
          </w:p>
        </w:tc>
        <w:tc>
          <w:tcPr>
            <w:tcW w:w="526" w:type="pct"/>
            <w:tcBorders>
              <w:top w:val="nil"/>
              <w:left w:val="nil"/>
              <w:bottom w:val="nil"/>
              <w:right w:val="nil"/>
            </w:tcBorders>
            <w:vAlign w:val="center"/>
          </w:tcPr>
          <w:p w14:paraId="13B39BB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84.27±0.43</w:t>
            </w:r>
          </w:p>
        </w:tc>
        <w:tc>
          <w:tcPr>
            <w:tcW w:w="695" w:type="pct"/>
            <w:tcBorders>
              <w:top w:val="nil"/>
              <w:left w:val="nil"/>
              <w:bottom w:val="nil"/>
              <w:right w:val="nil"/>
            </w:tcBorders>
            <w:vAlign w:val="center"/>
          </w:tcPr>
          <w:p w14:paraId="6C6A63D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13.78±0.26</w:t>
            </w:r>
          </w:p>
        </w:tc>
        <w:tc>
          <w:tcPr>
            <w:tcW w:w="678" w:type="pct"/>
            <w:tcBorders>
              <w:top w:val="nil"/>
              <w:left w:val="nil"/>
              <w:bottom w:val="nil"/>
              <w:right w:val="nil"/>
            </w:tcBorders>
            <w:vAlign w:val="center"/>
          </w:tcPr>
          <w:p w14:paraId="4884580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1.55±0.34</w:t>
            </w:r>
          </w:p>
        </w:tc>
        <w:tc>
          <w:tcPr>
            <w:tcW w:w="786" w:type="pct"/>
            <w:tcBorders>
              <w:top w:val="nil"/>
              <w:left w:val="nil"/>
              <w:bottom w:val="nil"/>
              <w:right w:val="nil"/>
            </w:tcBorders>
            <w:vAlign w:val="center"/>
          </w:tcPr>
          <w:p w14:paraId="18324F1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12.59±0.83</w:t>
            </w:r>
          </w:p>
        </w:tc>
        <w:tc>
          <w:tcPr>
            <w:tcW w:w="775" w:type="pct"/>
            <w:tcBorders>
              <w:top w:val="nil"/>
              <w:left w:val="nil"/>
              <w:bottom w:val="nil"/>
              <w:right w:val="nil"/>
            </w:tcBorders>
            <w:vAlign w:val="center"/>
          </w:tcPr>
          <w:p w14:paraId="5D1064C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86.33±0.59</w:t>
            </w:r>
          </w:p>
        </w:tc>
        <w:tc>
          <w:tcPr>
            <w:tcW w:w="740" w:type="pct"/>
            <w:tcBorders>
              <w:top w:val="nil"/>
              <w:left w:val="nil"/>
              <w:bottom w:val="nil"/>
              <w:right w:val="nil"/>
            </w:tcBorders>
            <w:vAlign w:val="center"/>
          </w:tcPr>
          <w:p w14:paraId="58F69D6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15.65±0.64</w:t>
            </w:r>
          </w:p>
        </w:tc>
      </w:tr>
      <w:tr w14:paraId="5624DA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0FB595A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DJK-winter</w:t>
            </w:r>
          </w:p>
        </w:tc>
        <w:tc>
          <w:tcPr>
            <w:tcW w:w="526" w:type="pct"/>
            <w:tcBorders>
              <w:top w:val="nil"/>
              <w:left w:val="nil"/>
              <w:bottom w:val="nil"/>
              <w:right w:val="nil"/>
            </w:tcBorders>
            <w:vAlign w:val="center"/>
          </w:tcPr>
          <w:p w14:paraId="443BE10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83.64±0.35</w:t>
            </w:r>
          </w:p>
        </w:tc>
        <w:tc>
          <w:tcPr>
            <w:tcW w:w="695" w:type="pct"/>
            <w:tcBorders>
              <w:top w:val="nil"/>
              <w:left w:val="nil"/>
              <w:bottom w:val="nil"/>
              <w:right w:val="nil"/>
            </w:tcBorders>
            <w:vAlign w:val="center"/>
          </w:tcPr>
          <w:p w14:paraId="4834481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14.36±0.12</w:t>
            </w:r>
          </w:p>
        </w:tc>
        <w:tc>
          <w:tcPr>
            <w:tcW w:w="678" w:type="pct"/>
            <w:tcBorders>
              <w:top w:val="nil"/>
              <w:left w:val="nil"/>
              <w:bottom w:val="nil"/>
              <w:right w:val="nil"/>
            </w:tcBorders>
            <w:vAlign w:val="center"/>
          </w:tcPr>
          <w:p w14:paraId="18BF95C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0.79±0.11</w:t>
            </w:r>
          </w:p>
        </w:tc>
        <w:tc>
          <w:tcPr>
            <w:tcW w:w="786" w:type="pct"/>
            <w:tcBorders>
              <w:top w:val="nil"/>
              <w:left w:val="nil"/>
              <w:bottom w:val="nil"/>
              <w:right w:val="nil"/>
            </w:tcBorders>
            <w:vAlign w:val="center"/>
          </w:tcPr>
          <w:p w14:paraId="08E25FF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15.15±0.13</w:t>
            </w:r>
          </w:p>
        </w:tc>
        <w:tc>
          <w:tcPr>
            <w:tcW w:w="775" w:type="pct"/>
            <w:tcBorders>
              <w:top w:val="nil"/>
              <w:left w:val="nil"/>
              <w:bottom w:val="nil"/>
              <w:right w:val="nil"/>
            </w:tcBorders>
            <w:vAlign w:val="center"/>
          </w:tcPr>
          <w:p w14:paraId="6F89658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83.05±0.26</w:t>
            </w:r>
          </w:p>
        </w:tc>
        <w:tc>
          <w:tcPr>
            <w:tcW w:w="740" w:type="pct"/>
            <w:tcBorders>
              <w:top w:val="nil"/>
              <w:left w:val="nil"/>
              <w:bottom w:val="nil"/>
              <w:right w:val="nil"/>
            </w:tcBorders>
            <w:vAlign w:val="center"/>
          </w:tcPr>
          <w:p w14:paraId="0509704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19.02±0.21</w:t>
            </w:r>
          </w:p>
        </w:tc>
      </w:tr>
      <w:tr w14:paraId="33E65A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5EE9408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SH-summer</w:t>
            </w:r>
          </w:p>
        </w:tc>
        <w:tc>
          <w:tcPr>
            <w:tcW w:w="526" w:type="pct"/>
            <w:tcBorders>
              <w:top w:val="nil"/>
              <w:left w:val="nil"/>
              <w:bottom w:val="nil"/>
              <w:right w:val="nil"/>
            </w:tcBorders>
            <w:vAlign w:val="center"/>
          </w:tcPr>
          <w:p w14:paraId="355E7FF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80.90±2.67</w:t>
            </w:r>
          </w:p>
        </w:tc>
        <w:tc>
          <w:tcPr>
            <w:tcW w:w="695" w:type="pct"/>
            <w:tcBorders>
              <w:top w:val="nil"/>
              <w:left w:val="nil"/>
              <w:bottom w:val="nil"/>
              <w:right w:val="nil"/>
            </w:tcBorders>
            <w:vAlign w:val="center"/>
          </w:tcPr>
          <w:p w14:paraId="05612F8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11.74±1.64</w:t>
            </w:r>
          </w:p>
        </w:tc>
        <w:tc>
          <w:tcPr>
            <w:tcW w:w="678" w:type="pct"/>
            <w:tcBorders>
              <w:top w:val="nil"/>
              <w:left w:val="nil"/>
              <w:bottom w:val="nil"/>
              <w:right w:val="nil"/>
            </w:tcBorders>
            <w:vAlign w:val="center"/>
          </w:tcPr>
          <w:p w14:paraId="7C6847D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1.45±0.69</w:t>
            </w:r>
          </w:p>
        </w:tc>
        <w:tc>
          <w:tcPr>
            <w:tcW w:w="786" w:type="pct"/>
            <w:tcBorders>
              <w:top w:val="nil"/>
              <w:left w:val="nil"/>
              <w:bottom w:val="nil"/>
              <w:right w:val="nil"/>
            </w:tcBorders>
            <w:vAlign w:val="center"/>
          </w:tcPr>
          <w:p w14:paraId="47991D7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17.43±2.56</w:t>
            </w:r>
          </w:p>
        </w:tc>
        <w:tc>
          <w:tcPr>
            <w:tcW w:w="775" w:type="pct"/>
            <w:tcBorders>
              <w:top w:val="nil"/>
              <w:left w:val="nil"/>
              <w:bottom w:val="nil"/>
              <w:right w:val="nil"/>
            </w:tcBorders>
            <w:vAlign w:val="center"/>
          </w:tcPr>
          <w:p w14:paraId="580BF23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81.18±2.56</w:t>
            </w:r>
          </w:p>
        </w:tc>
        <w:tc>
          <w:tcPr>
            <w:tcW w:w="740" w:type="pct"/>
            <w:tcBorders>
              <w:top w:val="nil"/>
              <w:left w:val="nil"/>
              <w:bottom w:val="nil"/>
              <w:right w:val="nil"/>
            </w:tcBorders>
            <w:vAlign w:val="center"/>
          </w:tcPr>
          <w:p w14:paraId="5D58D4B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21.64±2.77</w:t>
            </w:r>
          </w:p>
        </w:tc>
      </w:tr>
      <w:tr w14:paraId="07EBA6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273A66F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SH-winter</w:t>
            </w:r>
          </w:p>
        </w:tc>
        <w:tc>
          <w:tcPr>
            <w:tcW w:w="526" w:type="pct"/>
            <w:tcBorders>
              <w:top w:val="nil"/>
              <w:left w:val="nil"/>
              <w:bottom w:val="nil"/>
              <w:right w:val="nil"/>
            </w:tcBorders>
            <w:vAlign w:val="center"/>
          </w:tcPr>
          <w:p w14:paraId="068D3F7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82.60±0.68</w:t>
            </w:r>
          </w:p>
        </w:tc>
        <w:tc>
          <w:tcPr>
            <w:tcW w:w="695" w:type="pct"/>
            <w:tcBorders>
              <w:top w:val="nil"/>
              <w:left w:val="nil"/>
              <w:bottom w:val="nil"/>
              <w:right w:val="nil"/>
            </w:tcBorders>
            <w:vAlign w:val="center"/>
          </w:tcPr>
          <w:p w14:paraId="73C980D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15.66±0.33</w:t>
            </w:r>
          </w:p>
        </w:tc>
        <w:tc>
          <w:tcPr>
            <w:tcW w:w="678" w:type="pct"/>
            <w:tcBorders>
              <w:top w:val="nil"/>
              <w:left w:val="nil"/>
              <w:bottom w:val="nil"/>
              <w:right w:val="nil"/>
            </w:tcBorders>
            <w:vAlign w:val="center"/>
          </w:tcPr>
          <w:p w14:paraId="1461920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0.91±0.21</w:t>
            </w:r>
          </w:p>
        </w:tc>
        <w:tc>
          <w:tcPr>
            <w:tcW w:w="786" w:type="pct"/>
            <w:tcBorders>
              <w:top w:val="nil"/>
              <w:left w:val="nil"/>
              <w:bottom w:val="nil"/>
              <w:right w:val="nil"/>
            </w:tcBorders>
            <w:vAlign w:val="center"/>
          </w:tcPr>
          <w:p w14:paraId="7E2CC89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16.90±1.74</w:t>
            </w:r>
          </w:p>
        </w:tc>
        <w:tc>
          <w:tcPr>
            <w:tcW w:w="775" w:type="pct"/>
            <w:tcBorders>
              <w:top w:val="nil"/>
              <w:left w:val="nil"/>
              <w:bottom w:val="nil"/>
              <w:right w:val="nil"/>
            </w:tcBorders>
            <w:vAlign w:val="center"/>
          </w:tcPr>
          <w:p w14:paraId="17197C0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81.67±1.78</w:t>
            </w:r>
          </w:p>
        </w:tc>
        <w:tc>
          <w:tcPr>
            <w:tcW w:w="740" w:type="pct"/>
            <w:tcBorders>
              <w:top w:val="nil"/>
              <w:left w:val="nil"/>
              <w:bottom w:val="nil"/>
              <w:right w:val="nil"/>
            </w:tcBorders>
            <w:vAlign w:val="center"/>
          </w:tcPr>
          <w:p w14:paraId="47B8644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20.91±1.79</w:t>
            </w:r>
          </w:p>
        </w:tc>
      </w:tr>
      <w:tr w14:paraId="599DF1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7666EFA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BH-summer</w:t>
            </w:r>
          </w:p>
        </w:tc>
        <w:tc>
          <w:tcPr>
            <w:tcW w:w="526" w:type="pct"/>
            <w:tcBorders>
              <w:top w:val="nil"/>
              <w:left w:val="nil"/>
              <w:bottom w:val="nil"/>
              <w:right w:val="nil"/>
            </w:tcBorders>
            <w:vAlign w:val="center"/>
          </w:tcPr>
          <w:p w14:paraId="6603BBB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75.97±2.69</w:t>
            </w:r>
          </w:p>
        </w:tc>
        <w:tc>
          <w:tcPr>
            <w:tcW w:w="695" w:type="pct"/>
            <w:tcBorders>
              <w:top w:val="nil"/>
              <w:left w:val="nil"/>
              <w:bottom w:val="nil"/>
              <w:right w:val="nil"/>
            </w:tcBorders>
            <w:vAlign w:val="center"/>
          </w:tcPr>
          <w:p w14:paraId="38455F9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20.62±1.07</w:t>
            </w:r>
          </w:p>
        </w:tc>
        <w:tc>
          <w:tcPr>
            <w:tcW w:w="678" w:type="pct"/>
            <w:tcBorders>
              <w:top w:val="nil"/>
              <w:left w:val="nil"/>
              <w:bottom w:val="nil"/>
              <w:right w:val="nil"/>
            </w:tcBorders>
            <w:vAlign w:val="center"/>
          </w:tcPr>
          <w:p w14:paraId="5870938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1.28±0.31</w:t>
            </w:r>
          </w:p>
        </w:tc>
        <w:tc>
          <w:tcPr>
            <w:tcW w:w="786" w:type="pct"/>
            <w:tcBorders>
              <w:top w:val="nil"/>
              <w:left w:val="nil"/>
              <w:bottom w:val="nil"/>
              <w:right w:val="nil"/>
            </w:tcBorders>
            <w:vAlign w:val="center"/>
          </w:tcPr>
          <w:p w14:paraId="71D83E9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13.35±2.39</w:t>
            </w:r>
          </w:p>
        </w:tc>
        <w:tc>
          <w:tcPr>
            <w:tcW w:w="775" w:type="pct"/>
            <w:tcBorders>
              <w:top w:val="nil"/>
              <w:left w:val="nil"/>
              <w:bottom w:val="nil"/>
              <w:right w:val="nil"/>
            </w:tcBorders>
            <w:vAlign w:val="center"/>
          </w:tcPr>
          <w:p w14:paraId="0FE6089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85.05±2.44</w:t>
            </w:r>
          </w:p>
        </w:tc>
        <w:tc>
          <w:tcPr>
            <w:tcW w:w="740" w:type="pct"/>
            <w:tcBorders>
              <w:top w:val="nil"/>
              <w:left w:val="nil"/>
              <w:bottom w:val="nil"/>
              <w:right w:val="nil"/>
            </w:tcBorders>
            <w:vAlign w:val="center"/>
          </w:tcPr>
          <w:p w14:paraId="06E350C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17.38±2.74</w:t>
            </w:r>
          </w:p>
        </w:tc>
      </w:tr>
      <w:tr w14:paraId="7702E2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1B39345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BH-winter</w:t>
            </w:r>
          </w:p>
        </w:tc>
        <w:tc>
          <w:tcPr>
            <w:tcW w:w="526" w:type="pct"/>
            <w:tcBorders>
              <w:top w:val="nil"/>
              <w:left w:val="nil"/>
              <w:bottom w:val="nil"/>
              <w:right w:val="nil"/>
            </w:tcBorders>
            <w:vAlign w:val="center"/>
          </w:tcPr>
          <w:p w14:paraId="7C9AD3C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72.87±0.03</w:t>
            </w:r>
          </w:p>
        </w:tc>
        <w:tc>
          <w:tcPr>
            <w:tcW w:w="695" w:type="pct"/>
            <w:tcBorders>
              <w:top w:val="nil"/>
              <w:left w:val="nil"/>
              <w:bottom w:val="nil"/>
              <w:right w:val="nil"/>
            </w:tcBorders>
            <w:vAlign w:val="center"/>
          </w:tcPr>
          <w:p w14:paraId="5ABAC2F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20.05±0.07</w:t>
            </w:r>
          </w:p>
        </w:tc>
        <w:tc>
          <w:tcPr>
            <w:tcW w:w="678" w:type="pct"/>
            <w:tcBorders>
              <w:top w:val="nil"/>
              <w:left w:val="nil"/>
              <w:bottom w:val="nil"/>
              <w:right w:val="nil"/>
            </w:tcBorders>
            <w:vAlign w:val="center"/>
          </w:tcPr>
          <w:p w14:paraId="49D689E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3.89±0.51</w:t>
            </w:r>
          </w:p>
        </w:tc>
        <w:tc>
          <w:tcPr>
            <w:tcW w:w="786" w:type="pct"/>
            <w:tcBorders>
              <w:top w:val="nil"/>
              <w:left w:val="nil"/>
              <w:bottom w:val="nil"/>
              <w:right w:val="nil"/>
            </w:tcBorders>
            <w:vAlign w:val="center"/>
          </w:tcPr>
          <w:p w14:paraId="4675F6C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18.44±0.17</w:t>
            </w:r>
          </w:p>
        </w:tc>
        <w:tc>
          <w:tcPr>
            <w:tcW w:w="775" w:type="pct"/>
            <w:tcBorders>
              <w:top w:val="nil"/>
              <w:left w:val="nil"/>
              <w:bottom w:val="nil"/>
              <w:right w:val="nil"/>
            </w:tcBorders>
            <w:vAlign w:val="center"/>
          </w:tcPr>
          <w:p w14:paraId="368A0F0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79.50±0.24</w:t>
            </w:r>
          </w:p>
        </w:tc>
        <w:tc>
          <w:tcPr>
            <w:tcW w:w="740" w:type="pct"/>
            <w:tcBorders>
              <w:top w:val="nil"/>
              <w:left w:val="nil"/>
              <w:bottom w:val="nil"/>
              <w:right w:val="nil"/>
            </w:tcBorders>
            <w:vAlign w:val="center"/>
          </w:tcPr>
          <w:p w14:paraId="696F89B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22.92±0.36</w:t>
            </w:r>
          </w:p>
        </w:tc>
      </w:tr>
      <w:tr w14:paraId="557A87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nil"/>
              <w:right w:val="nil"/>
            </w:tcBorders>
            <w:vAlign w:val="center"/>
          </w:tcPr>
          <w:p w14:paraId="44C5E04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YT-summer</w:t>
            </w:r>
          </w:p>
        </w:tc>
        <w:tc>
          <w:tcPr>
            <w:tcW w:w="526" w:type="pct"/>
            <w:tcBorders>
              <w:top w:val="nil"/>
              <w:left w:val="nil"/>
              <w:bottom w:val="nil"/>
              <w:right w:val="nil"/>
            </w:tcBorders>
            <w:vAlign w:val="center"/>
          </w:tcPr>
          <w:p w14:paraId="763A9D7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72.91±2.74</w:t>
            </w:r>
          </w:p>
        </w:tc>
        <w:tc>
          <w:tcPr>
            <w:tcW w:w="695" w:type="pct"/>
            <w:tcBorders>
              <w:top w:val="nil"/>
              <w:left w:val="nil"/>
              <w:bottom w:val="nil"/>
              <w:right w:val="nil"/>
            </w:tcBorders>
            <w:vAlign w:val="center"/>
          </w:tcPr>
          <w:p w14:paraId="41B7167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19.82±1.12</w:t>
            </w:r>
          </w:p>
        </w:tc>
        <w:tc>
          <w:tcPr>
            <w:tcW w:w="678" w:type="pct"/>
            <w:tcBorders>
              <w:top w:val="nil"/>
              <w:left w:val="nil"/>
              <w:bottom w:val="nil"/>
              <w:right w:val="nil"/>
            </w:tcBorders>
            <w:vAlign w:val="center"/>
          </w:tcPr>
          <w:p w14:paraId="27E5135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2.70±0.05</w:t>
            </w:r>
          </w:p>
        </w:tc>
        <w:tc>
          <w:tcPr>
            <w:tcW w:w="786" w:type="pct"/>
            <w:tcBorders>
              <w:top w:val="nil"/>
              <w:left w:val="nil"/>
              <w:bottom w:val="nil"/>
              <w:right w:val="nil"/>
            </w:tcBorders>
            <w:vAlign w:val="center"/>
          </w:tcPr>
          <w:p w14:paraId="1A22E69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10.70±1.08</w:t>
            </w:r>
          </w:p>
        </w:tc>
        <w:tc>
          <w:tcPr>
            <w:tcW w:w="775" w:type="pct"/>
            <w:tcBorders>
              <w:top w:val="nil"/>
              <w:left w:val="nil"/>
              <w:bottom w:val="nil"/>
              <w:right w:val="nil"/>
            </w:tcBorders>
            <w:vAlign w:val="center"/>
          </w:tcPr>
          <w:p w14:paraId="47F4F25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87.94±1.17</w:t>
            </w:r>
          </w:p>
        </w:tc>
        <w:tc>
          <w:tcPr>
            <w:tcW w:w="740" w:type="pct"/>
            <w:tcBorders>
              <w:top w:val="nil"/>
              <w:left w:val="nil"/>
              <w:bottom w:val="nil"/>
              <w:right w:val="nil"/>
            </w:tcBorders>
            <w:vAlign w:val="center"/>
          </w:tcPr>
          <w:p w14:paraId="1B02CCE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14.23±1.43</w:t>
            </w:r>
          </w:p>
        </w:tc>
      </w:tr>
      <w:tr w14:paraId="3D4F36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800" w:type="pct"/>
            <w:tcBorders>
              <w:top w:val="nil"/>
              <w:left w:val="nil"/>
              <w:bottom w:val="single" w:color="auto" w:sz="12" w:space="0"/>
              <w:right w:val="nil"/>
            </w:tcBorders>
            <w:vAlign w:val="center"/>
          </w:tcPr>
          <w:p w14:paraId="58A21AA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YT-winter</w:t>
            </w:r>
          </w:p>
        </w:tc>
        <w:tc>
          <w:tcPr>
            <w:tcW w:w="526" w:type="pct"/>
            <w:tcBorders>
              <w:top w:val="nil"/>
              <w:left w:val="nil"/>
              <w:bottom w:val="single" w:color="auto" w:sz="12" w:space="0"/>
              <w:right w:val="nil"/>
            </w:tcBorders>
            <w:vAlign w:val="center"/>
          </w:tcPr>
          <w:p w14:paraId="5DE5520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76.76±0.60</w:t>
            </w:r>
          </w:p>
        </w:tc>
        <w:tc>
          <w:tcPr>
            <w:tcW w:w="695" w:type="pct"/>
            <w:tcBorders>
              <w:top w:val="nil"/>
              <w:left w:val="nil"/>
              <w:bottom w:val="single" w:color="auto" w:sz="12" w:space="0"/>
              <w:right w:val="nil"/>
            </w:tcBorders>
            <w:vAlign w:val="center"/>
          </w:tcPr>
          <w:p w14:paraId="4189D7A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19.18±0.71</w:t>
            </w:r>
          </w:p>
        </w:tc>
        <w:tc>
          <w:tcPr>
            <w:tcW w:w="678" w:type="pct"/>
            <w:tcBorders>
              <w:top w:val="nil"/>
              <w:left w:val="nil"/>
              <w:bottom w:val="single" w:color="auto" w:sz="12" w:space="0"/>
              <w:right w:val="nil"/>
            </w:tcBorders>
            <w:vAlign w:val="center"/>
          </w:tcPr>
          <w:p w14:paraId="6023D39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2.40±0.23</w:t>
            </w:r>
          </w:p>
        </w:tc>
        <w:tc>
          <w:tcPr>
            <w:tcW w:w="786" w:type="pct"/>
            <w:tcBorders>
              <w:top w:val="nil"/>
              <w:left w:val="nil"/>
              <w:bottom w:val="single" w:color="auto" w:sz="12" w:space="0"/>
              <w:right w:val="nil"/>
            </w:tcBorders>
            <w:vAlign w:val="center"/>
          </w:tcPr>
          <w:p w14:paraId="597986E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15.04±1.39</w:t>
            </w:r>
          </w:p>
        </w:tc>
        <w:tc>
          <w:tcPr>
            <w:tcW w:w="775" w:type="pct"/>
            <w:tcBorders>
              <w:top w:val="nil"/>
              <w:left w:val="nil"/>
              <w:bottom w:val="single" w:color="auto" w:sz="12" w:space="0"/>
              <w:right w:val="nil"/>
            </w:tcBorders>
            <w:vAlign w:val="center"/>
          </w:tcPr>
          <w:p w14:paraId="2639EC9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83.21±1.53</w:t>
            </w:r>
          </w:p>
        </w:tc>
        <w:tc>
          <w:tcPr>
            <w:tcW w:w="740" w:type="pct"/>
            <w:tcBorders>
              <w:top w:val="nil"/>
              <w:left w:val="nil"/>
              <w:bottom w:val="single" w:color="auto" w:sz="12" w:space="0"/>
              <w:right w:val="nil"/>
            </w:tcBorders>
            <w:vAlign w:val="center"/>
          </w:tcPr>
          <w:p w14:paraId="17373DE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19.18±1.60</w:t>
            </w:r>
          </w:p>
        </w:tc>
      </w:tr>
    </w:tbl>
    <w:p w14:paraId="22D80289">
      <w:pPr>
        <w:spacing w:line="480" w:lineRule="auto"/>
        <w:ind w:firstLine="422"/>
        <w:rPr>
          <w:rFonts w:cs="Times New Roman"/>
          <w:b/>
          <w:bCs/>
          <w:sz w:val="21"/>
          <w:szCs w:val="21"/>
        </w:rPr>
      </w:pPr>
      <w:r>
        <w:rPr>
          <w:rFonts w:cs="Times New Roman"/>
          <w:b/>
          <w:bCs/>
          <w:sz w:val="21"/>
          <w:szCs w:val="21"/>
        </w:rPr>
        <w:br w:type="page"/>
      </w:r>
    </w:p>
    <w:p w14:paraId="53E5F565">
      <w:pPr>
        <w:spacing w:line="480" w:lineRule="auto"/>
        <w:ind w:firstLine="0" w:firstLineChars="0"/>
        <w:rPr>
          <w:rFonts w:cs="Times New Roman"/>
          <w:b/>
          <w:bCs/>
          <w:sz w:val="21"/>
          <w:szCs w:val="21"/>
        </w:rPr>
      </w:pPr>
      <w:r>
        <w:rPr>
          <w:rFonts w:cs="Times New Roman"/>
          <w:b/>
          <w:bCs/>
          <w:sz w:val="21"/>
          <w:szCs w:val="21"/>
        </w:rPr>
        <w:t xml:space="preserve">Table S6 </w:t>
      </w:r>
      <w:bookmarkEnd w:id="10"/>
      <w:r>
        <w:rPr>
          <w:rFonts w:cs="Times New Roman"/>
          <w:b/>
          <w:bCs/>
          <w:sz w:val="21"/>
          <w:szCs w:val="21"/>
        </w:rPr>
        <w:t>The average values ± standard deviations of the DOC and three-dimensional fluorescence indicators of the sampled reservoirs, including DOC concentration, fluorescence index (FI), Biological index (BIX), humification index (HIX), microbial humic-like, terrestrial humic-like, and protein-like.</w:t>
      </w:r>
    </w:p>
    <w:tbl>
      <w:tblPr>
        <w:tblStyle w:val="8"/>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103"/>
        <w:gridCol w:w="1148"/>
        <w:gridCol w:w="1127"/>
        <w:gridCol w:w="1200"/>
        <w:gridCol w:w="1164"/>
        <w:gridCol w:w="1308"/>
        <w:gridCol w:w="1279"/>
      </w:tblGrid>
      <w:tr w14:paraId="029140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27" w:type="pct"/>
            <w:tcBorders>
              <w:top w:val="single" w:color="auto" w:sz="12" w:space="0"/>
              <w:left w:val="nil"/>
              <w:bottom w:val="single" w:color="auto" w:sz="6" w:space="0"/>
              <w:right w:val="nil"/>
            </w:tcBorders>
            <w:vAlign w:val="center"/>
          </w:tcPr>
          <w:p w14:paraId="3804034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Reservoir</w:t>
            </w:r>
          </w:p>
        </w:tc>
        <w:tc>
          <w:tcPr>
            <w:tcW w:w="566" w:type="pct"/>
            <w:tcBorders>
              <w:top w:val="single" w:color="auto" w:sz="12" w:space="0"/>
              <w:left w:val="nil"/>
              <w:bottom w:val="single" w:color="auto" w:sz="6" w:space="0"/>
              <w:right w:val="nil"/>
            </w:tcBorders>
            <w:vAlign w:val="center"/>
          </w:tcPr>
          <w:p w14:paraId="0CFF722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DOC</w:t>
            </w:r>
          </w:p>
          <w:p w14:paraId="3EC9DE3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(mg/L)</w:t>
            </w:r>
          </w:p>
        </w:tc>
        <w:tc>
          <w:tcPr>
            <w:tcW w:w="589" w:type="pct"/>
            <w:tcBorders>
              <w:top w:val="single" w:color="auto" w:sz="12" w:space="0"/>
              <w:left w:val="nil"/>
              <w:bottom w:val="single" w:color="auto" w:sz="6" w:space="0"/>
              <w:right w:val="nil"/>
            </w:tcBorders>
            <w:vAlign w:val="center"/>
          </w:tcPr>
          <w:p w14:paraId="615F8ED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FI</w:t>
            </w:r>
          </w:p>
        </w:tc>
        <w:tc>
          <w:tcPr>
            <w:tcW w:w="578" w:type="pct"/>
            <w:tcBorders>
              <w:top w:val="single" w:color="auto" w:sz="12" w:space="0"/>
              <w:left w:val="nil"/>
              <w:bottom w:val="single" w:color="auto" w:sz="6" w:space="0"/>
              <w:right w:val="nil"/>
            </w:tcBorders>
            <w:vAlign w:val="center"/>
          </w:tcPr>
          <w:p w14:paraId="29F8CA2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BIX</w:t>
            </w:r>
          </w:p>
        </w:tc>
        <w:tc>
          <w:tcPr>
            <w:tcW w:w="615" w:type="pct"/>
            <w:tcBorders>
              <w:top w:val="single" w:color="auto" w:sz="12" w:space="0"/>
              <w:left w:val="nil"/>
              <w:bottom w:val="single" w:color="auto" w:sz="6" w:space="0"/>
              <w:right w:val="nil"/>
            </w:tcBorders>
            <w:vAlign w:val="center"/>
          </w:tcPr>
          <w:p w14:paraId="486FABB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HIX</w:t>
            </w:r>
          </w:p>
        </w:tc>
        <w:tc>
          <w:tcPr>
            <w:tcW w:w="597" w:type="pct"/>
            <w:tcBorders>
              <w:top w:val="single" w:color="auto" w:sz="12" w:space="0"/>
              <w:left w:val="nil"/>
              <w:bottom w:val="single" w:color="auto" w:sz="6" w:space="0"/>
              <w:right w:val="nil"/>
            </w:tcBorders>
            <w:vAlign w:val="center"/>
          </w:tcPr>
          <w:p w14:paraId="7F1B166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microbial humic-like(%)</w:t>
            </w:r>
          </w:p>
        </w:tc>
        <w:tc>
          <w:tcPr>
            <w:tcW w:w="671" w:type="pct"/>
            <w:tcBorders>
              <w:top w:val="single" w:color="auto" w:sz="12" w:space="0"/>
              <w:left w:val="nil"/>
              <w:bottom w:val="single" w:color="auto" w:sz="6" w:space="0"/>
              <w:right w:val="nil"/>
            </w:tcBorders>
            <w:vAlign w:val="center"/>
          </w:tcPr>
          <w:p w14:paraId="4D37F4A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terrestrial humic-like(%)</w:t>
            </w:r>
          </w:p>
        </w:tc>
        <w:tc>
          <w:tcPr>
            <w:tcW w:w="656" w:type="pct"/>
            <w:tcBorders>
              <w:top w:val="single" w:color="auto" w:sz="12" w:space="0"/>
              <w:left w:val="nil"/>
              <w:bottom w:val="single" w:color="auto" w:sz="6" w:space="0"/>
              <w:right w:val="nil"/>
            </w:tcBorders>
            <w:vAlign w:val="center"/>
          </w:tcPr>
          <w:p w14:paraId="76B1157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protein-like(%)</w:t>
            </w:r>
          </w:p>
        </w:tc>
      </w:tr>
      <w:tr w14:paraId="520B36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single" w:color="auto" w:sz="6" w:space="0"/>
              <w:left w:val="nil"/>
              <w:bottom w:val="nil"/>
              <w:right w:val="nil"/>
            </w:tcBorders>
            <w:shd w:val="clear" w:color="auto" w:fill="FFFFFF"/>
            <w:vAlign w:val="center"/>
          </w:tcPr>
          <w:p w14:paraId="19668EF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QY-summer</w:t>
            </w:r>
          </w:p>
        </w:tc>
        <w:tc>
          <w:tcPr>
            <w:tcW w:w="566" w:type="pct"/>
            <w:tcBorders>
              <w:top w:val="single" w:color="auto" w:sz="6" w:space="0"/>
              <w:left w:val="nil"/>
              <w:bottom w:val="nil"/>
              <w:right w:val="nil"/>
            </w:tcBorders>
            <w:shd w:val="clear" w:color="auto" w:fill="FFFFFF"/>
            <w:vAlign w:val="center"/>
          </w:tcPr>
          <w:p w14:paraId="0E8815A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2.64±0.22</w:t>
            </w:r>
          </w:p>
        </w:tc>
        <w:tc>
          <w:tcPr>
            <w:tcW w:w="589" w:type="pct"/>
            <w:tcBorders>
              <w:top w:val="single" w:color="auto" w:sz="6" w:space="0"/>
              <w:left w:val="nil"/>
              <w:bottom w:val="nil"/>
              <w:right w:val="nil"/>
            </w:tcBorders>
            <w:shd w:val="clear" w:color="auto" w:fill="FFFFFF"/>
            <w:vAlign w:val="center"/>
          </w:tcPr>
          <w:p w14:paraId="15B318F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1.59±0.18</w:t>
            </w:r>
          </w:p>
        </w:tc>
        <w:tc>
          <w:tcPr>
            <w:tcW w:w="578" w:type="pct"/>
            <w:tcBorders>
              <w:top w:val="single" w:color="auto" w:sz="6" w:space="0"/>
              <w:left w:val="nil"/>
              <w:bottom w:val="nil"/>
              <w:right w:val="nil"/>
            </w:tcBorders>
            <w:shd w:val="clear" w:color="auto" w:fill="FFFFFF"/>
            <w:vAlign w:val="center"/>
          </w:tcPr>
          <w:p w14:paraId="12D23E5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0.86±0.07</w:t>
            </w:r>
          </w:p>
        </w:tc>
        <w:tc>
          <w:tcPr>
            <w:tcW w:w="615" w:type="pct"/>
            <w:tcBorders>
              <w:top w:val="single" w:color="auto" w:sz="6" w:space="0"/>
              <w:left w:val="nil"/>
              <w:bottom w:val="nil"/>
              <w:right w:val="nil"/>
            </w:tcBorders>
            <w:shd w:val="clear" w:color="auto" w:fill="FFFFFF"/>
            <w:vAlign w:val="center"/>
          </w:tcPr>
          <w:p w14:paraId="26AD307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0.61±0.03</w:t>
            </w:r>
          </w:p>
        </w:tc>
        <w:tc>
          <w:tcPr>
            <w:tcW w:w="597" w:type="pct"/>
            <w:tcBorders>
              <w:top w:val="single" w:color="auto" w:sz="6" w:space="0"/>
              <w:left w:val="nil"/>
              <w:bottom w:val="nil"/>
              <w:right w:val="nil"/>
            </w:tcBorders>
            <w:shd w:val="clear" w:color="auto" w:fill="FFFFFF"/>
            <w:vAlign w:val="center"/>
          </w:tcPr>
          <w:p w14:paraId="5D29484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31.1±5.0</w:t>
            </w:r>
          </w:p>
        </w:tc>
        <w:tc>
          <w:tcPr>
            <w:tcW w:w="671" w:type="pct"/>
            <w:tcBorders>
              <w:top w:val="single" w:color="auto" w:sz="6" w:space="0"/>
              <w:left w:val="nil"/>
              <w:bottom w:val="nil"/>
              <w:right w:val="nil"/>
            </w:tcBorders>
            <w:shd w:val="clear" w:color="auto" w:fill="FFFFFF"/>
            <w:vAlign w:val="center"/>
          </w:tcPr>
          <w:p w14:paraId="13C6C01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17.1±2.4</w:t>
            </w:r>
          </w:p>
        </w:tc>
        <w:tc>
          <w:tcPr>
            <w:tcW w:w="656" w:type="pct"/>
            <w:tcBorders>
              <w:top w:val="single" w:color="auto" w:sz="6" w:space="0"/>
              <w:left w:val="nil"/>
              <w:bottom w:val="nil"/>
              <w:right w:val="nil"/>
            </w:tcBorders>
            <w:shd w:val="clear" w:color="auto" w:fill="FFFFFF"/>
            <w:vAlign w:val="center"/>
          </w:tcPr>
          <w:p w14:paraId="4AC3BBD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51.8±7.5</w:t>
            </w:r>
          </w:p>
        </w:tc>
      </w:tr>
      <w:tr w14:paraId="734B0A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shd w:val="clear" w:color="auto" w:fill="FFFFFF"/>
            <w:vAlign w:val="center"/>
          </w:tcPr>
          <w:p w14:paraId="13359F5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QY-winter</w:t>
            </w:r>
          </w:p>
        </w:tc>
        <w:tc>
          <w:tcPr>
            <w:tcW w:w="566" w:type="pct"/>
            <w:tcBorders>
              <w:top w:val="nil"/>
              <w:left w:val="nil"/>
              <w:bottom w:val="nil"/>
              <w:right w:val="nil"/>
            </w:tcBorders>
            <w:shd w:val="clear" w:color="auto" w:fill="FFFFFF"/>
            <w:vAlign w:val="center"/>
          </w:tcPr>
          <w:p w14:paraId="0B2EAF3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1.98±0.09</w:t>
            </w:r>
          </w:p>
        </w:tc>
        <w:tc>
          <w:tcPr>
            <w:tcW w:w="589" w:type="pct"/>
            <w:tcBorders>
              <w:top w:val="nil"/>
              <w:left w:val="nil"/>
              <w:bottom w:val="nil"/>
              <w:right w:val="nil"/>
            </w:tcBorders>
            <w:shd w:val="clear" w:color="auto" w:fill="FFFFFF"/>
            <w:vAlign w:val="center"/>
          </w:tcPr>
          <w:p w14:paraId="190485F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1.94±0.06</w:t>
            </w:r>
          </w:p>
        </w:tc>
        <w:tc>
          <w:tcPr>
            <w:tcW w:w="578" w:type="pct"/>
            <w:tcBorders>
              <w:top w:val="nil"/>
              <w:left w:val="nil"/>
              <w:bottom w:val="nil"/>
              <w:right w:val="nil"/>
            </w:tcBorders>
            <w:shd w:val="clear" w:color="auto" w:fill="FFFFFF"/>
            <w:vAlign w:val="center"/>
          </w:tcPr>
          <w:p w14:paraId="5D93CB9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1.33±0.13</w:t>
            </w:r>
          </w:p>
        </w:tc>
        <w:tc>
          <w:tcPr>
            <w:tcW w:w="615" w:type="pct"/>
            <w:tcBorders>
              <w:top w:val="nil"/>
              <w:left w:val="nil"/>
              <w:bottom w:val="nil"/>
              <w:right w:val="nil"/>
            </w:tcBorders>
            <w:shd w:val="clear" w:color="auto" w:fill="FFFFFF"/>
            <w:vAlign w:val="center"/>
          </w:tcPr>
          <w:p w14:paraId="09F6338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0.43±0.04</w:t>
            </w:r>
          </w:p>
        </w:tc>
        <w:tc>
          <w:tcPr>
            <w:tcW w:w="597" w:type="pct"/>
            <w:tcBorders>
              <w:top w:val="nil"/>
              <w:left w:val="nil"/>
              <w:bottom w:val="nil"/>
              <w:right w:val="nil"/>
            </w:tcBorders>
            <w:shd w:val="clear" w:color="auto" w:fill="FFFFFF"/>
            <w:vAlign w:val="center"/>
          </w:tcPr>
          <w:p w14:paraId="45247DF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14.2±3.3</w:t>
            </w:r>
          </w:p>
        </w:tc>
        <w:tc>
          <w:tcPr>
            <w:tcW w:w="671" w:type="pct"/>
            <w:tcBorders>
              <w:top w:val="nil"/>
              <w:left w:val="nil"/>
              <w:bottom w:val="nil"/>
              <w:right w:val="nil"/>
            </w:tcBorders>
            <w:shd w:val="clear" w:color="auto" w:fill="FFFFFF"/>
            <w:vAlign w:val="center"/>
          </w:tcPr>
          <w:p w14:paraId="2400589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6.6±1.0</w:t>
            </w:r>
          </w:p>
        </w:tc>
        <w:tc>
          <w:tcPr>
            <w:tcW w:w="656" w:type="pct"/>
            <w:tcBorders>
              <w:top w:val="nil"/>
              <w:left w:val="nil"/>
              <w:bottom w:val="nil"/>
              <w:right w:val="nil"/>
            </w:tcBorders>
            <w:shd w:val="clear" w:color="auto" w:fill="FFFFFF"/>
            <w:vAlign w:val="center"/>
          </w:tcPr>
          <w:p w14:paraId="3C53BB7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79.2±4.2</w:t>
            </w:r>
          </w:p>
        </w:tc>
      </w:tr>
      <w:tr w14:paraId="5ECFBC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20E8A87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ZPP-summer</w:t>
            </w:r>
          </w:p>
        </w:tc>
        <w:tc>
          <w:tcPr>
            <w:tcW w:w="566" w:type="pct"/>
            <w:tcBorders>
              <w:top w:val="nil"/>
              <w:left w:val="nil"/>
              <w:bottom w:val="nil"/>
              <w:right w:val="nil"/>
            </w:tcBorders>
            <w:vAlign w:val="center"/>
          </w:tcPr>
          <w:p w14:paraId="1893BDF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2.77±0.16</w:t>
            </w:r>
          </w:p>
        </w:tc>
        <w:tc>
          <w:tcPr>
            <w:tcW w:w="589" w:type="pct"/>
            <w:tcBorders>
              <w:top w:val="nil"/>
              <w:left w:val="nil"/>
              <w:bottom w:val="nil"/>
              <w:right w:val="nil"/>
            </w:tcBorders>
            <w:vAlign w:val="center"/>
          </w:tcPr>
          <w:p w14:paraId="76EB734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1.67±0.09</w:t>
            </w:r>
          </w:p>
        </w:tc>
        <w:tc>
          <w:tcPr>
            <w:tcW w:w="578" w:type="pct"/>
            <w:tcBorders>
              <w:top w:val="nil"/>
              <w:left w:val="nil"/>
              <w:bottom w:val="nil"/>
              <w:right w:val="nil"/>
            </w:tcBorders>
            <w:vAlign w:val="center"/>
          </w:tcPr>
          <w:p w14:paraId="41B3A1F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0.88±0.03</w:t>
            </w:r>
          </w:p>
        </w:tc>
        <w:tc>
          <w:tcPr>
            <w:tcW w:w="615" w:type="pct"/>
            <w:tcBorders>
              <w:top w:val="nil"/>
              <w:left w:val="nil"/>
              <w:bottom w:val="nil"/>
              <w:right w:val="nil"/>
            </w:tcBorders>
            <w:vAlign w:val="center"/>
          </w:tcPr>
          <w:p w14:paraId="2358B1A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0.57±0.09</w:t>
            </w:r>
          </w:p>
        </w:tc>
        <w:tc>
          <w:tcPr>
            <w:tcW w:w="597" w:type="pct"/>
            <w:tcBorders>
              <w:top w:val="nil"/>
              <w:left w:val="nil"/>
              <w:bottom w:val="nil"/>
              <w:right w:val="nil"/>
            </w:tcBorders>
            <w:vAlign w:val="center"/>
          </w:tcPr>
          <w:p w14:paraId="1CA5483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25.7±2.1</w:t>
            </w:r>
          </w:p>
        </w:tc>
        <w:tc>
          <w:tcPr>
            <w:tcW w:w="671" w:type="pct"/>
            <w:tcBorders>
              <w:top w:val="nil"/>
              <w:left w:val="nil"/>
              <w:bottom w:val="nil"/>
              <w:right w:val="nil"/>
            </w:tcBorders>
            <w:vAlign w:val="center"/>
          </w:tcPr>
          <w:p w14:paraId="0BD01DF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13.9±1.0</w:t>
            </w:r>
          </w:p>
        </w:tc>
        <w:tc>
          <w:tcPr>
            <w:tcW w:w="656" w:type="pct"/>
            <w:tcBorders>
              <w:top w:val="nil"/>
              <w:left w:val="nil"/>
              <w:bottom w:val="nil"/>
              <w:right w:val="nil"/>
            </w:tcBorders>
            <w:vAlign w:val="center"/>
          </w:tcPr>
          <w:p w14:paraId="4A19E76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60.4±3.0</w:t>
            </w:r>
          </w:p>
        </w:tc>
      </w:tr>
      <w:tr w14:paraId="4AEF75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6272EF0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ZPP-winter</w:t>
            </w:r>
          </w:p>
        </w:tc>
        <w:tc>
          <w:tcPr>
            <w:tcW w:w="566" w:type="pct"/>
            <w:tcBorders>
              <w:top w:val="nil"/>
              <w:left w:val="nil"/>
              <w:bottom w:val="nil"/>
              <w:right w:val="nil"/>
            </w:tcBorders>
            <w:vAlign w:val="center"/>
          </w:tcPr>
          <w:p w14:paraId="6E49A45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1.77±0.26</w:t>
            </w:r>
          </w:p>
        </w:tc>
        <w:tc>
          <w:tcPr>
            <w:tcW w:w="589" w:type="pct"/>
            <w:tcBorders>
              <w:top w:val="nil"/>
              <w:left w:val="nil"/>
              <w:bottom w:val="nil"/>
              <w:right w:val="nil"/>
            </w:tcBorders>
            <w:vAlign w:val="center"/>
          </w:tcPr>
          <w:p w14:paraId="1A3320B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1.58±0.03</w:t>
            </w:r>
          </w:p>
        </w:tc>
        <w:tc>
          <w:tcPr>
            <w:tcW w:w="578" w:type="pct"/>
            <w:tcBorders>
              <w:top w:val="nil"/>
              <w:left w:val="nil"/>
              <w:bottom w:val="nil"/>
              <w:right w:val="nil"/>
            </w:tcBorders>
            <w:vAlign w:val="center"/>
          </w:tcPr>
          <w:p w14:paraId="367A9E1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0.64±0.07</w:t>
            </w:r>
          </w:p>
        </w:tc>
        <w:tc>
          <w:tcPr>
            <w:tcW w:w="615" w:type="pct"/>
            <w:tcBorders>
              <w:top w:val="nil"/>
              <w:left w:val="nil"/>
              <w:bottom w:val="nil"/>
              <w:right w:val="nil"/>
            </w:tcBorders>
            <w:vAlign w:val="center"/>
          </w:tcPr>
          <w:p w14:paraId="190FA62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0.68±0.14</w:t>
            </w:r>
          </w:p>
        </w:tc>
        <w:tc>
          <w:tcPr>
            <w:tcW w:w="597" w:type="pct"/>
            <w:tcBorders>
              <w:top w:val="nil"/>
              <w:left w:val="nil"/>
              <w:bottom w:val="nil"/>
              <w:right w:val="nil"/>
            </w:tcBorders>
            <w:vAlign w:val="center"/>
          </w:tcPr>
          <w:p w14:paraId="08652EA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31.2±5.9</w:t>
            </w:r>
          </w:p>
        </w:tc>
        <w:tc>
          <w:tcPr>
            <w:tcW w:w="671" w:type="pct"/>
            <w:tcBorders>
              <w:top w:val="nil"/>
              <w:left w:val="nil"/>
              <w:bottom w:val="nil"/>
              <w:right w:val="nil"/>
            </w:tcBorders>
            <w:vAlign w:val="center"/>
          </w:tcPr>
          <w:p w14:paraId="2CBBC7B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26.0±9.9</w:t>
            </w:r>
          </w:p>
        </w:tc>
        <w:tc>
          <w:tcPr>
            <w:tcW w:w="656" w:type="pct"/>
            <w:tcBorders>
              <w:top w:val="nil"/>
              <w:left w:val="nil"/>
              <w:bottom w:val="nil"/>
              <w:right w:val="nil"/>
            </w:tcBorders>
            <w:vAlign w:val="center"/>
          </w:tcPr>
          <w:p w14:paraId="3AEA55E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42.8±15.8</w:t>
            </w:r>
          </w:p>
        </w:tc>
      </w:tr>
      <w:tr w14:paraId="7063EB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5F6C915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ZH-summer</w:t>
            </w:r>
          </w:p>
        </w:tc>
        <w:tc>
          <w:tcPr>
            <w:tcW w:w="566" w:type="pct"/>
            <w:tcBorders>
              <w:top w:val="nil"/>
              <w:left w:val="nil"/>
              <w:bottom w:val="nil"/>
              <w:right w:val="nil"/>
            </w:tcBorders>
            <w:vAlign w:val="center"/>
          </w:tcPr>
          <w:p w14:paraId="6311364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6.29±0.37</w:t>
            </w:r>
          </w:p>
        </w:tc>
        <w:tc>
          <w:tcPr>
            <w:tcW w:w="589" w:type="pct"/>
            <w:tcBorders>
              <w:top w:val="nil"/>
              <w:left w:val="nil"/>
              <w:bottom w:val="nil"/>
              <w:right w:val="nil"/>
            </w:tcBorders>
            <w:vAlign w:val="center"/>
          </w:tcPr>
          <w:p w14:paraId="265B78E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1.61±0.03</w:t>
            </w:r>
          </w:p>
        </w:tc>
        <w:tc>
          <w:tcPr>
            <w:tcW w:w="578" w:type="pct"/>
            <w:tcBorders>
              <w:top w:val="nil"/>
              <w:left w:val="nil"/>
              <w:bottom w:val="nil"/>
              <w:right w:val="nil"/>
            </w:tcBorders>
            <w:vAlign w:val="center"/>
          </w:tcPr>
          <w:p w14:paraId="1E39806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0.96±0.06</w:t>
            </w:r>
          </w:p>
        </w:tc>
        <w:tc>
          <w:tcPr>
            <w:tcW w:w="615" w:type="pct"/>
            <w:tcBorders>
              <w:top w:val="nil"/>
              <w:left w:val="nil"/>
              <w:bottom w:val="nil"/>
              <w:right w:val="nil"/>
            </w:tcBorders>
            <w:vAlign w:val="center"/>
          </w:tcPr>
          <w:p w14:paraId="1F006E8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0.74±0.08</w:t>
            </w:r>
          </w:p>
        </w:tc>
        <w:tc>
          <w:tcPr>
            <w:tcW w:w="597" w:type="pct"/>
            <w:tcBorders>
              <w:top w:val="nil"/>
              <w:left w:val="nil"/>
              <w:bottom w:val="nil"/>
              <w:right w:val="nil"/>
            </w:tcBorders>
            <w:vAlign w:val="center"/>
          </w:tcPr>
          <w:p w14:paraId="6E9DDD5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44.5±5.0</w:t>
            </w:r>
          </w:p>
        </w:tc>
        <w:tc>
          <w:tcPr>
            <w:tcW w:w="671" w:type="pct"/>
            <w:tcBorders>
              <w:top w:val="nil"/>
              <w:left w:val="nil"/>
              <w:bottom w:val="nil"/>
              <w:right w:val="nil"/>
            </w:tcBorders>
            <w:vAlign w:val="center"/>
          </w:tcPr>
          <w:p w14:paraId="3941C67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18.7±2.9</w:t>
            </w:r>
          </w:p>
        </w:tc>
        <w:tc>
          <w:tcPr>
            <w:tcW w:w="656" w:type="pct"/>
            <w:tcBorders>
              <w:top w:val="nil"/>
              <w:left w:val="nil"/>
              <w:bottom w:val="nil"/>
              <w:right w:val="nil"/>
            </w:tcBorders>
            <w:vAlign w:val="center"/>
          </w:tcPr>
          <w:p w14:paraId="2B68D94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36.8±7.9</w:t>
            </w:r>
          </w:p>
        </w:tc>
      </w:tr>
      <w:tr w14:paraId="10B019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444CB49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ZH-winter</w:t>
            </w:r>
          </w:p>
        </w:tc>
        <w:tc>
          <w:tcPr>
            <w:tcW w:w="566" w:type="pct"/>
            <w:tcBorders>
              <w:top w:val="nil"/>
              <w:left w:val="nil"/>
              <w:bottom w:val="nil"/>
              <w:right w:val="nil"/>
            </w:tcBorders>
            <w:vAlign w:val="center"/>
          </w:tcPr>
          <w:p w14:paraId="4DB974B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5.79±0.44</w:t>
            </w:r>
          </w:p>
        </w:tc>
        <w:tc>
          <w:tcPr>
            <w:tcW w:w="589" w:type="pct"/>
            <w:tcBorders>
              <w:top w:val="nil"/>
              <w:left w:val="nil"/>
              <w:bottom w:val="nil"/>
              <w:right w:val="nil"/>
            </w:tcBorders>
            <w:vAlign w:val="center"/>
          </w:tcPr>
          <w:p w14:paraId="5EBEE16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1.68±0.03</w:t>
            </w:r>
          </w:p>
        </w:tc>
        <w:tc>
          <w:tcPr>
            <w:tcW w:w="578" w:type="pct"/>
            <w:tcBorders>
              <w:top w:val="nil"/>
              <w:left w:val="nil"/>
              <w:bottom w:val="nil"/>
              <w:right w:val="nil"/>
            </w:tcBorders>
            <w:vAlign w:val="center"/>
          </w:tcPr>
          <w:p w14:paraId="5BDAE9B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0.94±0.02</w:t>
            </w:r>
          </w:p>
        </w:tc>
        <w:tc>
          <w:tcPr>
            <w:tcW w:w="615" w:type="pct"/>
            <w:tcBorders>
              <w:top w:val="nil"/>
              <w:left w:val="nil"/>
              <w:bottom w:val="nil"/>
              <w:right w:val="nil"/>
            </w:tcBorders>
            <w:vAlign w:val="center"/>
          </w:tcPr>
          <w:p w14:paraId="7845DB0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0.64±0.04</w:t>
            </w:r>
          </w:p>
        </w:tc>
        <w:tc>
          <w:tcPr>
            <w:tcW w:w="597" w:type="pct"/>
            <w:tcBorders>
              <w:top w:val="nil"/>
              <w:left w:val="nil"/>
              <w:bottom w:val="nil"/>
              <w:right w:val="nil"/>
            </w:tcBorders>
            <w:vAlign w:val="center"/>
          </w:tcPr>
          <w:p w14:paraId="2AEFFCC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48.8±1.6</w:t>
            </w:r>
          </w:p>
        </w:tc>
        <w:tc>
          <w:tcPr>
            <w:tcW w:w="671" w:type="pct"/>
            <w:tcBorders>
              <w:top w:val="nil"/>
              <w:left w:val="nil"/>
              <w:bottom w:val="nil"/>
              <w:right w:val="nil"/>
            </w:tcBorders>
            <w:vAlign w:val="center"/>
          </w:tcPr>
          <w:p w14:paraId="53C0129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25.0±4.1</w:t>
            </w:r>
          </w:p>
        </w:tc>
        <w:tc>
          <w:tcPr>
            <w:tcW w:w="656" w:type="pct"/>
            <w:tcBorders>
              <w:top w:val="nil"/>
              <w:left w:val="nil"/>
              <w:bottom w:val="nil"/>
              <w:right w:val="nil"/>
            </w:tcBorders>
            <w:vAlign w:val="center"/>
          </w:tcPr>
          <w:p w14:paraId="0A94FCB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26.2±5.7</w:t>
            </w:r>
          </w:p>
        </w:tc>
      </w:tr>
      <w:tr w14:paraId="2AAE4D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4EE069D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HLK-summer</w:t>
            </w:r>
          </w:p>
        </w:tc>
        <w:tc>
          <w:tcPr>
            <w:tcW w:w="566" w:type="pct"/>
            <w:tcBorders>
              <w:top w:val="nil"/>
              <w:left w:val="nil"/>
              <w:bottom w:val="nil"/>
              <w:right w:val="nil"/>
            </w:tcBorders>
            <w:vAlign w:val="center"/>
          </w:tcPr>
          <w:p w14:paraId="1248A8B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7.85±0.47</w:t>
            </w:r>
          </w:p>
        </w:tc>
        <w:tc>
          <w:tcPr>
            <w:tcW w:w="589" w:type="pct"/>
            <w:tcBorders>
              <w:top w:val="nil"/>
              <w:left w:val="nil"/>
              <w:bottom w:val="nil"/>
              <w:right w:val="nil"/>
            </w:tcBorders>
            <w:vAlign w:val="center"/>
          </w:tcPr>
          <w:p w14:paraId="087DE90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1.68±0.03</w:t>
            </w:r>
          </w:p>
        </w:tc>
        <w:tc>
          <w:tcPr>
            <w:tcW w:w="578" w:type="pct"/>
            <w:tcBorders>
              <w:top w:val="nil"/>
              <w:left w:val="nil"/>
              <w:bottom w:val="nil"/>
              <w:right w:val="nil"/>
            </w:tcBorders>
            <w:vAlign w:val="center"/>
          </w:tcPr>
          <w:p w14:paraId="6162466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0.89±0.04</w:t>
            </w:r>
          </w:p>
        </w:tc>
        <w:tc>
          <w:tcPr>
            <w:tcW w:w="615" w:type="pct"/>
            <w:tcBorders>
              <w:top w:val="nil"/>
              <w:left w:val="nil"/>
              <w:bottom w:val="nil"/>
              <w:right w:val="nil"/>
            </w:tcBorders>
            <w:vAlign w:val="center"/>
          </w:tcPr>
          <w:p w14:paraId="1233BD7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0.83±0.01</w:t>
            </w:r>
          </w:p>
        </w:tc>
        <w:tc>
          <w:tcPr>
            <w:tcW w:w="597" w:type="pct"/>
            <w:tcBorders>
              <w:top w:val="nil"/>
              <w:left w:val="nil"/>
              <w:bottom w:val="nil"/>
              <w:right w:val="nil"/>
            </w:tcBorders>
            <w:vAlign w:val="center"/>
          </w:tcPr>
          <w:p w14:paraId="65F8C5E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57.2±0.9</w:t>
            </w:r>
          </w:p>
        </w:tc>
        <w:tc>
          <w:tcPr>
            <w:tcW w:w="671" w:type="pct"/>
            <w:tcBorders>
              <w:top w:val="nil"/>
              <w:left w:val="nil"/>
              <w:bottom w:val="nil"/>
              <w:right w:val="nil"/>
            </w:tcBorders>
            <w:vAlign w:val="center"/>
          </w:tcPr>
          <w:p w14:paraId="13CD7E9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24.4±0.3</w:t>
            </w:r>
          </w:p>
        </w:tc>
        <w:tc>
          <w:tcPr>
            <w:tcW w:w="656" w:type="pct"/>
            <w:tcBorders>
              <w:top w:val="nil"/>
              <w:left w:val="nil"/>
              <w:bottom w:val="nil"/>
              <w:right w:val="nil"/>
            </w:tcBorders>
            <w:vAlign w:val="center"/>
          </w:tcPr>
          <w:p w14:paraId="4D7F60B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18.4±1.2</w:t>
            </w:r>
          </w:p>
        </w:tc>
      </w:tr>
      <w:tr w14:paraId="438945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7BD4C65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HLK-winter</w:t>
            </w:r>
          </w:p>
        </w:tc>
        <w:tc>
          <w:tcPr>
            <w:tcW w:w="566" w:type="pct"/>
            <w:tcBorders>
              <w:top w:val="nil"/>
              <w:left w:val="nil"/>
              <w:bottom w:val="nil"/>
              <w:right w:val="nil"/>
            </w:tcBorders>
            <w:vAlign w:val="center"/>
          </w:tcPr>
          <w:p w14:paraId="2CC9DA8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11.68±0.63</w:t>
            </w:r>
          </w:p>
        </w:tc>
        <w:tc>
          <w:tcPr>
            <w:tcW w:w="589" w:type="pct"/>
            <w:tcBorders>
              <w:top w:val="nil"/>
              <w:left w:val="nil"/>
              <w:bottom w:val="nil"/>
              <w:right w:val="nil"/>
            </w:tcBorders>
            <w:vAlign w:val="center"/>
          </w:tcPr>
          <w:p w14:paraId="56D0A47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1.65±0.02</w:t>
            </w:r>
          </w:p>
        </w:tc>
        <w:tc>
          <w:tcPr>
            <w:tcW w:w="578" w:type="pct"/>
            <w:tcBorders>
              <w:top w:val="nil"/>
              <w:left w:val="nil"/>
              <w:bottom w:val="nil"/>
              <w:right w:val="nil"/>
            </w:tcBorders>
            <w:vAlign w:val="center"/>
          </w:tcPr>
          <w:p w14:paraId="1D41362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0.81±0.03</w:t>
            </w:r>
          </w:p>
        </w:tc>
        <w:tc>
          <w:tcPr>
            <w:tcW w:w="615" w:type="pct"/>
            <w:tcBorders>
              <w:top w:val="nil"/>
              <w:left w:val="nil"/>
              <w:bottom w:val="nil"/>
              <w:right w:val="nil"/>
            </w:tcBorders>
            <w:vAlign w:val="center"/>
          </w:tcPr>
          <w:p w14:paraId="69C74B5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0.77±0.02</w:t>
            </w:r>
          </w:p>
        </w:tc>
        <w:tc>
          <w:tcPr>
            <w:tcW w:w="597" w:type="pct"/>
            <w:tcBorders>
              <w:top w:val="nil"/>
              <w:left w:val="nil"/>
              <w:bottom w:val="nil"/>
              <w:right w:val="nil"/>
            </w:tcBorders>
            <w:vAlign w:val="center"/>
          </w:tcPr>
          <w:p w14:paraId="1DA2F66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52.3±1.8</w:t>
            </w:r>
          </w:p>
        </w:tc>
        <w:tc>
          <w:tcPr>
            <w:tcW w:w="671" w:type="pct"/>
            <w:tcBorders>
              <w:top w:val="nil"/>
              <w:left w:val="nil"/>
              <w:bottom w:val="nil"/>
              <w:right w:val="nil"/>
            </w:tcBorders>
            <w:vAlign w:val="center"/>
          </w:tcPr>
          <w:p w14:paraId="0FD4333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28.5±0.3</w:t>
            </w:r>
          </w:p>
        </w:tc>
        <w:tc>
          <w:tcPr>
            <w:tcW w:w="656" w:type="pct"/>
            <w:tcBorders>
              <w:top w:val="nil"/>
              <w:left w:val="nil"/>
              <w:bottom w:val="nil"/>
              <w:right w:val="nil"/>
            </w:tcBorders>
            <w:vAlign w:val="center"/>
          </w:tcPr>
          <w:p w14:paraId="5ABDEF1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19.2±1.6</w:t>
            </w:r>
          </w:p>
        </w:tc>
      </w:tr>
      <w:tr w14:paraId="7CAC22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043A4AA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ZL-summer</w:t>
            </w:r>
          </w:p>
        </w:tc>
        <w:tc>
          <w:tcPr>
            <w:tcW w:w="566" w:type="pct"/>
            <w:tcBorders>
              <w:top w:val="nil"/>
              <w:left w:val="nil"/>
              <w:bottom w:val="nil"/>
              <w:right w:val="nil"/>
            </w:tcBorders>
            <w:vAlign w:val="center"/>
          </w:tcPr>
          <w:p w14:paraId="4B4EEED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5.54±0.11</w:t>
            </w:r>
          </w:p>
        </w:tc>
        <w:tc>
          <w:tcPr>
            <w:tcW w:w="589" w:type="pct"/>
            <w:tcBorders>
              <w:top w:val="nil"/>
              <w:left w:val="nil"/>
              <w:bottom w:val="nil"/>
              <w:right w:val="nil"/>
            </w:tcBorders>
            <w:vAlign w:val="center"/>
          </w:tcPr>
          <w:p w14:paraId="2E2E7A5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1.66±0.03</w:t>
            </w:r>
          </w:p>
        </w:tc>
        <w:tc>
          <w:tcPr>
            <w:tcW w:w="578" w:type="pct"/>
            <w:tcBorders>
              <w:top w:val="nil"/>
              <w:left w:val="nil"/>
              <w:bottom w:val="nil"/>
              <w:right w:val="nil"/>
            </w:tcBorders>
            <w:vAlign w:val="center"/>
          </w:tcPr>
          <w:p w14:paraId="48181E3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0.93±0.01</w:t>
            </w:r>
          </w:p>
        </w:tc>
        <w:tc>
          <w:tcPr>
            <w:tcW w:w="615" w:type="pct"/>
            <w:tcBorders>
              <w:top w:val="nil"/>
              <w:left w:val="nil"/>
              <w:bottom w:val="nil"/>
              <w:right w:val="nil"/>
            </w:tcBorders>
            <w:vAlign w:val="center"/>
          </w:tcPr>
          <w:p w14:paraId="604C102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0.67±0.02</w:t>
            </w:r>
          </w:p>
        </w:tc>
        <w:tc>
          <w:tcPr>
            <w:tcW w:w="597" w:type="pct"/>
            <w:tcBorders>
              <w:top w:val="nil"/>
              <w:left w:val="nil"/>
              <w:bottom w:val="nil"/>
              <w:right w:val="nil"/>
            </w:tcBorders>
            <w:vAlign w:val="center"/>
          </w:tcPr>
          <w:p w14:paraId="6115734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33.8±3.3</w:t>
            </w:r>
          </w:p>
        </w:tc>
        <w:tc>
          <w:tcPr>
            <w:tcW w:w="671" w:type="pct"/>
            <w:tcBorders>
              <w:top w:val="nil"/>
              <w:left w:val="nil"/>
              <w:bottom w:val="nil"/>
              <w:right w:val="nil"/>
            </w:tcBorders>
            <w:vAlign w:val="center"/>
          </w:tcPr>
          <w:p w14:paraId="0EF437F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16.8±1.5</w:t>
            </w:r>
          </w:p>
        </w:tc>
        <w:tc>
          <w:tcPr>
            <w:tcW w:w="656" w:type="pct"/>
            <w:tcBorders>
              <w:top w:val="nil"/>
              <w:left w:val="nil"/>
              <w:bottom w:val="nil"/>
              <w:right w:val="nil"/>
            </w:tcBorders>
            <w:vAlign w:val="center"/>
          </w:tcPr>
          <w:p w14:paraId="4A14026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49.4±4.8</w:t>
            </w:r>
          </w:p>
        </w:tc>
      </w:tr>
      <w:tr w14:paraId="421A23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72B6307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ZL-winter</w:t>
            </w:r>
          </w:p>
        </w:tc>
        <w:tc>
          <w:tcPr>
            <w:tcW w:w="566" w:type="pct"/>
            <w:tcBorders>
              <w:top w:val="nil"/>
              <w:left w:val="nil"/>
              <w:bottom w:val="nil"/>
              <w:right w:val="nil"/>
            </w:tcBorders>
            <w:vAlign w:val="center"/>
          </w:tcPr>
          <w:p w14:paraId="526F57A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2.24±0.32</w:t>
            </w:r>
          </w:p>
        </w:tc>
        <w:tc>
          <w:tcPr>
            <w:tcW w:w="589" w:type="pct"/>
            <w:tcBorders>
              <w:top w:val="nil"/>
              <w:left w:val="nil"/>
              <w:bottom w:val="nil"/>
              <w:right w:val="nil"/>
            </w:tcBorders>
            <w:vAlign w:val="center"/>
          </w:tcPr>
          <w:p w14:paraId="14832BB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1.72±0.06</w:t>
            </w:r>
          </w:p>
        </w:tc>
        <w:tc>
          <w:tcPr>
            <w:tcW w:w="578" w:type="pct"/>
            <w:tcBorders>
              <w:top w:val="nil"/>
              <w:left w:val="nil"/>
              <w:bottom w:val="nil"/>
              <w:right w:val="nil"/>
            </w:tcBorders>
            <w:vAlign w:val="center"/>
          </w:tcPr>
          <w:p w14:paraId="0731CBB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0.93±0.21</w:t>
            </w:r>
          </w:p>
        </w:tc>
        <w:tc>
          <w:tcPr>
            <w:tcW w:w="615" w:type="pct"/>
            <w:tcBorders>
              <w:top w:val="nil"/>
              <w:left w:val="nil"/>
              <w:bottom w:val="nil"/>
              <w:right w:val="nil"/>
            </w:tcBorders>
            <w:vAlign w:val="center"/>
          </w:tcPr>
          <w:p w14:paraId="1C615EC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0.69±0.06</w:t>
            </w:r>
          </w:p>
        </w:tc>
        <w:tc>
          <w:tcPr>
            <w:tcW w:w="597" w:type="pct"/>
            <w:tcBorders>
              <w:top w:val="nil"/>
              <w:left w:val="nil"/>
              <w:bottom w:val="nil"/>
              <w:right w:val="nil"/>
            </w:tcBorders>
            <w:vAlign w:val="center"/>
          </w:tcPr>
          <w:p w14:paraId="5E7E120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36.0±3.0</w:t>
            </w:r>
          </w:p>
        </w:tc>
        <w:tc>
          <w:tcPr>
            <w:tcW w:w="671" w:type="pct"/>
            <w:tcBorders>
              <w:top w:val="nil"/>
              <w:left w:val="nil"/>
              <w:bottom w:val="nil"/>
              <w:right w:val="nil"/>
            </w:tcBorders>
            <w:vAlign w:val="center"/>
          </w:tcPr>
          <w:p w14:paraId="258725B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17.6±3.2</w:t>
            </w:r>
          </w:p>
        </w:tc>
        <w:tc>
          <w:tcPr>
            <w:tcW w:w="656" w:type="pct"/>
            <w:tcBorders>
              <w:top w:val="nil"/>
              <w:left w:val="nil"/>
              <w:bottom w:val="nil"/>
              <w:right w:val="nil"/>
            </w:tcBorders>
            <w:vAlign w:val="center"/>
          </w:tcPr>
          <w:p w14:paraId="4CBE784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46.3±4.0</w:t>
            </w:r>
          </w:p>
        </w:tc>
      </w:tr>
      <w:tr w14:paraId="42C03A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7FC6283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DJK-summer</w:t>
            </w:r>
          </w:p>
        </w:tc>
        <w:tc>
          <w:tcPr>
            <w:tcW w:w="566" w:type="pct"/>
            <w:tcBorders>
              <w:top w:val="nil"/>
              <w:left w:val="nil"/>
              <w:bottom w:val="nil"/>
              <w:right w:val="nil"/>
            </w:tcBorders>
            <w:vAlign w:val="center"/>
          </w:tcPr>
          <w:p w14:paraId="700165A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6.39±0.06</w:t>
            </w:r>
          </w:p>
        </w:tc>
        <w:tc>
          <w:tcPr>
            <w:tcW w:w="589" w:type="pct"/>
            <w:tcBorders>
              <w:top w:val="nil"/>
              <w:left w:val="nil"/>
              <w:bottom w:val="nil"/>
              <w:right w:val="nil"/>
            </w:tcBorders>
            <w:vAlign w:val="center"/>
          </w:tcPr>
          <w:p w14:paraId="00A6716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1.60±0.05</w:t>
            </w:r>
          </w:p>
        </w:tc>
        <w:tc>
          <w:tcPr>
            <w:tcW w:w="578" w:type="pct"/>
            <w:tcBorders>
              <w:top w:val="nil"/>
              <w:left w:val="nil"/>
              <w:bottom w:val="nil"/>
              <w:right w:val="nil"/>
            </w:tcBorders>
            <w:vAlign w:val="center"/>
          </w:tcPr>
          <w:p w14:paraId="0C58F78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0.88±0.02</w:t>
            </w:r>
          </w:p>
        </w:tc>
        <w:tc>
          <w:tcPr>
            <w:tcW w:w="615" w:type="pct"/>
            <w:tcBorders>
              <w:top w:val="nil"/>
              <w:left w:val="nil"/>
              <w:bottom w:val="nil"/>
              <w:right w:val="nil"/>
            </w:tcBorders>
            <w:vAlign w:val="center"/>
          </w:tcPr>
          <w:p w14:paraId="4C1D971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0.81±0.05</w:t>
            </w:r>
          </w:p>
        </w:tc>
        <w:tc>
          <w:tcPr>
            <w:tcW w:w="597" w:type="pct"/>
            <w:tcBorders>
              <w:top w:val="nil"/>
              <w:left w:val="nil"/>
              <w:bottom w:val="nil"/>
              <w:right w:val="nil"/>
            </w:tcBorders>
            <w:vAlign w:val="center"/>
          </w:tcPr>
          <w:p w14:paraId="263B366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55.7±3.2</w:t>
            </w:r>
          </w:p>
        </w:tc>
        <w:tc>
          <w:tcPr>
            <w:tcW w:w="671" w:type="pct"/>
            <w:tcBorders>
              <w:top w:val="nil"/>
              <w:left w:val="nil"/>
              <w:bottom w:val="nil"/>
              <w:right w:val="nil"/>
            </w:tcBorders>
            <w:vAlign w:val="center"/>
          </w:tcPr>
          <w:p w14:paraId="48A2B6C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25.3±2.7</w:t>
            </w:r>
          </w:p>
        </w:tc>
        <w:tc>
          <w:tcPr>
            <w:tcW w:w="656" w:type="pct"/>
            <w:tcBorders>
              <w:top w:val="nil"/>
              <w:left w:val="nil"/>
              <w:bottom w:val="nil"/>
              <w:right w:val="nil"/>
            </w:tcBorders>
            <w:vAlign w:val="center"/>
          </w:tcPr>
          <w:p w14:paraId="254AD45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19.0±5.8</w:t>
            </w:r>
          </w:p>
        </w:tc>
      </w:tr>
      <w:tr w14:paraId="140C04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638E9CB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DJK-winter</w:t>
            </w:r>
          </w:p>
        </w:tc>
        <w:tc>
          <w:tcPr>
            <w:tcW w:w="566" w:type="pct"/>
            <w:tcBorders>
              <w:top w:val="nil"/>
              <w:left w:val="nil"/>
              <w:bottom w:val="nil"/>
              <w:right w:val="nil"/>
            </w:tcBorders>
            <w:vAlign w:val="center"/>
          </w:tcPr>
          <w:p w14:paraId="711E59D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4.00±0.34</w:t>
            </w:r>
          </w:p>
        </w:tc>
        <w:tc>
          <w:tcPr>
            <w:tcW w:w="589" w:type="pct"/>
            <w:tcBorders>
              <w:top w:val="nil"/>
              <w:left w:val="nil"/>
              <w:bottom w:val="nil"/>
              <w:right w:val="nil"/>
            </w:tcBorders>
            <w:vAlign w:val="center"/>
          </w:tcPr>
          <w:p w14:paraId="34696CA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1.64±0.03</w:t>
            </w:r>
          </w:p>
        </w:tc>
        <w:tc>
          <w:tcPr>
            <w:tcW w:w="578" w:type="pct"/>
            <w:tcBorders>
              <w:top w:val="nil"/>
              <w:left w:val="nil"/>
              <w:bottom w:val="nil"/>
              <w:right w:val="nil"/>
            </w:tcBorders>
            <w:vAlign w:val="center"/>
          </w:tcPr>
          <w:p w14:paraId="4B7999D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0.87±0.05</w:t>
            </w:r>
          </w:p>
        </w:tc>
        <w:tc>
          <w:tcPr>
            <w:tcW w:w="615" w:type="pct"/>
            <w:tcBorders>
              <w:top w:val="nil"/>
              <w:left w:val="nil"/>
              <w:bottom w:val="nil"/>
              <w:right w:val="nil"/>
            </w:tcBorders>
            <w:vAlign w:val="center"/>
          </w:tcPr>
          <w:p w14:paraId="130F5A7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0.80±0.04</w:t>
            </w:r>
          </w:p>
        </w:tc>
        <w:tc>
          <w:tcPr>
            <w:tcW w:w="597" w:type="pct"/>
            <w:tcBorders>
              <w:top w:val="nil"/>
              <w:left w:val="nil"/>
              <w:bottom w:val="nil"/>
              <w:right w:val="nil"/>
            </w:tcBorders>
            <w:vAlign w:val="center"/>
          </w:tcPr>
          <w:p w14:paraId="4F0D87A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54.7±1.7</w:t>
            </w:r>
          </w:p>
        </w:tc>
        <w:tc>
          <w:tcPr>
            <w:tcW w:w="671" w:type="pct"/>
            <w:tcBorders>
              <w:top w:val="nil"/>
              <w:left w:val="nil"/>
              <w:bottom w:val="nil"/>
              <w:right w:val="nil"/>
            </w:tcBorders>
            <w:vAlign w:val="center"/>
          </w:tcPr>
          <w:p w14:paraId="5518F88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29.5±0.8</w:t>
            </w:r>
          </w:p>
        </w:tc>
        <w:tc>
          <w:tcPr>
            <w:tcW w:w="656" w:type="pct"/>
            <w:tcBorders>
              <w:top w:val="nil"/>
              <w:left w:val="nil"/>
              <w:bottom w:val="nil"/>
              <w:right w:val="nil"/>
            </w:tcBorders>
            <w:vAlign w:val="center"/>
          </w:tcPr>
          <w:p w14:paraId="3A02AF4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15.8±1.8</w:t>
            </w:r>
          </w:p>
        </w:tc>
      </w:tr>
      <w:tr w14:paraId="03F6C6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2C16639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SH-summer</w:t>
            </w:r>
          </w:p>
        </w:tc>
        <w:tc>
          <w:tcPr>
            <w:tcW w:w="566" w:type="pct"/>
            <w:tcBorders>
              <w:top w:val="nil"/>
              <w:left w:val="nil"/>
              <w:bottom w:val="nil"/>
              <w:right w:val="nil"/>
            </w:tcBorders>
            <w:vAlign w:val="center"/>
          </w:tcPr>
          <w:p w14:paraId="71F6982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9.99±0.91</w:t>
            </w:r>
          </w:p>
        </w:tc>
        <w:tc>
          <w:tcPr>
            <w:tcW w:w="589" w:type="pct"/>
            <w:tcBorders>
              <w:top w:val="nil"/>
              <w:left w:val="nil"/>
              <w:bottom w:val="nil"/>
              <w:right w:val="nil"/>
            </w:tcBorders>
            <w:vAlign w:val="center"/>
          </w:tcPr>
          <w:p w14:paraId="1C38E2C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1.60±0.03</w:t>
            </w:r>
          </w:p>
        </w:tc>
        <w:tc>
          <w:tcPr>
            <w:tcW w:w="578" w:type="pct"/>
            <w:tcBorders>
              <w:top w:val="nil"/>
              <w:left w:val="nil"/>
              <w:bottom w:val="nil"/>
              <w:right w:val="nil"/>
            </w:tcBorders>
            <w:vAlign w:val="center"/>
          </w:tcPr>
          <w:p w14:paraId="4D60731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0.85±0.02</w:t>
            </w:r>
          </w:p>
        </w:tc>
        <w:tc>
          <w:tcPr>
            <w:tcW w:w="615" w:type="pct"/>
            <w:tcBorders>
              <w:top w:val="nil"/>
              <w:left w:val="nil"/>
              <w:bottom w:val="nil"/>
              <w:right w:val="nil"/>
            </w:tcBorders>
            <w:vAlign w:val="center"/>
          </w:tcPr>
          <w:p w14:paraId="082CE75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0.80±0.04</w:t>
            </w:r>
          </w:p>
        </w:tc>
        <w:tc>
          <w:tcPr>
            <w:tcW w:w="597" w:type="pct"/>
            <w:tcBorders>
              <w:top w:val="nil"/>
              <w:left w:val="nil"/>
              <w:bottom w:val="nil"/>
              <w:right w:val="nil"/>
            </w:tcBorders>
            <w:vAlign w:val="center"/>
          </w:tcPr>
          <w:p w14:paraId="3DB2E8B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51.1±4.7</w:t>
            </w:r>
          </w:p>
        </w:tc>
        <w:tc>
          <w:tcPr>
            <w:tcW w:w="671" w:type="pct"/>
            <w:tcBorders>
              <w:top w:val="nil"/>
              <w:left w:val="nil"/>
              <w:bottom w:val="nil"/>
              <w:right w:val="nil"/>
            </w:tcBorders>
            <w:vAlign w:val="center"/>
          </w:tcPr>
          <w:p w14:paraId="1396899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24.6±2.2</w:t>
            </w:r>
          </w:p>
        </w:tc>
        <w:tc>
          <w:tcPr>
            <w:tcW w:w="656" w:type="pct"/>
            <w:tcBorders>
              <w:top w:val="nil"/>
              <w:left w:val="nil"/>
              <w:bottom w:val="nil"/>
              <w:right w:val="nil"/>
            </w:tcBorders>
            <w:vAlign w:val="center"/>
          </w:tcPr>
          <w:p w14:paraId="1129999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24.4±7.0</w:t>
            </w:r>
          </w:p>
        </w:tc>
      </w:tr>
      <w:tr w14:paraId="5E6598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2D1C566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SH-winter</w:t>
            </w:r>
          </w:p>
        </w:tc>
        <w:tc>
          <w:tcPr>
            <w:tcW w:w="566" w:type="pct"/>
            <w:tcBorders>
              <w:top w:val="nil"/>
              <w:left w:val="nil"/>
              <w:bottom w:val="nil"/>
              <w:right w:val="nil"/>
            </w:tcBorders>
            <w:vAlign w:val="center"/>
          </w:tcPr>
          <w:p w14:paraId="332C7D66">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3.44±0.21</w:t>
            </w:r>
          </w:p>
        </w:tc>
        <w:tc>
          <w:tcPr>
            <w:tcW w:w="589" w:type="pct"/>
            <w:tcBorders>
              <w:top w:val="nil"/>
              <w:left w:val="nil"/>
              <w:bottom w:val="nil"/>
              <w:right w:val="nil"/>
            </w:tcBorders>
            <w:vAlign w:val="center"/>
          </w:tcPr>
          <w:p w14:paraId="4CD377D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1.68±0.01</w:t>
            </w:r>
          </w:p>
        </w:tc>
        <w:tc>
          <w:tcPr>
            <w:tcW w:w="578" w:type="pct"/>
            <w:tcBorders>
              <w:top w:val="nil"/>
              <w:left w:val="nil"/>
              <w:bottom w:val="nil"/>
              <w:right w:val="nil"/>
            </w:tcBorders>
            <w:vAlign w:val="center"/>
          </w:tcPr>
          <w:p w14:paraId="67A8448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1.02±0.10</w:t>
            </w:r>
          </w:p>
        </w:tc>
        <w:tc>
          <w:tcPr>
            <w:tcW w:w="615" w:type="pct"/>
            <w:tcBorders>
              <w:top w:val="nil"/>
              <w:left w:val="nil"/>
              <w:bottom w:val="nil"/>
              <w:right w:val="nil"/>
            </w:tcBorders>
            <w:vAlign w:val="center"/>
          </w:tcPr>
          <w:p w14:paraId="3D5999F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0.69±0.02</w:t>
            </w:r>
          </w:p>
        </w:tc>
        <w:tc>
          <w:tcPr>
            <w:tcW w:w="597" w:type="pct"/>
            <w:tcBorders>
              <w:top w:val="nil"/>
              <w:left w:val="nil"/>
              <w:bottom w:val="nil"/>
              <w:right w:val="nil"/>
            </w:tcBorders>
            <w:vAlign w:val="center"/>
          </w:tcPr>
          <w:p w14:paraId="3174E8B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41.6±1.0</w:t>
            </w:r>
          </w:p>
        </w:tc>
        <w:tc>
          <w:tcPr>
            <w:tcW w:w="671" w:type="pct"/>
            <w:tcBorders>
              <w:top w:val="nil"/>
              <w:left w:val="nil"/>
              <w:bottom w:val="nil"/>
              <w:right w:val="nil"/>
            </w:tcBorders>
            <w:vAlign w:val="center"/>
          </w:tcPr>
          <w:p w14:paraId="6D1130C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18.3±1.0</w:t>
            </w:r>
          </w:p>
        </w:tc>
        <w:tc>
          <w:tcPr>
            <w:tcW w:w="656" w:type="pct"/>
            <w:tcBorders>
              <w:top w:val="nil"/>
              <w:left w:val="nil"/>
              <w:bottom w:val="nil"/>
              <w:right w:val="nil"/>
            </w:tcBorders>
            <w:vAlign w:val="center"/>
          </w:tcPr>
          <w:p w14:paraId="4788991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40.0±1.4</w:t>
            </w:r>
          </w:p>
        </w:tc>
      </w:tr>
      <w:tr w14:paraId="15279F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7A930A8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BH-summer</w:t>
            </w:r>
          </w:p>
        </w:tc>
        <w:tc>
          <w:tcPr>
            <w:tcW w:w="566" w:type="pct"/>
            <w:tcBorders>
              <w:top w:val="nil"/>
              <w:left w:val="nil"/>
              <w:bottom w:val="nil"/>
              <w:right w:val="nil"/>
            </w:tcBorders>
            <w:vAlign w:val="center"/>
          </w:tcPr>
          <w:p w14:paraId="7608396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12.77±1.13</w:t>
            </w:r>
          </w:p>
        </w:tc>
        <w:tc>
          <w:tcPr>
            <w:tcW w:w="589" w:type="pct"/>
            <w:tcBorders>
              <w:top w:val="nil"/>
              <w:left w:val="nil"/>
              <w:bottom w:val="nil"/>
              <w:right w:val="nil"/>
            </w:tcBorders>
            <w:vAlign w:val="center"/>
          </w:tcPr>
          <w:p w14:paraId="348F2C90">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1.74±0.04</w:t>
            </w:r>
          </w:p>
        </w:tc>
        <w:tc>
          <w:tcPr>
            <w:tcW w:w="578" w:type="pct"/>
            <w:tcBorders>
              <w:top w:val="nil"/>
              <w:left w:val="nil"/>
              <w:bottom w:val="nil"/>
              <w:right w:val="nil"/>
            </w:tcBorders>
            <w:vAlign w:val="center"/>
          </w:tcPr>
          <w:p w14:paraId="73AD6BC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0.97±0.00</w:t>
            </w:r>
          </w:p>
        </w:tc>
        <w:tc>
          <w:tcPr>
            <w:tcW w:w="615" w:type="pct"/>
            <w:tcBorders>
              <w:top w:val="nil"/>
              <w:left w:val="nil"/>
              <w:bottom w:val="nil"/>
              <w:right w:val="nil"/>
            </w:tcBorders>
            <w:vAlign w:val="center"/>
          </w:tcPr>
          <w:p w14:paraId="5F0D68F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0.72±0.05</w:t>
            </w:r>
          </w:p>
        </w:tc>
        <w:tc>
          <w:tcPr>
            <w:tcW w:w="597" w:type="pct"/>
            <w:tcBorders>
              <w:top w:val="nil"/>
              <w:left w:val="nil"/>
              <w:bottom w:val="nil"/>
              <w:right w:val="nil"/>
            </w:tcBorders>
            <w:vAlign w:val="center"/>
          </w:tcPr>
          <w:p w14:paraId="2081CA1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45.6±5.2</w:t>
            </w:r>
          </w:p>
        </w:tc>
        <w:tc>
          <w:tcPr>
            <w:tcW w:w="671" w:type="pct"/>
            <w:tcBorders>
              <w:top w:val="nil"/>
              <w:left w:val="nil"/>
              <w:bottom w:val="nil"/>
              <w:right w:val="nil"/>
            </w:tcBorders>
            <w:vAlign w:val="center"/>
          </w:tcPr>
          <w:p w14:paraId="2E32AAD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20.6±2.8</w:t>
            </w:r>
          </w:p>
        </w:tc>
        <w:tc>
          <w:tcPr>
            <w:tcW w:w="656" w:type="pct"/>
            <w:tcBorders>
              <w:top w:val="nil"/>
              <w:left w:val="nil"/>
              <w:bottom w:val="nil"/>
              <w:right w:val="nil"/>
            </w:tcBorders>
            <w:vAlign w:val="center"/>
          </w:tcPr>
          <w:p w14:paraId="68D02BA7">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33.8±8.1</w:t>
            </w:r>
          </w:p>
        </w:tc>
      </w:tr>
      <w:tr w14:paraId="7CAA0B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2C0D997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BH-winter</w:t>
            </w:r>
          </w:p>
        </w:tc>
        <w:tc>
          <w:tcPr>
            <w:tcW w:w="566" w:type="pct"/>
            <w:tcBorders>
              <w:top w:val="nil"/>
              <w:left w:val="nil"/>
              <w:bottom w:val="nil"/>
              <w:right w:val="nil"/>
            </w:tcBorders>
            <w:vAlign w:val="center"/>
          </w:tcPr>
          <w:p w14:paraId="20C4C7EA">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5.02±0.36</w:t>
            </w:r>
          </w:p>
        </w:tc>
        <w:tc>
          <w:tcPr>
            <w:tcW w:w="589" w:type="pct"/>
            <w:tcBorders>
              <w:top w:val="nil"/>
              <w:left w:val="nil"/>
              <w:bottom w:val="nil"/>
              <w:right w:val="nil"/>
            </w:tcBorders>
            <w:vAlign w:val="center"/>
          </w:tcPr>
          <w:p w14:paraId="38362E81">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1.89±0.04</w:t>
            </w:r>
          </w:p>
        </w:tc>
        <w:tc>
          <w:tcPr>
            <w:tcW w:w="578" w:type="pct"/>
            <w:tcBorders>
              <w:top w:val="nil"/>
              <w:left w:val="nil"/>
              <w:bottom w:val="nil"/>
              <w:right w:val="nil"/>
            </w:tcBorders>
            <w:vAlign w:val="center"/>
          </w:tcPr>
          <w:p w14:paraId="11A2E42E">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0.88±0.01</w:t>
            </w:r>
          </w:p>
        </w:tc>
        <w:tc>
          <w:tcPr>
            <w:tcW w:w="615" w:type="pct"/>
            <w:tcBorders>
              <w:top w:val="nil"/>
              <w:left w:val="nil"/>
              <w:bottom w:val="nil"/>
              <w:right w:val="nil"/>
            </w:tcBorders>
            <w:vAlign w:val="center"/>
          </w:tcPr>
          <w:p w14:paraId="31187FF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0.75±0.01</w:t>
            </w:r>
          </w:p>
        </w:tc>
        <w:tc>
          <w:tcPr>
            <w:tcW w:w="597" w:type="pct"/>
            <w:tcBorders>
              <w:top w:val="nil"/>
              <w:left w:val="nil"/>
              <w:bottom w:val="nil"/>
              <w:right w:val="nil"/>
            </w:tcBorders>
            <w:vAlign w:val="center"/>
          </w:tcPr>
          <w:p w14:paraId="13F21CF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45.1±1.9</w:t>
            </w:r>
          </w:p>
        </w:tc>
        <w:tc>
          <w:tcPr>
            <w:tcW w:w="671" w:type="pct"/>
            <w:tcBorders>
              <w:top w:val="nil"/>
              <w:left w:val="nil"/>
              <w:bottom w:val="nil"/>
              <w:right w:val="nil"/>
            </w:tcBorders>
            <w:vAlign w:val="center"/>
          </w:tcPr>
          <w:p w14:paraId="4A4E21B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25.0±1.2</w:t>
            </w:r>
          </w:p>
        </w:tc>
        <w:tc>
          <w:tcPr>
            <w:tcW w:w="656" w:type="pct"/>
            <w:tcBorders>
              <w:top w:val="nil"/>
              <w:left w:val="nil"/>
              <w:bottom w:val="nil"/>
              <w:right w:val="nil"/>
            </w:tcBorders>
            <w:vAlign w:val="center"/>
          </w:tcPr>
          <w:p w14:paraId="326F8E1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29.9±2.4</w:t>
            </w:r>
          </w:p>
        </w:tc>
      </w:tr>
      <w:tr w14:paraId="5F330D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nil"/>
              <w:right w:val="nil"/>
            </w:tcBorders>
            <w:vAlign w:val="center"/>
          </w:tcPr>
          <w:p w14:paraId="22805CBF">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YT-summer</w:t>
            </w:r>
          </w:p>
        </w:tc>
        <w:tc>
          <w:tcPr>
            <w:tcW w:w="566" w:type="pct"/>
            <w:tcBorders>
              <w:top w:val="nil"/>
              <w:left w:val="nil"/>
              <w:bottom w:val="nil"/>
              <w:right w:val="nil"/>
            </w:tcBorders>
            <w:vAlign w:val="center"/>
          </w:tcPr>
          <w:p w14:paraId="3172C1D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16.21±0.63</w:t>
            </w:r>
          </w:p>
        </w:tc>
        <w:tc>
          <w:tcPr>
            <w:tcW w:w="589" w:type="pct"/>
            <w:tcBorders>
              <w:top w:val="nil"/>
              <w:left w:val="nil"/>
              <w:bottom w:val="nil"/>
              <w:right w:val="nil"/>
            </w:tcBorders>
            <w:vAlign w:val="center"/>
          </w:tcPr>
          <w:p w14:paraId="1A83F0C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1.72±0.01</w:t>
            </w:r>
          </w:p>
        </w:tc>
        <w:tc>
          <w:tcPr>
            <w:tcW w:w="578" w:type="pct"/>
            <w:tcBorders>
              <w:top w:val="nil"/>
              <w:left w:val="nil"/>
              <w:bottom w:val="nil"/>
              <w:right w:val="nil"/>
            </w:tcBorders>
            <w:vAlign w:val="center"/>
          </w:tcPr>
          <w:p w14:paraId="52B91D05">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0.93±0.02</w:t>
            </w:r>
          </w:p>
        </w:tc>
        <w:tc>
          <w:tcPr>
            <w:tcW w:w="615" w:type="pct"/>
            <w:tcBorders>
              <w:top w:val="nil"/>
              <w:left w:val="nil"/>
              <w:bottom w:val="nil"/>
              <w:right w:val="nil"/>
            </w:tcBorders>
            <w:vAlign w:val="center"/>
          </w:tcPr>
          <w:p w14:paraId="229B2608">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0.79±0.02</w:t>
            </w:r>
          </w:p>
        </w:tc>
        <w:tc>
          <w:tcPr>
            <w:tcW w:w="597" w:type="pct"/>
            <w:tcBorders>
              <w:top w:val="nil"/>
              <w:left w:val="nil"/>
              <w:bottom w:val="nil"/>
              <w:right w:val="nil"/>
            </w:tcBorders>
            <w:vAlign w:val="center"/>
          </w:tcPr>
          <w:p w14:paraId="350EB2E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55.4±2.6</w:t>
            </w:r>
          </w:p>
        </w:tc>
        <w:tc>
          <w:tcPr>
            <w:tcW w:w="671" w:type="pct"/>
            <w:tcBorders>
              <w:top w:val="nil"/>
              <w:left w:val="nil"/>
              <w:bottom w:val="nil"/>
              <w:right w:val="nil"/>
            </w:tcBorders>
            <w:vAlign w:val="center"/>
          </w:tcPr>
          <w:p w14:paraId="0FF167DD">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24.0±0.8</w:t>
            </w:r>
          </w:p>
        </w:tc>
        <w:tc>
          <w:tcPr>
            <w:tcW w:w="656" w:type="pct"/>
            <w:tcBorders>
              <w:top w:val="nil"/>
              <w:left w:val="nil"/>
              <w:bottom w:val="nil"/>
              <w:right w:val="nil"/>
            </w:tcBorders>
            <w:vAlign w:val="center"/>
          </w:tcPr>
          <w:p w14:paraId="3B2A4202">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20.6±3.4</w:t>
            </w:r>
          </w:p>
        </w:tc>
      </w:tr>
      <w:tr w14:paraId="6975A6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727" w:type="pct"/>
            <w:tcBorders>
              <w:top w:val="nil"/>
              <w:left w:val="nil"/>
              <w:bottom w:val="single" w:color="auto" w:sz="12" w:space="0"/>
              <w:right w:val="nil"/>
            </w:tcBorders>
            <w:vAlign w:val="center"/>
          </w:tcPr>
          <w:p w14:paraId="44982D53">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YT-winter</w:t>
            </w:r>
          </w:p>
        </w:tc>
        <w:tc>
          <w:tcPr>
            <w:tcW w:w="566" w:type="pct"/>
            <w:tcBorders>
              <w:top w:val="nil"/>
              <w:left w:val="nil"/>
              <w:bottom w:val="single" w:color="auto" w:sz="12" w:space="0"/>
              <w:right w:val="nil"/>
            </w:tcBorders>
            <w:vAlign w:val="center"/>
          </w:tcPr>
          <w:p w14:paraId="1D0FB19B">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11.05±0.14</w:t>
            </w:r>
          </w:p>
        </w:tc>
        <w:tc>
          <w:tcPr>
            <w:tcW w:w="589" w:type="pct"/>
            <w:tcBorders>
              <w:top w:val="nil"/>
              <w:left w:val="nil"/>
              <w:bottom w:val="single" w:color="auto" w:sz="12" w:space="0"/>
              <w:right w:val="nil"/>
            </w:tcBorders>
            <w:vAlign w:val="center"/>
          </w:tcPr>
          <w:p w14:paraId="7E1D42B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1.72±0.03</w:t>
            </w:r>
          </w:p>
        </w:tc>
        <w:tc>
          <w:tcPr>
            <w:tcW w:w="578" w:type="pct"/>
            <w:tcBorders>
              <w:top w:val="nil"/>
              <w:left w:val="nil"/>
              <w:bottom w:val="single" w:color="auto" w:sz="12" w:space="0"/>
              <w:right w:val="nil"/>
            </w:tcBorders>
            <w:vAlign w:val="center"/>
          </w:tcPr>
          <w:p w14:paraId="4395B4F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0.90±0.02</w:t>
            </w:r>
          </w:p>
        </w:tc>
        <w:tc>
          <w:tcPr>
            <w:tcW w:w="615" w:type="pct"/>
            <w:tcBorders>
              <w:top w:val="nil"/>
              <w:left w:val="nil"/>
              <w:bottom w:val="single" w:color="auto" w:sz="12" w:space="0"/>
              <w:right w:val="nil"/>
            </w:tcBorders>
            <w:vAlign w:val="center"/>
          </w:tcPr>
          <w:p w14:paraId="614CF21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0.75±0.02</w:t>
            </w:r>
          </w:p>
        </w:tc>
        <w:tc>
          <w:tcPr>
            <w:tcW w:w="597" w:type="pct"/>
            <w:tcBorders>
              <w:top w:val="nil"/>
              <w:left w:val="nil"/>
              <w:bottom w:val="single" w:color="auto" w:sz="12" w:space="0"/>
              <w:right w:val="nil"/>
            </w:tcBorders>
            <w:vAlign w:val="center"/>
          </w:tcPr>
          <w:p w14:paraId="5FF09F04">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52.2±3.6</w:t>
            </w:r>
          </w:p>
        </w:tc>
        <w:tc>
          <w:tcPr>
            <w:tcW w:w="671" w:type="pct"/>
            <w:tcBorders>
              <w:top w:val="nil"/>
              <w:left w:val="nil"/>
              <w:bottom w:val="single" w:color="auto" w:sz="12" w:space="0"/>
              <w:right w:val="nil"/>
            </w:tcBorders>
            <w:vAlign w:val="center"/>
          </w:tcPr>
          <w:p w14:paraId="2D1158E9">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24.2±1.6</w:t>
            </w:r>
          </w:p>
        </w:tc>
        <w:tc>
          <w:tcPr>
            <w:tcW w:w="656" w:type="pct"/>
            <w:tcBorders>
              <w:top w:val="nil"/>
              <w:left w:val="nil"/>
              <w:bottom w:val="single" w:color="auto" w:sz="12" w:space="0"/>
              <w:right w:val="nil"/>
            </w:tcBorders>
            <w:vAlign w:val="center"/>
          </w:tcPr>
          <w:p w14:paraId="0D8CB12C">
            <w:pPr>
              <w:spacing w:line="480" w:lineRule="auto"/>
              <w:ind w:firstLine="0" w:firstLineChars="0"/>
              <w:jc w:val="center"/>
              <w:rPr>
                <w:rFonts w:eastAsia="Times New Roman" w:cs="Times New Roman"/>
                <w:kern w:val="0"/>
                <w:sz w:val="21"/>
                <w:szCs w:val="21"/>
              </w:rPr>
            </w:pPr>
            <w:r>
              <w:rPr>
                <w:rFonts w:eastAsia="Times New Roman" w:cs="Times New Roman"/>
                <w:kern w:val="0"/>
                <w:sz w:val="21"/>
                <w:szCs w:val="21"/>
              </w:rPr>
              <w:t>23.6±5.3</w:t>
            </w:r>
          </w:p>
        </w:tc>
      </w:tr>
    </w:tbl>
    <w:p w14:paraId="6177A0BE">
      <w:pPr>
        <w:spacing w:line="480" w:lineRule="auto"/>
        <w:ind w:firstLine="422"/>
        <w:rPr>
          <w:b/>
          <w:bCs/>
          <w:sz w:val="21"/>
          <w:szCs w:val="21"/>
        </w:rPr>
      </w:pPr>
      <w:r>
        <w:rPr>
          <w:b/>
          <w:bCs/>
          <w:sz w:val="21"/>
          <w:szCs w:val="21"/>
        </w:rPr>
        <w:br w:type="page"/>
      </w:r>
    </w:p>
    <w:p w14:paraId="455E7B67">
      <w:pPr>
        <w:spacing w:line="480" w:lineRule="auto"/>
        <w:ind w:right="240" w:firstLine="0" w:firstLineChars="0"/>
        <w:jc w:val="left"/>
        <w:rPr>
          <w:b/>
          <w:bCs/>
          <w:sz w:val="21"/>
          <w:szCs w:val="21"/>
        </w:rPr>
      </w:pPr>
      <w:bookmarkStart w:id="11" w:name="OLE_LINK14"/>
      <w:r>
        <w:rPr>
          <w:b/>
          <w:bCs/>
          <w:sz w:val="21"/>
          <w:szCs w:val="21"/>
        </w:rPr>
        <w:t>Table S</w:t>
      </w:r>
      <w:r>
        <w:rPr>
          <w:rFonts w:hint="eastAsia"/>
          <w:b/>
          <w:bCs/>
          <w:sz w:val="21"/>
          <w:szCs w:val="21"/>
        </w:rPr>
        <w:t>7</w:t>
      </w:r>
      <w:r>
        <w:rPr>
          <w:b/>
          <w:bCs/>
          <w:sz w:val="21"/>
          <w:szCs w:val="21"/>
        </w:rPr>
        <w:t xml:space="preserve"> Estimates of water storage, dissolved organic carbon (DOC) storage, and refractory dissolved organic carbon (RDOC) storage in reservoirs across the globe and by continent.</w:t>
      </w:r>
    </w:p>
    <w:bookmarkEnd w:id="11"/>
    <w:tbl>
      <w:tblPr>
        <w:tblStyle w:val="8"/>
        <w:tblW w:w="499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37"/>
        <w:gridCol w:w="1668"/>
        <w:gridCol w:w="1403"/>
        <w:gridCol w:w="1874"/>
        <w:gridCol w:w="1936"/>
        <w:gridCol w:w="1509"/>
      </w:tblGrid>
      <w:tr w14:paraId="62E37A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687" w:type="pct"/>
            <w:tcBorders>
              <w:top w:val="single" w:color="auto" w:sz="12" w:space="0"/>
              <w:left w:val="nil"/>
              <w:bottom w:val="single" w:color="auto" w:sz="6" w:space="0"/>
              <w:right w:val="nil"/>
            </w:tcBorders>
            <w:vAlign w:val="center"/>
          </w:tcPr>
          <w:p w14:paraId="54B10B37">
            <w:pPr>
              <w:spacing w:line="480" w:lineRule="auto"/>
              <w:ind w:firstLine="0" w:firstLineChars="0"/>
              <w:jc w:val="center"/>
              <w:rPr>
                <w:rFonts w:eastAsia="Times New Roman" w:cs="Times New Roman"/>
                <w:kern w:val="0"/>
                <w:sz w:val="21"/>
                <w:szCs w:val="21"/>
              </w:rPr>
            </w:pPr>
            <w:bookmarkStart w:id="12" w:name="_Hlk234866114"/>
            <w:bookmarkStart w:id="13" w:name="_Hlk233138683"/>
            <w:r>
              <w:rPr>
                <w:rFonts w:eastAsia="Times New Roman"/>
                <w:sz w:val="21"/>
                <w:szCs w:val="21"/>
              </w:rPr>
              <w:t>Continent</w:t>
            </w:r>
          </w:p>
        </w:tc>
        <w:tc>
          <w:tcPr>
            <w:tcW w:w="857" w:type="pct"/>
            <w:tcBorders>
              <w:top w:val="single" w:color="auto" w:sz="12" w:space="0"/>
              <w:left w:val="nil"/>
              <w:bottom w:val="single" w:color="auto" w:sz="6" w:space="0"/>
              <w:right w:val="nil"/>
            </w:tcBorders>
            <w:vAlign w:val="center"/>
          </w:tcPr>
          <w:p w14:paraId="27080CEE">
            <w:pPr>
              <w:spacing w:line="480" w:lineRule="auto"/>
              <w:ind w:firstLine="0" w:firstLineChars="0"/>
              <w:jc w:val="center"/>
              <w:rPr>
                <w:rFonts w:eastAsia="Times New Roman"/>
                <w:sz w:val="21"/>
                <w:szCs w:val="21"/>
              </w:rPr>
            </w:pPr>
            <w:r>
              <w:rPr>
                <w:rFonts w:eastAsia="Times New Roman"/>
                <w:sz w:val="21"/>
                <w:szCs w:val="21"/>
              </w:rPr>
              <w:t xml:space="preserve">storage capacity </w:t>
            </w:r>
          </w:p>
          <w:p w14:paraId="7AE4D907">
            <w:pPr>
              <w:spacing w:line="480" w:lineRule="auto"/>
              <w:ind w:firstLine="0" w:firstLineChars="0"/>
              <w:jc w:val="center"/>
              <w:rPr>
                <w:rFonts w:eastAsia="Times New Roman" w:cs="Times New Roman"/>
                <w:kern w:val="0"/>
                <w:sz w:val="21"/>
                <w:szCs w:val="21"/>
              </w:rPr>
            </w:pPr>
            <w:r>
              <w:rPr>
                <w:rFonts w:eastAsia="Times New Roman"/>
                <w:sz w:val="21"/>
                <w:szCs w:val="21"/>
              </w:rPr>
              <w:t>(10</w:t>
            </w:r>
            <w:r>
              <w:rPr>
                <w:rFonts w:hint="eastAsia" w:ascii="MS Gothic" w:hAnsi="MS Gothic" w:eastAsia="MS Gothic" w:cs="MS Gothic"/>
                <w:sz w:val="21"/>
                <w:szCs w:val="21"/>
              </w:rPr>
              <w:t>⁶</w:t>
            </w:r>
            <w:r>
              <w:rPr>
                <w:rFonts w:eastAsia="Times New Roman"/>
                <w:sz w:val="21"/>
                <w:szCs w:val="21"/>
              </w:rPr>
              <w:t xml:space="preserve"> m</w:t>
            </w:r>
            <w:r>
              <w:rPr>
                <w:rFonts w:hint="eastAsia" w:ascii="等线" w:hAnsi="等线" w:eastAsia="等线" w:cs="等线"/>
                <w:sz w:val="21"/>
                <w:szCs w:val="21"/>
              </w:rPr>
              <w:t>³</w:t>
            </w:r>
            <w:r>
              <w:rPr>
                <w:rFonts w:eastAsia="Times New Roman"/>
                <w:sz w:val="21"/>
                <w:szCs w:val="21"/>
              </w:rPr>
              <w:t>)</w:t>
            </w:r>
            <w:r>
              <w:rPr>
                <w:rFonts w:hint="eastAsia" w:ascii="等线" w:hAnsi="等线" w:eastAsia="等线" w:cs="等线"/>
                <w:sz w:val="21"/>
                <w:szCs w:val="21"/>
              </w:rPr>
              <w:t> </w:t>
            </w:r>
          </w:p>
        </w:tc>
        <w:tc>
          <w:tcPr>
            <w:tcW w:w="721" w:type="pct"/>
            <w:tcBorders>
              <w:top w:val="single" w:color="auto" w:sz="12" w:space="0"/>
              <w:left w:val="nil"/>
              <w:bottom w:val="single" w:color="auto" w:sz="6" w:space="0"/>
              <w:right w:val="nil"/>
            </w:tcBorders>
            <w:vAlign w:val="center"/>
          </w:tcPr>
          <w:p w14:paraId="3866E831">
            <w:pPr>
              <w:spacing w:line="480" w:lineRule="auto"/>
              <w:ind w:firstLine="0" w:firstLineChars="0"/>
              <w:jc w:val="center"/>
              <w:rPr>
                <w:rFonts w:eastAsia="Times New Roman"/>
                <w:sz w:val="21"/>
                <w:szCs w:val="21"/>
              </w:rPr>
            </w:pPr>
            <w:r>
              <w:rPr>
                <w:rFonts w:hint="eastAsia" w:ascii="等线" w:hAnsi="等线" w:eastAsia="等线" w:cs="等线"/>
                <w:sz w:val="21"/>
                <w:szCs w:val="21"/>
              </w:rPr>
              <w:t> </w:t>
            </w:r>
            <w:r>
              <w:rPr>
                <w:rFonts w:eastAsia="Times New Roman"/>
                <w:sz w:val="21"/>
                <w:szCs w:val="21"/>
              </w:rPr>
              <w:t xml:space="preserve">DOC storage </w:t>
            </w:r>
          </w:p>
          <w:p w14:paraId="5EE66303">
            <w:pPr>
              <w:spacing w:line="480" w:lineRule="auto"/>
              <w:ind w:firstLine="0" w:firstLineChars="0"/>
              <w:jc w:val="center"/>
              <w:rPr>
                <w:rFonts w:eastAsia="Times New Roman" w:cs="Times New Roman"/>
                <w:kern w:val="0"/>
                <w:sz w:val="21"/>
                <w:szCs w:val="21"/>
              </w:rPr>
            </w:pPr>
            <w:r>
              <w:rPr>
                <w:rFonts w:eastAsia="Times New Roman"/>
                <w:sz w:val="21"/>
                <w:szCs w:val="21"/>
              </w:rPr>
              <w:t>(Tg)</w:t>
            </w:r>
            <w:r>
              <w:rPr>
                <w:rFonts w:hint="eastAsia" w:ascii="等线" w:hAnsi="等线" w:eastAsia="等线" w:cs="等线"/>
                <w:sz w:val="21"/>
                <w:szCs w:val="21"/>
              </w:rPr>
              <w:t> </w:t>
            </w:r>
          </w:p>
        </w:tc>
        <w:tc>
          <w:tcPr>
            <w:tcW w:w="963" w:type="pct"/>
            <w:tcBorders>
              <w:top w:val="single" w:color="auto" w:sz="12" w:space="0"/>
              <w:left w:val="nil"/>
              <w:bottom w:val="single" w:color="auto" w:sz="6" w:space="0"/>
              <w:right w:val="nil"/>
            </w:tcBorders>
            <w:vAlign w:val="center"/>
          </w:tcPr>
          <w:p w14:paraId="4771414E">
            <w:pPr>
              <w:spacing w:line="480" w:lineRule="auto"/>
              <w:ind w:firstLine="0" w:firstLineChars="0"/>
              <w:jc w:val="center"/>
              <w:rPr>
                <w:rFonts w:eastAsia="Times New Roman" w:cs="Times New Roman"/>
                <w:kern w:val="0"/>
                <w:sz w:val="21"/>
                <w:szCs w:val="21"/>
              </w:rPr>
            </w:pPr>
            <w:r>
              <w:rPr>
                <w:rFonts w:eastAsia="Times New Roman"/>
                <w:sz w:val="21"/>
                <w:szCs w:val="21"/>
              </w:rPr>
              <w:t>Lower bound of RDOC storage (Tg)</w:t>
            </w:r>
          </w:p>
        </w:tc>
        <w:tc>
          <w:tcPr>
            <w:tcW w:w="995" w:type="pct"/>
            <w:tcBorders>
              <w:top w:val="single" w:color="auto" w:sz="12" w:space="0"/>
              <w:left w:val="nil"/>
              <w:bottom w:val="single" w:color="auto" w:sz="6" w:space="0"/>
              <w:right w:val="nil"/>
            </w:tcBorders>
            <w:vAlign w:val="center"/>
          </w:tcPr>
          <w:p w14:paraId="5EE337A8">
            <w:pPr>
              <w:spacing w:line="480" w:lineRule="auto"/>
              <w:ind w:firstLine="0" w:firstLineChars="0"/>
              <w:jc w:val="center"/>
              <w:rPr>
                <w:rFonts w:eastAsia="Times New Roman"/>
                <w:sz w:val="21"/>
                <w:szCs w:val="21"/>
              </w:rPr>
            </w:pPr>
            <w:r>
              <w:rPr>
                <w:rFonts w:eastAsia="Times New Roman"/>
                <w:sz w:val="21"/>
                <w:szCs w:val="21"/>
              </w:rPr>
              <w:t xml:space="preserve">Upper bound of RDOC storage </w:t>
            </w:r>
          </w:p>
          <w:p w14:paraId="4DDB1E91">
            <w:pPr>
              <w:spacing w:line="480" w:lineRule="auto"/>
              <w:ind w:firstLine="0" w:firstLineChars="0"/>
              <w:jc w:val="center"/>
              <w:rPr>
                <w:rFonts w:eastAsia="Times New Roman" w:cs="Times New Roman"/>
                <w:kern w:val="0"/>
                <w:sz w:val="21"/>
                <w:szCs w:val="21"/>
              </w:rPr>
            </w:pPr>
            <w:r>
              <w:rPr>
                <w:rFonts w:eastAsia="Times New Roman"/>
                <w:sz w:val="21"/>
                <w:szCs w:val="21"/>
              </w:rPr>
              <w:t>(Tg)</w:t>
            </w:r>
          </w:p>
        </w:tc>
        <w:tc>
          <w:tcPr>
            <w:tcW w:w="775" w:type="pct"/>
            <w:tcBorders>
              <w:top w:val="single" w:color="auto" w:sz="12" w:space="0"/>
              <w:left w:val="nil"/>
              <w:bottom w:val="single" w:color="auto" w:sz="6" w:space="0"/>
              <w:right w:val="nil"/>
            </w:tcBorders>
            <w:vAlign w:val="center"/>
          </w:tcPr>
          <w:p w14:paraId="6A308826">
            <w:pPr>
              <w:spacing w:line="480" w:lineRule="auto"/>
              <w:ind w:firstLine="0" w:firstLineChars="0"/>
              <w:jc w:val="center"/>
              <w:rPr>
                <w:rFonts w:eastAsia="Times New Roman"/>
                <w:sz w:val="21"/>
                <w:szCs w:val="21"/>
              </w:rPr>
            </w:pPr>
            <w:r>
              <w:rPr>
                <w:rFonts w:eastAsia="Times New Roman"/>
                <w:sz w:val="21"/>
                <w:szCs w:val="21"/>
              </w:rPr>
              <w:t xml:space="preserve">Median RDOC storage </w:t>
            </w:r>
          </w:p>
          <w:p w14:paraId="62E41416">
            <w:pPr>
              <w:spacing w:line="480" w:lineRule="auto"/>
              <w:ind w:firstLine="0" w:firstLineChars="0"/>
              <w:jc w:val="center"/>
              <w:rPr>
                <w:rFonts w:eastAsia="Times New Roman" w:cs="Times New Roman"/>
                <w:kern w:val="0"/>
                <w:sz w:val="21"/>
                <w:szCs w:val="21"/>
              </w:rPr>
            </w:pPr>
            <w:r>
              <w:rPr>
                <w:rFonts w:eastAsia="Times New Roman"/>
                <w:sz w:val="21"/>
                <w:szCs w:val="21"/>
              </w:rPr>
              <w:t>(Tg) </w:t>
            </w:r>
          </w:p>
        </w:tc>
      </w:tr>
      <w:tr w14:paraId="5977E5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87" w:type="pct"/>
            <w:tcBorders>
              <w:top w:val="single" w:color="auto" w:sz="6" w:space="0"/>
              <w:left w:val="nil"/>
              <w:bottom w:val="nil"/>
              <w:right w:val="nil"/>
            </w:tcBorders>
            <w:shd w:val="clear" w:color="auto" w:fill="FFFFFF"/>
            <w:vAlign w:val="center"/>
          </w:tcPr>
          <w:p w14:paraId="4BE3C515">
            <w:pPr>
              <w:spacing w:line="480" w:lineRule="auto"/>
              <w:ind w:firstLine="0" w:firstLineChars="0"/>
              <w:jc w:val="center"/>
              <w:rPr>
                <w:rFonts w:eastAsia="Times New Roman" w:cs="Times New Roman"/>
                <w:kern w:val="0"/>
                <w:sz w:val="21"/>
                <w:szCs w:val="21"/>
              </w:rPr>
            </w:pPr>
            <w:r>
              <w:rPr>
                <w:rFonts w:eastAsia="Times New Roman"/>
                <w:sz w:val="21"/>
                <w:szCs w:val="21"/>
              </w:rPr>
              <w:t>Asia</w:t>
            </w:r>
          </w:p>
        </w:tc>
        <w:tc>
          <w:tcPr>
            <w:tcW w:w="857" w:type="pct"/>
            <w:tcBorders>
              <w:top w:val="single" w:color="auto" w:sz="6" w:space="0"/>
              <w:left w:val="nil"/>
              <w:bottom w:val="nil"/>
              <w:right w:val="nil"/>
            </w:tcBorders>
            <w:shd w:val="clear" w:color="auto" w:fill="FFFFFF"/>
            <w:vAlign w:val="center"/>
          </w:tcPr>
          <w:p w14:paraId="7C0C8D9E">
            <w:pPr>
              <w:spacing w:line="480" w:lineRule="auto"/>
              <w:ind w:firstLine="0" w:firstLineChars="0"/>
              <w:jc w:val="center"/>
              <w:rPr>
                <w:rFonts w:eastAsia="Times New Roman" w:cs="Times New Roman"/>
                <w:kern w:val="0"/>
                <w:sz w:val="21"/>
                <w:szCs w:val="21"/>
              </w:rPr>
            </w:pPr>
            <w:r>
              <w:rPr>
                <w:rFonts w:eastAsia="Times New Roman"/>
                <w:sz w:val="21"/>
                <w:szCs w:val="21"/>
              </w:rPr>
              <w:t>2,330,696</w:t>
            </w:r>
          </w:p>
        </w:tc>
        <w:tc>
          <w:tcPr>
            <w:tcW w:w="721" w:type="pct"/>
            <w:tcBorders>
              <w:top w:val="single" w:color="auto" w:sz="6" w:space="0"/>
              <w:left w:val="nil"/>
              <w:bottom w:val="nil"/>
              <w:right w:val="nil"/>
            </w:tcBorders>
            <w:shd w:val="clear" w:color="auto" w:fill="FFFFFF"/>
            <w:vAlign w:val="center"/>
          </w:tcPr>
          <w:p w14:paraId="08A1E22F">
            <w:pPr>
              <w:spacing w:line="480" w:lineRule="auto"/>
              <w:ind w:firstLine="0" w:firstLineChars="0"/>
              <w:jc w:val="center"/>
              <w:rPr>
                <w:rFonts w:eastAsia="Times New Roman" w:cs="Times New Roman"/>
                <w:kern w:val="0"/>
                <w:sz w:val="21"/>
                <w:szCs w:val="21"/>
              </w:rPr>
            </w:pPr>
            <w:r>
              <w:rPr>
                <w:rFonts w:eastAsia="Times New Roman"/>
                <w:sz w:val="21"/>
                <w:szCs w:val="21"/>
              </w:rPr>
              <w:t xml:space="preserve">11.6535 </w:t>
            </w:r>
          </w:p>
        </w:tc>
        <w:tc>
          <w:tcPr>
            <w:tcW w:w="963" w:type="pct"/>
            <w:tcBorders>
              <w:top w:val="single" w:color="auto" w:sz="6" w:space="0"/>
              <w:left w:val="nil"/>
              <w:bottom w:val="nil"/>
              <w:right w:val="nil"/>
            </w:tcBorders>
            <w:shd w:val="clear" w:color="auto" w:fill="FFFFFF"/>
            <w:vAlign w:val="center"/>
          </w:tcPr>
          <w:p w14:paraId="456EDB3F">
            <w:pPr>
              <w:spacing w:line="480" w:lineRule="auto"/>
              <w:ind w:firstLine="0" w:firstLineChars="0"/>
              <w:jc w:val="center"/>
              <w:rPr>
                <w:rFonts w:eastAsia="Times New Roman" w:cs="Times New Roman"/>
                <w:kern w:val="0"/>
                <w:sz w:val="21"/>
                <w:szCs w:val="21"/>
              </w:rPr>
            </w:pPr>
            <w:r>
              <w:rPr>
                <w:rFonts w:eastAsia="Times New Roman"/>
                <w:sz w:val="21"/>
                <w:szCs w:val="21"/>
              </w:rPr>
              <w:t xml:space="preserve">5.8267 </w:t>
            </w:r>
          </w:p>
        </w:tc>
        <w:tc>
          <w:tcPr>
            <w:tcW w:w="995" w:type="pct"/>
            <w:tcBorders>
              <w:top w:val="single" w:color="auto" w:sz="6" w:space="0"/>
              <w:left w:val="nil"/>
              <w:bottom w:val="nil"/>
              <w:right w:val="nil"/>
            </w:tcBorders>
            <w:shd w:val="clear" w:color="auto" w:fill="FFFFFF"/>
            <w:vAlign w:val="center"/>
          </w:tcPr>
          <w:p w14:paraId="48DDE63D">
            <w:pPr>
              <w:spacing w:line="480" w:lineRule="auto"/>
              <w:ind w:firstLine="0" w:firstLineChars="0"/>
              <w:jc w:val="center"/>
              <w:rPr>
                <w:rFonts w:eastAsia="Times New Roman" w:cs="Times New Roman"/>
                <w:kern w:val="0"/>
                <w:sz w:val="21"/>
                <w:szCs w:val="21"/>
              </w:rPr>
            </w:pPr>
            <w:r>
              <w:rPr>
                <w:rFonts w:eastAsia="Times New Roman"/>
                <w:sz w:val="21"/>
                <w:szCs w:val="21"/>
              </w:rPr>
              <w:t xml:space="preserve">8.1574 </w:t>
            </w:r>
          </w:p>
        </w:tc>
        <w:tc>
          <w:tcPr>
            <w:tcW w:w="775" w:type="pct"/>
            <w:tcBorders>
              <w:top w:val="single" w:color="auto" w:sz="6" w:space="0"/>
              <w:left w:val="nil"/>
              <w:bottom w:val="nil"/>
              <w:right w:val="nil"/>
            </w:tcBorders>
            <w:shd w:val="clear" w:color="auto" w:fill="FFFFFF"/>
            <w:vAlign w:val="center"/>
          </w:tcPr>
          <w:p w14:paraId="03D690A6">
            <w:pPr>
              <w:spacing w:line="480" w:lineRule="auto"/>
              <w:ind w:firstLine="0" w:firstLineChars="0"/>
              <w:jc w:val="center"/>
              <w:rPr>
                <w:rFonts w:eastAsia="Times New Roman" w:cs="Times New Roman"/>
                <w:kern w:val="0"/>
                <w:sz w:val="21"/>
                <w:szCs w:val="21"/>
              </w:rPr>
            </w:pPr>
            <w:r>
              <w:rPr>
                <w:rFonts w:eastAsia="Times New Roman"/>
                <w:sz w:val="21"/>
                <w:szCs w:val="21"/>
              </w:rPr>
              <w:t xml:space="preserve">6.9921 </w:t>
            </w:r>
          </w:p>
        </w:tc>
      </w:tr>
      <w:tr w14:paraId="709877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87" w:type="pct"/>
            <w:tcBorders>
              <w:top w:val="nil"/>
              <w:left w:val="nil"/>
              <w:bottom w:val="nil"/>
              <w:right w:val="nil"/>
            </w:tcBorders>
            <w:shd w:val="clear" w:color="auto" w:fill="FFFFFF"/>
            <w:vAlign w:val="center"/>
          </w:tcPr>
          <w:p w14:paraId="67B21E18">
            <w:pPr>
              <w:spacing w:line="480" w:lineRule="auto"/>
              <w:ind w:firstLine="0" w:firstLineChars="0"/>
              <w:jc w:val="center"/>
              <w:rPr>
                <w:rFonts w:eastAsia="Times New Roman" w:cs="Times New Roman"/>
                <w:kern w:val="0"/>
                <w:sz w:val="21"/>
                <w:szCs w:val="21"/>
              </w:rPr>
            </w:pPr>
            <w:r>
              <w:rPr>
                <w:rFonts w:eastAsia="Times New Roman"/>
                <w:sz w:val="21"/>
                <w:szCs w:val="21"/>
              </w:rPr>
              <w:t>North America</w:t>
            </w:r>
          </w:p>
        </w:tc>
        <w:tc>
          <w:tcPr>
            <w:tcW w:w="857" w:type="pct"/>
            <w:tcBorders>
              <w:top w:val="nil"/>
              <w:left w:val="nil"/>
              <w:bottom w:val="nil"/>
              <w:right w:val="nil"/>
            </w:tcBorders>
            <w:shd w:val="clear" w:color="auto" w:fill="FFFFFF"/>
            <w:vAlign w:val="center"/>
          </w:tcPr>
          <w:p w14:paraId="3739642C">
            <w:pPr>
              <w:spacing w:line="480" w:lineRule="auto"/>
              <w:ind w:firstLine="0" w:firstLineChars="0"/>
              <w:jc w:val="center"/>
              <w:rPr>
                <w:rFonts w:eastAsia="Times New Roman" w:cs="Times New Roman"/>
                <w:kern w:val="0"/>
                <w:sz w:val="21"/>
                <w:szCs w:val="21"/>
              </w:rPr>
            </w:pPr>
            <w:r>
              <w:rPr>
                <w:rFonts w:eastAsia="Times New Roman"/>
                <w:sz w:val="21"/>
                <w:szCs w:val="21"/>
              </w:rPr>
              <w:t>1,225,976</w:t>
            </w:r>
          </w:p>
        </w:tc>
        <w:tc>
          <w:tcPr>
            <w:tcW w:w="721" w:type="pct"/>
            <w:tcBorders>
              <w:top w:val="nil"/>
              <w:left w:val="nil"/>
              <w:bottom w:val="nil"/>
              <w:right w:val="nil"/>
            </w:tcBorders>
            <w:shd w:val="clear" w:color="auto" w:fill="FFFFFF"/>
            <w:vAlign w:val="center"/>
          </w:tcPr>
          <w:p w14:paraId="2FC4C394">
            <w:pPr>
              <w:spacing w:line="480" w:lineRule="auto"/>
              <w:ind w:firstLine="0" w:firstLineChars="0"/>
              <w:jc w:val="center"/>
              <w:rPr>
                <w:rFonts w:eastAsia="Times New Roman" w:cs="Times New Roman"/>
                <w:kern w:val="0"/>
                <w:sz w:val="21"/>
                <w:szCs w:val="21"/>
              </w:rPr>
            </w:pPr>
            <w:r>
              <w:rPr>
                <w:rFonts w:eastAsia="Times New Roman"/>
                <w:sz w:val="21"/>
                <w:szCs w:val="21"/>
              </w:rPr>
              <w:t xml:space="preserve">6.1299 </w:t>
            </w:r>
          </w:p>
        </w:tc>
        <w:tc>
          <w:tcPr>
            <w:tcW w:w="963" w:type="pct"/>
            <w:tcBorders>
              <w:top w:val="nil"/>
              <w:left w:val="nil"/>
              <w:bottom w:val="nil"/>
              <w:right w:val="nil"/>
            </w:tcBorders>
            <w:shd w:val="clear" w:color="auto" w:fill="FFFFFF"/>
            <w:vAlign w:val="center"/>
          </w:tcPr>
          <w:p w14:paraId="2A8FC535">
            <w:pPr>
              <w:spacing w:line="480" w:lineRule="auto"/>
              <w:ind w:firstLine="0" w:firstLineChars="0"/>
              <w:jc w:val="center"/>
              <w:rPr>
                <w:rFonts w:eastAsia="Times New Roman" w:cs="Times New Roman"/>
                <w:kern w:val="0"/>
                <w:sz w:val="21"/>
                <w:szCs w:val="21"/>
              </w:rPr>
            </w:pPr>
            <w:r>
              <w:rPr>
                <w:rFonts w:eastAsia="Times New Roman"/>
                <w:sz w:val="21"/>
                <w:szCs w:val="21"/>
              </w:rPr>
              <w:t xml:space="preserve">3.0649 </w:t>
            </w:r>
          </w:p>
        </w:tc>
        <w:tc>
          <w:tcPr>
            <w:tcW w:w="995" w:type="pct"/>
            <w:tcBorders>
              <w:top w:val="nil"/>
              <w:left w:val="nil"/>
              <w:bottom w:val="nil"/>
              <w:right w:val="nil"/>
            </w:tcBorders>
            <w:shd w:val="clear" w:color="auto" w:fill="FFFFFF"/>
            <w:vAlign w:val="center"/>
          </w:tcPr>
          <w:p w14:paraId="688D3DD2">
            <w:pPr>
              <w:spacing w:line="480" w:lineRule="auto"/>
              <w:ind w:firstLine="0" w:firstLineChars="0"/>
              <w:jc w:val="center"/>
              <w:rPr>
                <w:rFonts w:eastAsia="Times New Roman" w:cs="Times New Roman"/>
                <w:kern w:val="0"/>
                <w:sz w:val="21"/>
                <w:szCs w:val="21"/>
              </w:rPr>
            </w:pPr>
            <w:r>
              <w:rPr>
                <w:rFonts w:eastAsia="Times New Roman"/>
                <w:sz w:val="21"/>
                <w:szCs w:val="21"/>
              </w:rPr>
              <w:t xml:space="preserve">4.2909 </w:t>
            </w:r>
          </w:p>
        </w:tc>
        <w:tc>
          <w:tcPr>
            <w:tcW w:w="775" w:type="pct"/>
            <w:tcBorders>
              <w:top w:val="nil"/>
              <w:left w:val="nil"/>
              <w:bottom w:val="nil"/>
              <w:right w:val="nil"/>
            </w:tcBorders>
            <w:shd w:val="clear" w:color="auto" w:fill="FFFFFF"/>
            <w:vAlign w:val="center"/>
          </w:tcPr>
          <w:p w14:paraId="0D898AA4">
            <w:pPr>
              <w:spacing w:line="480" w:lineRule="auto"/>
              <w:ind w:firstLine="0" w:firstLineChars="0"/>
              <w:jc w:val="center"/>
              <w:rPr>
                <w:rFonts w:eastAsia="Times New Roman" w:cs="Times New Roman"/>
                <w:kern w:val="0"/>
                <w:sz w:val="21"/>
                <w:szCs w:val="21"/>
              </w:rPr>
            </w:pPr>
            <w:r>
              <w:rPr>
                <w:rFonts w:eastAsia="Times New Roman"/>
                <w:sz w:val="21"/>
                <w:szCs w:val="21"/>
              </w:rPr>
              <w:t xml:space="preserve">3.6779 </w:t>
            </w:r>
          </w:p>
        </w:tc>
      </w:tr>
      <w:tr w14:paraId="71FBDC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87" w:type="pct"/>
            <w:tcBorders>
              <w:top w:val="nil"/>
              <w:left w:val="nil"/>
              <w:bottom w:val="nil"/>
              <w:right w:val="nil"/>
            </w:tcBorders>
            <w:vAlign w:val="center"/>
          </w:tcPr>
          <w:p w14:paraId="243C3627">
            <w:pPr>
              <w:spacing w:line="480" w:lineRule="auto"/>
              <w:ind w:firstLine="0" w:firstLineChars="0"/>
              <w:jc w:val="center"/>
              <w:rPr>
                <w:rFonts w:eastAsia="Times New Roman" w:cs="Times New Roman"/>
                <w:kern w:val="0"/>
                <w:sz w:val="21"/>
                <w:szCs w:val="21"/>
              </w:rPr>
            </w:pPr>
            <w:r>
              <w:rPr>
                <w:rFonts w:eastAsia="Times New Roman"/>
                <w:sz w:val="21"/>
                <w:szCs w:val="21"/>
              </w:rPr>
              <w:t>Europe</w:t>
            </w:r>
          </w:p>
        </w:tc>
        <w:tc>
          <w:tcPr>
            <w:tcW w:w="857" w:type="pct"/>
            <w:tcBorders>
              <w:top w:val="nil"/>
              <w:left w:val="nil"/>
              <w:bottom w:val="nil"/>
              <w:right w:val="nil"/>
            </w:tcBorders>
            <w:vAlign w:val="center"/>
          </w:tcPr>
          <w:p w14:paraId="34F64538">
            <w:pPr>
              <w:spacing w:line="480" w:lineRule="auto"/>
              <w:ind w:firstLine="0" w:firstLineChars="0"/>
              <w:jc w:val="center"/>
              <w:rPr>
                <w:rFonts w:eastAsia="Times New Roman" w:cs="Times New Roman"/>
                <w:kern w:val="0"/>
                <w:sz w:val="21"/>
                <w:szCs w:val="21"/>
              </w:rPr>
            </w:pPr>
            <w:r>
              <w:rPr>
                <w:rFonts w:eastAsia="Times New Roman"/>
                <w:sz w:val="21"/>
                <w:szCs w:val="21"/>
              </w:rPr>
              <w:t>559,054</w:t>
            </w:r>
          </w:p>
        </w:tc>
        <w:tc>
          <w:tcPr>
            <w:tcW w:w="721" w:type="pct"/>
            <w:tcBorders>
              <w:top w:val="nil"/>
              <w:left w:val="nil"/>
              <w:bottom w:val="nil"/>
              <w:right w:val="nil"/>
            </w:tcBorders>
            <w:vAlign w:val="center"/>
          </w:tcPr>
          <w:p w14:paraId="66CA4105">
            <w:pPr>
              <w:spacing w:line="480" w:lineRule="auto"/>
              <w:ind w:firstLine="0" w:firstLineChars="0"/>
              <w:jc w:val="center"/>
              <w:rPr>
                <w:rFonts w:eastAsia="Times New Roman" w:cs="Times New Roman"/>
                <w:kern w:val="0"/>
                <w:sz w:val="21"/>
                <w:szCs w:val="21"/>
              </w:rPr>
            </w:pPr>
            <w:r>
              <w:rPr>
                <w:rFonts w:eastAsia="Times New Roman"/>
                <w:sz w:val="21"/>
                <w:szCs w:val="21"/>
              </w:rPr>
              <w:t xml:space="preserve">2.7953 </w:t>
            </w:r>
          </w:p>
        </w:tc>
        <w:tc>
          <w:tcPr>
            <w:tcW w:w="963" w:type="pct"/>
            <w:tcBorders>
              <w:top w:val="nil"/>
              <w:left w:val="nil"/>
              <w:bottom w:val="nil"/>
              <w:right w:val="nil"/>
            </w:tcBorders>
            <w:vAlign w:val="center"/>
          </w:tcPr>
          <w:p w14:paraId="782D482F">
            <w:pPr>
              <w:spacing w:line="480" w:lineRule="auto"/>
              <w:ind w:firstLine="0" w:firstLineChars="0"/>
              <w:jc w:val="center"/>
              <w:rPr>
                <w:rFonts w:eastAsia="Times New Roman" w:cs="Times New Roman"/>
                <w:kern w:val="0"/>
                <w:sz w:val="21"/>
                <w:szCs w:val="21"/>
              </w:rPr>
            </w:pPr>
            <w:r>
              <w:rPr>
                <w:rFonts w:eastAsia="Times New Roman"/>
                <w:sz w:val="21"/>
                <w:szCs w:val="21"/>
              </w:rPr>
              <w:t xml:space="preserve">1.3976 </w:t>
            </w:r>
          </w:p>
        </w:tc>
        <w:tc>
          <w:tcPr>
            <w:tcW w:w="995" w:type="pct"/>
            <w:tcBorders>
              <w:top w:val="nil"/>
              <w:left w:val="nil"/>
              <w:bottom w:val="nil"/>
              <w:right w:val="nil"/>
            </w:tcBorders>
            <w:vAlign w:val="center"/>
          </w:tcPr>
          <w:p w14:paraId="7C373E70">
            <w:pPr>
              <w:spacing w:line="480" w:lineRule="auto"/>
              <w:ind w:firstLine="0" w:firstLineChars="0"/>
              <w:jc w:val="center"/>
              <w:rPr>
                <w:rFonts w:eastAsia="Times New Roman" w:cs="Times New Roman"/>
                <w:kern w:val="0"/>
                <w:sz w:val="21"/>
                <w:szCs w:val="21"/>
              </w:rPr>
            </w:pPr>
            <w:r>
              <w:rPr>
                <w:rFonts w:eastAsia="Times New Roman"/>
                <w:sz w:val="21"/>
                <w:szCs w:val="21"/>
              </w:rPr>
              <w:t xml:space="preserve">1.9567 </w:t>
            </w:r>
          </w:p>
        </w:tc>
        <w:tc>
          <w:tcPr>
            <w:tcW w:w="775" w:type="pct"/>
            <w:tcBorders>
              <w:top w:val="nil"/>
              <w:left w:val="nil"/>
              <w:bottom w:val="nil"/>
              <w:right w:val="nil"/>
            </w:tcBorders>
            <w:vAlign w:val="center"/>
          </w:tcPr>
          <w:p w14:paraId="6E634931">
            <w:pPr>
              <w:spacing w:line="480" w:lineRule="auto"/>
              <w:ind w:firstLine="0" w:firstLineChars="0"/>
              <w:jc w:val="center"/>
              <w:rPr>
                <w:rFonts w:eastAsia="Times New Roman" w:cs="Times New Roman"/>
                <w:kern w:val="0"/>
                <w:sz w:val="21"/>
                <w:szCs w:val="21"/>
              </w:rPr>
            </w:pPr>
            <w:r>
              <w:rPr>
                <w:rFonts w:eastAsia="Times New Roman"/>
                <w:sz w:val="21"/>
                <w:szCs w:val="21"/>
              </w:rPr>
              <w:t xml:space="preserve">1.6772 </w:t>
            </w:r>
          </w:p>
        </w:tc>
      </w:tr>
      <w:tr w14:paraId="014A39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87" w:type="pct"/>
            <w:tcBorders>
              <w:top w:val="nil"/>
              <w:left w:val="nil"/>
              <w:bottom w:val="nil"/>
              <w:right w:val="nil"/>
            </w:tcBorders>
            <w:vAlign w:val="center"/>
          </w:tcPr>
          <w:p w14:paraId="66434225">
            <w:pPr>
              <w:spacing w:line="480" w:lineRule="auto"/>
              <w:ind w:firstLine="0" w:firstLineChars="0"/>
              <w:jc w:val="center"/>
              <w:rPr>
                <w:rFonts w:eastAsia="Times New Roman" w:cs="Times New Roman"/>
                <w:kern w:val="0"/>
                <w:sz w:val="21"/>
                <w:szCs w:val="21"/>
              </w:rPr>
            </w:pPr>
            <w:r>
              <w:rPr>
                <w:rFonts w:eastAsia="Times New Roman"/>
                <w:sz w:val="21"/>
                <w:szCs w:val="21"/>
              </w:rPr>
              <w:t>Africa</w:t>
            </w:r>
          </w:p>
        </w:tc>
        <w:tc>
          <w:tcPr>
            <w:tcW w:w="857" w:type="pct"/>
            <w:tcBorders>
              <w:top w:val="nil"/>
              <w:left w:val="nil"/>
              <w:bottom w:val="nil"/>
              <w:right w:val="nil"/>
            </w:tcBorders>
            <w:vAlign w:val="center"/>
          </w:tcPr>
          <w:p w14:paraId="3D4D607B">
            <w:pPr>
              <w:spacing w:line="480" w:lineRule="auto"/>
              <w:ind w:firstLine="0" w:firstLineChars="0"/>
              <w:jc w:val="center"/>
              <w:rPr>
                <w:rFonts w:eastAsia="Times New Roman" w:cs="Times New Roman"/>
                <w:kern w:val="0"/>
                <w:sz w:val="21"/>
                <w:szCs w:val="21"/>
              </w:rPr>
            </w:pPr>
            <w:r>
              <w:rPr>
                <w:rFonts w:eastAsia="Times New Roman"/>
                <w:sz w:val="21"/>
                <w:szCs w:val="21"/>
              </w:rPr>
              <w:t>1,194,608</w:t>
            </w:r>
          </w:p>
        </w:tc>
        <w:tc>
          <w:tcPr>
            <w:tcW w:w="721" w:type="pct"/>
            <w:tcBorders>
              <w:top w:val="nil"/>
              <w:left w:val="nil"/>
              <w:bottom w:val="nil"/>
              <w:right w:val="nil"/>
            </w:tcBorders>
            <w:vAlign w:val="center"/>
          </w:tcPr>
          <w:p w14:paraId="5C7B1CC2">
            <w:pPr>
              <w:spacing w:line="480" w:lineRule="auto"/>
              <w:ind w:firstLine="0" w:firstLineChars="0"/>
              <w:jc w:val="center"/>
              <w:rPr>
                <w:rFonts w:eastAsia="Times New Roman" w:cs="Times New Roman"/>
                <w:kern w:val="0"/>
                <w:sz w:val="21"/>
                <w:szCs w:val="21"/>
              </w:rPr>
            </w:pPr>
            <w:r>
              <w:rPr>
                <w:rFonts w:eastAsia="Times New Roman"/>
                <w:sz w:val="21"/>
                <w:szCs w:val="21"/>
              </w:rPr>
              <w:t xml:space="preserve">5.9730 </w:t>
            </w:r>
          </w:p>
        </w:tc>
        <w:tc>
          <w:tcPr>
            <w:tcW w:w="963" w:type="pct"/>
            <w:tcBorders>
              <w:top w:val="nil"/>
              <w:left w:val="nil"/>
              <w:bottom w:val="nil"/>
              <w:right w:val="nil"/>
            </w:tcBorders>
            <w:vAlign w:val="center"/>
          </w:tcPr>
          <w:p w14:paraId="7A0B22A7">
            <w:pPr>
              <w:spacing w:line="480" w:lineRule="auto"/>
              <w:ind w:firstLine="0" w:firstLineChars="0"/>
              <w:jc w:val="center"/>
              <w:rPr>
                <w:rFonts w:eastAsia="Times New Roman" w:cs="Times New Roman"/>
                <w:kern w:val="0"/>
                <w:sz w:val="21"/>
                <w:szCs w:val="21"/>
              </w:rPr>
            </w:pPr>
            <w:r>
              <w:rPr>
                <w:rFonts w:eastAsia="Times New Roman"/>
                <w:sz w:val="21"/>
                <w:szCs w:val="21"/>
              </w:rPr>
              <w:t xml:space="preserve">2.9865 </w:t>
            </w:r>
          </w:p>
        </w:tc>
        <w:tc>
          <w:tcPr>
            <w:tcW w:w="995" w:type="pct"/>
            <w:tcBorders>
              <w:top w:val="nil"/>
              <w:left w:val="nil"/>
              <w:bottom w:val="nil"/>
              <w:right w:val="nil"/>
            </w:tcBorders>
            <w:vAlign w:val="center"/>
          </w:tcPr>
          <w:p w14:paraId="183D5B41">
            <w:pPr>
              <w:spacing w:line="480" w:lineRule="auto"/>
              <w:ind w:firstLine="0" w:firstLineChars="0"/>
              <w:jc w:val="center"/>
              <w:rPr>
                <w:rFonts w:eastAsia="Times New Roman" w:cs="Times New Roman"/>
                <w:kern w:val="0"/>
                <w:sz w:val="21"/>
                <w:szCs w:val="21"/>
              </w:rPr>
            </w:pPr>
            <w:r>
              <w:rPr>
                <w:rFonts w:eastAsia="Times New Roman"/>
                <w:sz w:val="21"/>
                <w:szCs w:val="21"/>
              </w:rPr>
              <w:t xml:space="preserve">4.1811 </w:t>
            </w:r>
          </w:p>
        </w:tc>
        <w:tc>
          <w:tcPr>
            <w:tcW w:w="775" w:type="pct"/>
            <w:tcBorders>
              <w:top w:val="nil"/>
              <w:left w:val="nil"/>
              <w:bottom w:val="nil"/>
              <w:right w:val="nil"/>
            </w:tcBorders>
            <w:vAlign w:val="center"/>
          </w:tcPr>
          <w:p w14:paraId="04E28663">
            <w:pPr>
              <w:spacing w:line="480" w:lineRule="auto"/>
              <w:ind w:firstLine="0" w:firstLineChars="0"/>
              <w:jc w:val="center"/>
              <w:rPr>
                <w:rFonts w:eastAsia="Times New Roman" w:cs="Times New Roman"/>
                <w:kern w:val="0"/>
                <w:sz w:val="21"/>
                <w:szCs w:val="21"/>
              </w:rPr>
            </w:pPr>
            <w:r>
              <w:rPr>
                <w:rFonts w:eastAsia="Times New Roman"/>
                <w:sz w:val="21"/>
                <w:szCs w:val="21"/>
              </w:rPr>
              <w:t xml:space="preserve">3.5838 </w:t>
            </w:r>
          </w:p>
        </w:tc>
      </w:tr>
      <w:tr w14:paraId="657DB4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87" w:type="pct"/>
            <w:tcBorders>
              <w:top w:val="nil"/>
              <w:left w:val="nil"/>
              <w:bottom w:val="nil"/>
              <w:right w:val="nil"/>
            </w:tcBorders>
            <w:vAlign w:val="center"/>
          </w:tcPr>
          <w:p w14:paraId="177FD8C0">
            <w:pPr>
              <w:spacing w:line="480" w:lineRule="auto"/>
              <w:ind w:firstLine="0" w:firstLineChars="0"/>
              <w:jc w:val="center"/>
              <w:rPr>
                <w:rFonts w:eastAsia="Times New Roman" w:cs="Times New Roman"/>
                <w:kern w:val="0"/>
                <w:sz w:val="21"/>
                <w:szCs w:val="21"/>
              </w:rPr>
            </w:pPr>
            <w:r>
              <w:rPr>
                <w:rFonts w:eastAsia="Times New Roman"/>
                <w:sz w:val="21"/>
                <w:szCs w:val="21"/>
              </w:rPr>
              <w:t>South America</w:t>
            </w:r>
          </w:p>
        </w:tc>
        <w:tc>
          <w:tcPr>
            <w:tcW w:w="857" w:type="pct"/>
            <w:tcBorders>
              <w:top w:val="nil"/>
              <w:left w:val="nil"/>
              <w:bottom w:val="nil"/>
              <w:right w:val="nil"/>
            </w:tcBorders>
            <w:vAlign w:val="center"/>
          </w:tcPr>
          <w:p w14:paraId="1EAB0516">
            <w:pPr>
              <w:spacing w:line="480" w:lineRule="auto"/>
              <w:ind w:firstLine="0" w:firstLineChars="0"/>
              <w:jc w:val="center"/>
              <w:rPr>
                <w:rFonts w:eastAsia="Times New Roman" w:cs="Times New Roman"/>
                <w:kern w:val="0"/>
                <w:sz w:val="21"/>
                <w:szCs w:val="21"/>
              </w:rPr>
            </w:pPr>
            <w:r>
              <w:rPr>
                <w:rFonts w:eastAsia="Times New Roman"/>
                <w:sz w:val="21"/>
                <w:szCs w:val="21"/>
              </w:rPr>
              <w:t>940,446</w:t>
            </w:r>
          </w:p>
        </w:tc>
        <w:tc>
          <w:tcPr>
            <w:tcW w:w="721" w:type="pct"/>
            <w:tcBorders>
              <w:top w:val="nil"/>
              <w:left w:val="nil"/>
              <w:bottom w:val="nil"/>
              <w:right w:val="nil"/>
            </w:tcBorders>
            <w:vAlign w:val="center"/>
          </w:tcPr>
          <w:p w14:paraId="21EED8F9">
            <w:pPr>
              <w:spacing w:line="480" w:lineRule="auto"/>
              <w:ind w:firstLine="0" w:firstLineChars="0"/>
              <w:jc w:val="center"/>
              <w:rPr>
                <w:rFonts w:eastAsia="Times New Roman" w:cs="Times New Roman"/>
                <w:kern w:val="0"/>
                <w:sz w:val="21"/>
                <w:szCs w:val="21"/>
              </w:rPr>
            </w:pPr>
            <w:r>
              <w:rPr>
                <w:rFonts w:eastAsia="Times New Roman"/>
                <w:sz w:val="21"/>
                <w:szCs w:val="21"/>
              </w:rPr>
              <w:t xml:space="preserve">4.7022 </w:t>
            </w:r>
          </w:p>
        </w:tc>
        <w:tc>
          <w:tcPr>
            <w:tcW w:w="963" w:type="pct"/>
            <w:tcBorders>
              <w:top w:val="nil"/>
              <w:left w:val="nil"/>
              <w:bottom w:val="nil"/>
              <w:right w:val="nil"/>
            </w:tcBorders>
            <w:vAlign w:val="center"/>
          </w:tcPr>
          <w:p w14:paraId="63069E96">
            <w:pPr>
              <w:spacing w:line="480" w:lineRule="auto"/>
              <w:ind w:firstLine="0" w:firstLineChars="0"/>
              <w:jc w:val="center"/>
              <w:rPr>
                <w:rFonts w:eastAsia="Times New Roman" w:cs="Times New Roman"/>
                <w:kern w:val="0"/>
                <w:sz w:val="21"/>
                <w:szCs w:val="21"/>
              </w:rPr>
            </w:pPr>
            <w:r>
              <w:rPr>
                <w:rFonts w:eastAsia="Times New Roman"/>
                <w:sz w:val="21"/>
                <w:szCs w:val="21"/>
              </w:rPr>
              <w:t xml:space="preserve">2.3511 </w:t>
            </w:r>
          </w:p>
        </w:tc>
        <w:tc>
          <w:tcPr>
            <w:tcW w:w="995" w:type="pct"/>
            <w:tcBorders>
              <w:top w:val="nil"/>
              <w:left w:val="nil"/>
              <w:bottom w:val="nil"/>
              <w:right w:val="nil"/>
            </w:tcBorders>
            <w:vAlign w:val="center"/>
          </w:tcPr>
          <w:p w14:paraId="0FFEC5B0">
            <w:pPr>
              <w:spacing w:line="480" w:lineRule="auto"/>
              <w:ind w:firstLine="0" w:firstLineChars="0"/>
              <w:jc w:val="center"/>
              <w:rPr>
                <w:rFonts w:eastAsia="Times New Roman" w:cs="Times New Roman"/>
                <w:kern w:val="0"/>
                <w:sz w:val="21"/>
                <w:szCs w:val="21"/>
              </w:rPr>
            </w:pPr>
            <w:r>
              <w:rPr>
                <w:rFonts w:eastAsia="Times New Roman"/>
                <w:sz w:val="21"/>
                <w:szCs w:val="21"/>
              </w:rPr>
              <w:t xml:space="preserve">3.2916 </w:t>
            </w:r>
          </w:p>
        </w:tc>
        <w:tc>
          <w:tcPr>
            <w:tcW w:w="775" w:type="pct"/>
            <w:tcBorders>
              <w:top w:val="nil"/>
              <w:left w:val="nil"/>
              <w:bottom w:val="nil"/>
              <w:right w:val="nil"/>
            </w:tcBorders>
            <w:vAlign w:val="center"/>
          </w:tcPr>
          <w:p w14:paraId="3BF29CFF">
            <w:pPr>
              <w:spacing w:line="480" w:lineRule="auto"/>
              <w:ind w:firstLine="0" w:firstLineChars="0"/>
              <w:jc w:val="center"/>
              <w:rPr>
                <w:rFonts w:eastAsia="Times New Roman" w:cs="Times New Roman"/>
                <w:kern w:val="0"/>
                <w:sz w:val="21"/>
                <w:szCs w:val="21"/>
              </w:rPr>
            </w:pPr>
            <w:r>
              <w:rPr>
                <w:rFonts w:eastAsia="Times New Roman"/>
                <w:sz w:val="21"/>
                <w:szCs w:val="21"/>
              </w:rPr>
              <w:t xml:space="preserve">2.8213 </w:t>
            </w:r>
          </w:p>
        </w:tc>
      </w:tr>
      <w:tr w14:paraId="6F4ABD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87" w:type="pct"/>
            <w:tcBorders>
              <w:top w:val="nil"/>
              <w:left w:val="nil"/>
              <w:bottom w:val="nil"/>
              <w:right w:val="nil"/>
            </w:tcBorders>
            <w:vAlign w:val="center"/>
          </w:tcPr>
          <w:p w14:paraId="2294F2ED">
            <w:pPr>
              <w:spacing w:line="480" w:lineRule="auto"/>
              <w:ind w:firstLine="0" w:firstLineChars="0"/>
              <w:jc w:val="center"/>
              <w:rPr>
                <w:rFonts w:eastAsia="Times New Roman" w:cs="Times New Roman"/>
                <w:kern w:val="0"/>
                <w:sz w:val="21"/>
                <w:szCs w:val="21"/>
              </w:rPr>
            </w:pPr>
            <w:r>
              <w:rPr>
                <w:rFonts w:eastAsia="Times New Roman"/>
                <w:sz w:val="21"/>
                <w:szCs w:val="21"/>
              </w:rPr>
              <w:t>Oceania</w:t>
            </w:r>
          </w:p>
        </w:tc>
        <w:tc>
          <w:tcPr>
            <w:tcW w:w="857" w:type="pct"/>
            <w:tcBorders>
              <w:top w:val="nil"/>
              <w:left w:val="nil"/>
              <w:bottom w:val="nil"/>
              <w:right w:val="nil"/>
            </w:tcBorders>
            <w:vAlign w:val="center"/>
          </w:tcPr>
          <w:p w14:paraId="47383D99">
            <w:pPr>
              <w:spacing w:line="480" w:lineRule="auto"/>
              <w:ind w:firstLine="0" w:firstLineChars="0"/>
              <w:jc w:val="center"/>
              <w:rPr>
                <w:rFonts w:eastAsia="Times New Roman" w:cs="Times New Roman"/>
                <w:kern w:val="0"/>
                <w:sz w:val="21"/>
                <w:szCs w:val="21"/>
              </w:rPr>
            </w:pPr>
            <w:r>
              <w:rPr>
                <w:rFonts w:eastAsia="Times New Roman"/>
                <w:sz w:val="21"/>
                <w:szCs w:val="21"/>
              </w:rPr>
              <w:t>153082.5</w:t>
            </w:r>
          </w:p>
        </w:tc>
        <w:tc>
          <w:tcPr>
            <w:tcW w:w="721" w:type="pct"/>
            <w:tcBorders>
              <w:top w:val="nil"/>
              <w:left w:val="nil"/>
              <w:bottom w:val="nil"/>
              <w:right w:val="nil"/>
            </w:tcBorders>
            <w:vAlign w:val="center"/>
          </w:tcPr>
          <w:p w14:paraId="539FE5B5">
            <w:pPr>
              <w:spacing w:line="480" w:lineRule="auto"/>
              <w:ind w:firstLine="0" w:firstLineChars="0"/>
              <w:jc w:val="center"/>
              <w:rPr>
                <w:rFonts w:eastAsia="Times New Roman" w:cs="Times New Roman"/>
                <w:kern w:val="0"/>
                <w:sz w:val="21"/>
                <w:szCs w:val="21"/>
              </w:rPr>
            </w:pPr>
            <w:r>
              <w:rPr>
                <w:rFonts w:eastAsia="Times New Roman"/>
                <w:sz w:val="21"/>
                <w:szCs w:val="21"/>
              </w:rPr>
              <w:t xml:space="preserve">0.7654 </w:t>
            </w:r>
          </w:p>
        </w:tc>
        <w:tc>
          <w:tcPr>
            <w:tcW w:w="963" w:type="pct"/>
            <w:tcBorders>
              <w:top w:val="nil"/>
              <w:left w:val="nil"/>
              <w:bottom w:val="nil"/>
              <w:right w:val="nil"/>
            </w:tcBorders>
            <w:vAlign w:val="center"/>
          </w:tcPr>
          <w:p w14:paraId="383C2367">
            <w:pPr>
              <w:spacing w:line="480" w:lineRule="auto"/>
              <w:ind w:firstLine="0" w:firstLineChars="0"/>
              <w:jc w:val="center"/>
              <w:rPr>
                <w:rFonts w:eastAsia="Times New Roman" w:cs="Times New Roman"/>
                <w:kern w:val="0"/>
                <w:sz w:val="21"/>
                <w:szCs w:val="21"/>
              </w:rPr>
            </w:pPr>
            <w:r>
              <w:rPr>
                <w:rFonts w:eastAsia="Times New Roman"/>
                <w:sz w:val="21"/>
                <w:szCs w:val="21"/>
              </w:rPr>
              <w:t xml:space="preserve">0.3827 </w:t>
            </w:r>
          </w:p>
        </w:tc>
        <w:tc>
          <w:tcPr>
            <w:tcW w:w="995" w:type="pct"/>
            <w:tcBorders>
              <w:top w:val="nil"/>
              <w:left w:val="nil"/>
              <w:bottom w:val="nil"/>
              <w:right w:val="nil"/>
            </w:tcBorders>
            <w:vAlign w:val="center"/>
          </w:tcPr>
          <w:p w14:paraId="7626E74E">
            <w:pPr>
              <w:spacing w:line="480" w:lineRule="auto"/>
              <w:ind w:firstLine="0" w:firstLineChars="0"/>
              <w:jc w:val="center"/>
              <w:rPr>
                <w:rFonts w:eastAsia="Times New Roman" w:cs="Times New Roman"/>
                <w:kern w:val="0"/>
                <w:sz w:val="21"/>
                <w:szCs w:val="21"/>
              </w:rPr>
            </w:pPr>
            <w:r>
              <w:rPr>
                <w:rFonts w:eastAsia="Times New Roman"/>
                <w:sz w:val="21"/>
                <w:szCs w:val="21"/>
              </w:rPr>
              <w:t xml:space="preserve">0.5358 </w:t>
            </w:r>
          </w:p>
        </w:tc>
        <w:tc>
          <w:tcPr>
            <w:tcW w:w="775" w:type="pct"/>
            <w:tcBorders>
              <w:top w:val="nil"/>
              <w:left w:val="nil"/>
              <w:bottom w:val="nil"/>
              <w:right w:val="nil"/>
            </w:tcBorders>
            <w:vAlign w:val="center"/>
          </w:tcPr>
          <w:p w14:paraId="4D8480B7">
            <w:pPr>
              <w:spacing w:line="480" w:lineRule="auto"/>
              <w:ind w:firstLine="0" w:firstLineChars="0"/>
              <w:jc w:val="center"/>
              <w:rPr>
                <w:rFonts w:eastAsia="Times New Roman" w:cs="Times New Roman"/>
                <w:kern w:val="0"/>
                <w:sz w:val="21"/>
                <w:szCs w:val="21"/>
              </w:rPr>
            </w:pPr>
            <w:r>
              <w:rPr>
                <w:rFonts w:eastAsia="Times New Roman"/>
                <w:sz w:val="21"/>
                <w:szCs w:val="21"/>
              </w:rPr>
              <w:t xml:space="preserve">0.4592 </w:t>
            </w:r>
          </w:p>
        </w:tc>
      </w:tr>
      <w:bookmarkEnd w:id="12"/>
      <w:tr w14:paraId="1A65F7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6" w:hRule="exact"/>
        </w:trPr>
        <w:tc>
          <w:tcPr>
            <w:tcW w:w="687" w:type="pct"/>
            <w:tcBorders>
              <w:top w:val="nil"/>
              <w:left w:val="nil"/>
              <w:bottom w:val="single" w:color="auto" w:sz="6" w:space="0"/>
              <w:right w:val="nil"/>
            </w:tcBorders>
            <w:vAlign w:val="center"/>
          </w:tcPr>
          <w:p w14:paraId="2148593E">
            <w:pPr>
              <w:spacing w:line="480" w:lineRule="auto"/>
              <w:ind w:firstLine="0" w:firstLineChars="0"/>
              <w:jc w:val="center"/>
              <w:rPr>
                <w:rFonts w:eastAsia="Times New Roman" w:cs="Times New Roman"/>
                <w:kern w:val="0"/>
                <w:sz w:val="21"/>
                <w:szCs w:val="21"/>
              </w:rPr>
            </w:pPr>
            <w:r>
              <w:rPr>
                <w:rFonts w:eastAsia="Times New Roman"/>
                <w:sz w:val="21"/>
                <w:szCs w:val="21"/>
              </w:rPr>
              <w:t>Total</w:t>
            </w:r>
          </w:p>
        </w:tc>
        <w:tc>
          <w:tcPr>
            <w:tcW w:w="857" w:type="pct"/>
            <w:tcBorders>
              <w:top w:val="nil"/>
              <w:left w:val="nil"/>
              <w:bottom w:val="single" w:color="auto" w:sz="6" w:space="0"/>
              <w:right w:val="nil"/>
            </w:tcBorders>
            <w:vAlign w:val="center"/>
          </w:tcPr>
          <w:p w14:paraId="6F945698">
            <w:pPr>
              <w:spacing w:line="480" w:lineRule="auto"/>
              <w:ind w:firstLine="0" w:firstLineChars="0"/>
              <w:jc w:val="center"/>
              <w:rPr>
                <w:rFonts w:eastAsia="Times New Roman" w:cs="Times New Roman"/>
                <w:kern w:val="0"/>
                <w:sz w:val="21"/>
                <w:szCs w:val="21"/>
              </w:rPr>
            </w:pPr>
            <w:r>
              <w:rPr>
                <w:rFonts w:eastAsia="Times New Roman"/>
                <w:sz w:val="21"/>
                <w:szCs w:val="21"/>
              </w:rPr>
              <w:t>6403862.5</w:t>
            </w:r>
          </w:p>
        </w:tc>
        <w:tc>
          <w:tcPr>
            <w:tcW w:w="721" w:type="pct"/>
            <w:tcBorders>
              <w:top w:val="nil"/>
              <w:left w:val="nil"/>
              <w:bottom w:val="single" w:color="auto" w:sz="6" w:space="0"/>
              <w:right w:val="nil"/>
            </w:tcBorders>
            <w:vAlign w:val="center"/>
          </w:tcPr>
          <w:p w14:paraId="28CAF277">
            <w:pPr>
              <w:spacing w:line="480" w:lineRule="auto"/>
              <w:ind w:firstLine="0" w:firstLineChars="0"/>
              <w:jc w:val="center"/>
              <w:rPr>
                <w:rFonts w:eastAsia="Times New Roman" w:cs="Times New Roman"/>
                <w:kern w:val="0"/>
                <w:sz w:val="21"/>
                <w:szCs w:val="21"/>
              </w:rPr>
            </w:pPr>
            <w:r>
              <w:rPr>
                <w:rFonts w:eastAsia="Times New Roman"/>
                <w:sz w:val="21"/>
                <w:szCs w:val="21"/>
              </w:rPr>
              <w:t xml:space="preserve">32.0193 </w:t>
            </w:r>
          </w:p>
        </w:tc>
        <w:tc>
          <w:tcPr>
            <w:tcW w:w="963" w:type="pct"/>
            <w:tcBorders>
              <w:top w:val="nil"/>
              <w:left w:val="nil"/>
              <w:bottom w:val="single" w:color="auto" w:sz="6" w:space="0"/>
              <w:right w:val="nil"/>
            </w:tcBorders>
            <w:vAlign w:val="center"/>
          </w:tcPr>
          <w:p w14:paraId="0CC492C7">
            <w:pPr>
              <w:spacing w:line="480" w:lineRule="auto"/>
              <w:ind w:firstLine="0" w:firstLineChars="0"/>
              <w:jc w:val="center"/>
              <w:rPr>
                <w:rFonts w:eastAsia="Times New Roman" w:cs="Times New Roman"/>
                <w:kern w:val="0"/>
                <w:sz w:val="21"/>
                <w:szCs w:val="21"/>
              </w:rPr>
            </w:pPr>
            <w:r>
              <w:rPr>
                <w:rFonts w:eastAsia="Times New Roman"/>
                <w:sz w:val="21"/>
                <w:szCs w:val="21"/>
              </w:rPr>
              <w:t xml:space="preserve">16.0097 </w:t>
            </w:r>
          </w:p>
        </w:tc>
        <w:tc>
          <w:tcPr>
            <w:tcW w:w="995" w:type="pct"/>
            <w:tcBorders>
              <w:top w:val="nil"/>
              <w:left w:val="nil"/>
              <w:bottom w:val="single" w:color="auto" w:sz="6" w:space="0"/>
              <w:right w:val="nil"/>
            </w:tcBorders>
            <w:vAlign w:val="center"/>
          </w:tcPr>
          <w:p w14:paraId="6C3FA412">
            <w:pPr>
              <w:spacing w:line="480" w:lineRule="auto"/>
              <w:ind w:firstLine="0" w:firstLineChars="0"/>
              <w:jc w:val="center"/>
              <w:rPr>
                <w:rFonts w:eastAsia="Times New Roman" w:cs="Times New Roman"/>
                <w:kern w:val="0"/>
                <w:sz w:val="21"/>
                <w:szCs w:val="21"/>
              </w:rPr>
            </w:pPr>
            <w:r>
              <w:rPr>
                <w:rFonts w:eastAsia="Times New Roman"/>
                <w:sz w:val="21"/>
                <w:szCs w:val="21"/>
              </w:rPr>
              <w:t xml:space="preserve">22.4135 </w:t>
            </w:r>
          </w:p>
        </w:tc>
        <w:tc>
          <w:tcPr>
            <w:tcW w:w="775" w:type="pct"/>
            <w:tcBorders>
              <w:top w:val="nil"/>
              <w:left w:val="nil"/>
              <w:bottom w:val="single" w:color="auto" w:sz="6" w:space="0"/>
              <w:right w:val="nil"/>
            </w:tcBorders>
            <w:vAlign w:val="center"/>
          </w:tcPr>
          <w:p w14:paraId="60864730">
            <w:pPr>
              <w:spacing w:line="480" w:lineRule="auto"/>
              <w:ind w:firstLine="0" w:firstLineChars="0"/>
              <w:jc w:val="center"/>
              <w:rPr>
                <w:rFonts w:eastAsia="Times New Roman" w:cs="Times New Roman"/>
                <w:kern w:val="0"/>
                <w:sz w:val="21"/>
                <w:szCs w:val="21"/>
              </w:rPr>
            </w:pPr>
            <w:r>
              <w:rPr>
                <w:rFonts w:eastAsia="Times New Roman"/>
                <w:sz w:val="21"/>
                <w:szCs w:val="21"/>
              </w:rPr>
              <w:t xml:space="preserve">19.2116 </w:t>
            </w:r>
          </w:p>
        </w:tc>
      </w:tr>
      <w:bookmarkEnd w:id="13"/>
    </w:tbl>
    <w:p w14:paraId="54E7B944">
      <w:pPr>
        <w:spacing w:line="480" w:lineRule="auto"/>
        <w:ind w:firstLine="482"/>
        <w:rPr>
          <w:rFonts w:cs="Times New Roman"/>
          <w:b/>
          <w:bCs/>
        </w:rPr>
      </w:pPr>
      <w:r>
        <w:rPr>
          <w:rFonts w:cs="Times New Roman"/>
          <w:b/>
          <w:bCs/>
        </w:rPr>
        <w:br w:type="page"/>
      </w:r>
    </w:p>
    <w:p w14:paraId="58BB586B">
      <w:pPr>
        <w:spacing w:line="480" w:lineRule="auto"/>
        <w:ind w:right="240" w:firstLine="0" w:firstLineChars="0"/>
        <w:jc w:val="left"/>
        <w:rPr>
          <w:rFonts w:cs="Times New Roman"/>
          <w:b/>
          <w:bCs/>
        </w:rPr>
      </w:pPr>
      <w:r>
        <w:rPr>
          <w:rFonts w:cs="Times New Roman"/>
          <w:b/>
          <w:bCs/>
        </w:rPr>
        <w:t xml:space="preserve">References: </w:t>
      </w:r>
    </w:p>
    <w:p w14:paraId="7BE6F7D7">
      <w:pPr>
        <w:pStyle w:val="19"/>
        <w:spacing w:line="480" w:lineRule="auto"/>
        <w:ind w:left="720" w:firstLine="0" w:firstLineChars="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tab/>
      </w:r>
      <w:r>
        <w:rPr>
          <w:rFonts w:ascii="Times New Roman" w:hAnsi="Times New Roman" w:cs="Times New Roman"/>
        </w:rPr>
        <w:t xml:space="preserve">Jespersen, A.-M. &amp; Christoffersen, K. Measurements of chlorophyll-a from phytoplankton using ethanol as extraction solvent. </w:t>
      </w:r>
      <w:r>
        <w:rPr>
          <w:rFonts w:ascii="Times New Roman" w:hAnsi="Times New Roman" w:cs="Times New Roman"/>
          <w:i/>
        </w:rPr>
        <w:t>Archiv für Hydrobiologie</w:t>
      </w:r>
      <w:r>
        <w:rPr>
          <w:rFonts w:hint="eastAsia" w:ascii="Times New Roman" w:hAnsi="Times New Roman" w:cs="Times New Roman"/>
          <w:b/>
          <w:bCs/>
          <w:i w:val="0"/>
          <w:iCs/>
          <w:lang w:val="en-US" w:eastAsia="zh-CN"/>
        </w:rPr>
        <w:t xml:space="preserve"> 109</w:t>
      </w:r>
      <w:r>
        <w:rPr>
          <w:rFonts w:ascii="Times New Roman" w:hAnsi="Times New Roman" w:cs="Times New Roman"/>
        </w:rPr>
        <w:t>, 445-454 (1987).</w:t>
      </w:r>
    </w:p>
    <w:p w14:paraId="0863E25F">
      <w:pPr>
        <w:pStyle w:val="19"/>
        <w:spacing w:line="480" w:lineRule="auto"/>
        <w:ind w:left="720" w:firstLine="0" w:firstLineChars="0"/>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 xml:space="preserve">Stedmon, C. A., Markager, S. &amp; Bro, R. Tracing dissolved organic matter in aquatic environments using a new approach to fluorescence spectroscopy. </w:t>
      </w:r>
      <w:r>
        <w:rPr>
          <w:rFonts w:ascii="Times New Roman" w:hAnsi="Times New Roman" w:cs="Times New Roman"/>
          <w:i/>
        </w:rPr>
        <w:t>Marine chemistry</w:t>
      </w:r>
      <w:r>
        <w:rPr>
          <w:rFonts w:ascii="Times New Roman" w:hAnsi="Times New Roman" w:cs="Times New Roman"/>
        </w:rPr>
        <w:t xml:space="preserve"> </w:t>
      </w:r>
      <w:r>
        <w:rPr>
          <w:rFonts w:ascii="Times New Roman" w:hAnsi="Times New Roman" w:cs="Times New Roman"/>
          <w:b/>
        </w:rPr>
        <w:t>82</w:t>
      </w:r>
      <w:r>
        <w:rPr>
          <w:rFonts w:ascii="Times New Roman" w:hAnsi="Times New Roman" w:cs="Times New Roman"/>
        </w:rPr>
        <w:t>, 239-254 (2003).</w:t>
      </w:r>
    </w:p>
    <w:p w14:paraId="649C8D83">
      <w:pPr>
        <w:pStyle w:val="19"/>
        <w:spacing w:line="480" w:lineRule="auto"/>
        <w:ind w:left="720" w:firstLine="0" w:firstLineChars="0"/>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Huguet, A.</w:t>
      </w:r>
      <w:r>
        <w:rPr>
          <w:rFonts w:ascii="Times New Roman" w:hAnsi="Times New Roman" w:cs="Times New Roman"/>
          <w:i/>
        </w:rPr>
        <w:t>, et al.</w:t>
      </w:r>
      <w:r>
        <w:rPr>
          <w:rFonts w:ascii="Times New Roman" w:hAnsi="Times New Roman" w:cs="Times New Roman"/>
        </w:rPr>
        <w:t xml:space="preserve"> Properties of fluorescent dissolved organic matter in the Gironde Estuary. </w:t>
      </w:r>
      <w:r>
        <w:rPr>
          <w:rFonts w:ascii="Times New Roman" w:hAnsi="Times New Roman" w:cs="Times New Roman"/>
          <w:i/>
        </w:rPr>
        <w:t>Organic Geochemistry</w:t>
      </w:r>
      <w:r>
        <w:rPr>
          <w:rFonts w:ascii="Times New Roman" w:hAnsi="Times New Roman" w:cs="Times New Roman"/>
        </w:rPr>
        <w:t xml:space="preserve"> </w:t>
      </w:r>
      <w:r>
        <w:rPr>
          <w:rFonts w:ascii="Times New Roman" w:hAnsi="Times New Roman" w:cs="Times New Roman"/>
          <w:b/>
        </w:rPr>
        <w:t>40</w:t>
      </w:r>
      <w:r>
        <w:rPr>
          <w:rFonts w:ascii="Times New Roman" w:hAnsi="Times New Roman" w:cs="Times New Roman"/>
        </w:rPr>
        <w:t>, 706-719 (2009).</w:t>
      </w:r>
    </w:p>
    <w:p w14:paraId="4E29F421">
      <w:pPr>
        <w:pStyle w:val="19"/>
        <w:spacing w:line="480" w:lineRule="auto"/>
        <w:ind w:left="720" w:firstLine="0" w:firstLineChars="0"/>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hAnsi="Times New Roman" w:cs="Times New Roman"/>
        </w:rPr>
        <w:t xml:space="preserve">Ohno, T. Fluorescence inner-filtering correction for determining the humification index of dissolved organic matter. </w:t>
      </w:r>
      <w:r>
        <w:rPr>
          <w:rFonts w:ascii="Times New Roman" w:hAnsi="Times New Roman" w:cs="Times New Roman"/>
          <w:i/>
        </w:rPr>
        <w:t>Environmental science &amp; technology</w:t>
      </w:r>
      <w:r>
        <w:rPr>
          <w:rFonts w:ascii="Times New Roman" w:hAnsi="Times New Roman" w:cs="Times New Roman"/>
        </w:rPr>
        <w:t xml:space="preserve"> </w:t>
      </w:r>
      <w:r>
        <w:rPr>
          <w:rFonts w:ascii="Times New Roman" w:hAnsi="Times New Roman" w:cs="Times New Roman"/>
          <w:b/>
        </w:rPr>
        <w:t>36</w:t>
      </w:r>
      <w:r>
        <w:rPr>
          <w:rFonts w:ascii="Times New Roman" w:hAnsi="Times New Roman" w:cs="Times New Roman"/>
        </w:rPr>
        <w:t>, 742-746 (2002).</w:t>
      </w:r>
    </w:p>
    <w:p w14:paraId="44E30BAA">
      <w:pPr>
        <w:pStyle w:val="19"/>
        <w:spacing w:line="480" w:lineRule="auto"/>
        <w:ind w:left="720" w:firstLine="0" w:firstLineChars="0"/>
        <w:rPr>
          <w:rFonts w:ascii="Times New Roman" w:hAnsi="Times New Roman" w:cs="Times New Roman"/>
        </w:rPr>
      </w:pPr>
      <w:r>
        <w:rPr>
          <w:rFonts w:ascii="Times New Roman" w:hAnsi="Times New Roman" w:cs="Times New Roman"/>
        </w:rPr>
        <w:t>5.</w:t>
      </w:r>
      <w:r>
        <w:rPr>
          <w:rFonts w:ascii="Times New Roman" w:hAnsi="Times New Roman" w:cs="Times New Roman"/>
        </w:rPr>
        <w:tab/>
      </w:r>
      <w:r>
        <w:rPr>
          <w:rFonts w:ascii="Times New Roman" w:hAnsi="Times New Roman" w:cs="Times New Roman"/>
        </w:rPr>
        <w:t xml:space="preserve">Dittmar, T., Koch, B., Hertkorn, N. &amp; Kattner, G. A simple and efficient method for the solid‐phase extraction of dissolved organic matter (SPE‐DOM) from seawater. </w:t>
      </w:r>
      <w:r>
        <w:rPr>
          <w:rFonts w:ascii="Times New Roman" w:hAnsi="Times New Roman" w:cs="Times New Roman"/>
          <w:i/>
        </w:rPr>
        <w:t>Limnology and Oceanography: Methods</w:t>
      </w:r>
      <w:r>
        <w:rPr>
          <w:rFonts w:ascii="Times New Roman" w:hAnsi="Times New Roman" w:cs="Times New Roman"/>
        </w:rPr>
        <w:t xml:space="preserve"> </w:t>
      </w:r>
      <w:r>
        <w:rPr>
          <w:rFonts w:ascii="Times New Roman" w:hAnsi="Times New Roman" w:cs="Times New Roman"/>
          <w:b/>
        </w:rPr>
        <w:t>6</w:t>
      </w:r>
      <w:r>
        <w:rPr>
          <w:rFonts w:ascii="Times New Roman" w:hAnsi="Times New Roman" w:cs="Times New Roman"/>
        </w:rPr>
        <w:t>, 230-235 (2008).</w:t>
      </w:r>
    </w:p>
    <w:p w14:paraId="2902655F">
      <w:pPr>
        <w:pStyle w:val="19"/>
        <w:spacing w:line="480" w:lineRule="auto"/>
        <w:ind w:left="720" w:firstLine="0" w:firstLineChars="0"/>
        <w:rPr>
          <w:rFonts w:ascii="Times New Roman" w:hAnsi="Times New Roman" w:cs="Times New Roman"/>
        </w:rPr>
      </w:pPr>
      <w:r>
        <w:rPr>
          <w:rFonts w:ascii="Times New Roman" w:hAnsi="Times New Roman" w:cs="Times New Roman"/>
        </w:rPr>
        <w:t>6.</w:t>
      </w:r>
      <w:r>
        <w:rPr>
          <w:rFonts w:ascii="Times New Roman" w:hAnsi="Times New Roman" w:cs="Times New Roman"/>
        </w:rPr>
        <w:tab/>
      </w:r>
      <w:r>
        <w:rPr>
          <w:rFonts w:ascii="Times New Roman" w:hAnsi="Times New Roman" w:cs="Times New Roman"/>
        </w:rPr>
        <w:t xml:space="preserve">Chen, S., Zhou, Y., Chen, Y. &amp; Gu, J. fastp: an ultra-fast all-in-one FASTQ preprocessor. </w:t>
      </w:r>
      <w:r>
        <w:rPr>
          <w:rFonts w:ascii="Times New Roman" w:hAnsi="Times New Roman" w:cs="Times New Roman"/>
          <w:i/>
        </w:rPr>
        <w:t>Bioinformatics</w:t>
      </w:r>
      <w:r>
        <w:rPr>
          <w:rFonts w:ascii="Times New Roman" w:hAnsi="Times New Roman" w:cs="Times New Roman"/>
        </w:rPr>
        <w:t xml:space="preserve"> </w:t>
      </w:r>
      <w:r>
        <w:rPr>
          <w:rFonts w:ascii="Times New Roman" w:hAnsi="Times New Roman" w:cs="Times New Roman"/>
          <w:b/>
        </w:rPr>
        <w:t>34</w:t>
      </w:r>
      <w:r>
        <w:rPr>
          <w:rFonts w:ascii="Times New Roman" w:hAnsi="Times New Roman" w:cs="Times New Roman"/>
        </w:rPr>
        <w:t>, i884-i890 (2018).</w:t>
      </w:r>
    </w:p>
    <w:p w14:paraId="1DA9265B">
      <w:pPr>
        <w:pStyle w:val="19"/>
        <w:spacing w:line="480" w:lineRule="auto"/>
        <w:ind w:left="720" w:firstLine="0" w:firstLineChars="0"/>
        <w:rPr>
          <w:rFonts w:ascii="Times New Roman" w:hAnsi="Times New Roman" w:cs="Times New Roman"/>
        </w:rPr>
      </w:pPr>
      <w:r>
        <w:rPr>
          <w:rFonts w:ascii="Times New Roman" w:hAnsi="Times New Roman" w:cs="Times New Roman"/>
        </w:rPr>
        <w:t>7.</w:t>
      </w:r>
      <w:r>
        <w:rPr>
          <w:rFonts w:ascii="Times New Roman" w:hAnsi="Times New Roman" w:cs="Times New Roman"/>
        </w:rPr>
        <w:tab/>
      </w:r>
      <w:r>
        <w:rPr>
          <w:rFonts w:ascii="Times New Roman" w:hAnsi="Times New Roman" w:cs="Times New Roman"/>
        </w:rPr>
        <w:t xml:space="preserve">Li, D., Liu, C.-M., Luo, R., Sadakane, K. &amp; Lam, T.-W. MEGAHIT: an ultra-fast single-node solution for large and complex metagenomics assembly via succinct de Bruijn graph. </w:t>
      </w:r>
      <w:r>
        <w:rPr>
          <w:rFonts w:ascii="Times New Roman" w:hAnsi="Times New Roman" w:cs="Times New Roman"/>
          <w:i/>
        </w:rPr>
        <w:t>Bioinformatics</w:t>
      </w:r>
      <w:r>
        <w:rPr>
          <w:rFonts w:ascii="Times New Roman" w:hAnsi="Times New Roman" w:cs="Times New Roman"/>
        </w:rPr>
        <w:t xml:space="preserve"> </w:t>
      </w:r>
      <w:r>
        <w:rPr>
          <w:rFonts w:ascii="Times New Roman" w:hAnsi="Times New Roman" w:cs="Times New Roman"/>
          <w:b/>
        </w:rPr>
        <w:t>31</w:t>
      </w:r>
      <w:r>
        <w:rPr>
          <w:rFonts w:ascii="Times New Roman" w:hAnsi="Times New Roman" w:cs="Times New Roman"/>
        </w:rPr>
        <w:t>, 1674-1676 (2015).</w:t>
      </w:r>
    </w:p>
    <w:p w14:paraId="663E74CB">
      <w:pPr>
        <w:pStyle w:val="19"/>
        <w:spacing w:line="480" w:lineRule="auto"/>
        <w:ind w:left="720" w:firstLine="0" w:firstLineChars="0"/>
        <w:rPr>
          <w:rFonts w:ascii="Times New Roman" w:hAnsi="Times New Roman" w:cs="Times New Roman"/>
        </w:rPr>
      </w:pPr>
      <w:r>
        <w:rPr>
          <w:rFonts w:ascii="Times New Roman" w:hAnsi="Times New Roman" w:cs="Times New Roman"/>
        </w:rPr>
        <w:t>8.</w:t>
      </w:r>
      <w:r>
        <w:rPr>
          <w:rFonts w:ascii="Times New Roman" w:hAnsi="Times New Roman" w:cs="Times New Roman"/>
        </w:rPr>
        <w:tab/>
      </w:r>
      <w:r>
        <w:rPr>
          <w:rFonts w:ascii="Times New Roman" w:hAnsi="Times New Roman" w:cs="Times New Roman"/>
        </w:rPr>
        <w:t>Hyatt, D.</w:t>
      </w:r>
      <w:r>
        <w:rPr>
          <w:rFonts w:ascii="Times New Roman" w:hAnsi="Times New Roman" w:cs="Times New Roman"/>
          <w:i/>
        </w:rPr>
        <w:t>, et al.</w:t>
      </w:r>
      <w:r>
        <w:rPr>
          <w:rFonts w:ascii="Times New Roman" w:hAnsi="Times New Roman" w:cs="Times New Roman"/>
        </w:rPr>
        <w:t xml:space="preserve"> Prodigal: prokaryotic gene recognition and translation initiation site identification. </w:t>
      </w:r>
      <w:r>
        <w:rPr>
          <w:rFonts w:ascii="Times New Roman" w:hAnsi="Times New Roman" w:cs="Times New Roman"/>
          <w:i/>
        </w:rPr>
        <w:t>BMC Bioinformatics</w:t>
      </w:r>
      <w:r>
        <w:rPr>
          <w:rFonts w:ascii="Times New Roman" w:hAnsi="Times New Roman" w:cs="Times New Roman"/>
        </w:rPr>
        <w:t xml:space="preserve"> </w:t>
      </w:r>
      <w:r>
        <w:rPr>
          <w:rFonts w:ascii="Times New Roman" w:hAnsi="Times New Roman" w:cs="Times New Roman"/>
          <w:b/>
        </w:rPr>
        <w:t>11</w:t>
      </w:r>
      <w:r>
        <w:rPr>
          <w:rFonts w:ascii="Times New Roman" w:hAnsi="Times New Roman" w:cs="Times New Roman"/>
        </w:rPr>
        <w:t>, 119 (2010).</w:t>
      </w:r>
    </w:p>
    <w:p w14:paraId="1FF6BD2B">
      <w:pPr>
        <w:pStyle w:val="19"/>
        <w:spacing w:line="480" w:lineRule="auto"/>
        <w:ind w:left="720" w:firstLine="0" w:firstLineChars="0"/>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hAnsi="Times New Roman" w:cs="Times New Roman"/>
        </w:rPr>
        <w:t xml:space="preserve">Steinegger, M. &amp; Söding, J. MMseqs2 enables sensitive protein sequence searching for the analysis of massive data sets. </w:t>
      </w:r>
      <w:r>
        <w:rPr>
          <w:rFonts w:ascii="Times New Roman" w:hAnsi="Times New Roman" w:cs="Times New Roman"/>
          <w:i/>
        </w:rPr>
        <w:t>Nat Biotechnol</w:t>
      </w:r>
      <w:r>
        <w:rPr>
          <w:rFonts w:ascii="Times New Roman" w:hAnsi="Times New Roman" w:cs="Times New Roman"/>
        </w:rPr>
        <w:t xml:space="preserve"> </w:t>
      </w:r>
      <w:r>
        <w:rPr>
          <w:rFonts w:ascii="Times New Roman" w:hAnsi="Times New Roman" w:cs="Times New Roman"/>
          <w:b/>
        </w:rPr>
        <w:t>35</w:t>
      </w:r>
      <w:r>
        <w:rPr>
          <w:rFonts w:ascii="Times New Roman" w:hAnsi="Times New Roman" w:cs="Times New Roman"/>
        </w:rPr>
        <w:t>, 1026-1028 (2017).</w:t>
      </w:r>
    </w:p>
    <w:p w14:paraId="6B904FF6">
      <w:pPr>
        <w:pStyle w:val="19"/>
        <w:spacing w:line="480" w:lineRule="auto"/>
        <w:ind w:left="720" w:firstLine="0" w:firstLineChars="0"/>
        <w:rPr>
          <w:rFonts w:ascii="Times New Roman" w:hAnsi="Times New Roman" w:cs="Times New Roman"/>
        </w:rPr>
      </w:pPr>
      <w:r>
        <w:rPr>
          <w:rFonts w:ascii="Times New Roman" w:hAnsi="Times New Roman" w:cs="Times New Roman"/>
        </w:rPr>
        <w:t>10.</w:t>
      </w:r>
      <w:r>
        <w:rPr>
          <w:rFonts w:ascii="Times New Roman" w:hAnsi="Times New Roman" w:cs="Times New Roman"/>
        </w:rPr>
        <w:tab/>
      </w:r>
      <w:r>
        <w:rPr>
          <w:rFonts w:ascii="Times New Roman" w:hAnsi="Times New Roman" w:cs="Times New Roman"/>
        </w:rPr>
        <w:t xml:space="preserve">Li, H. &amp; Durbin, R. Fast and accurate short read alignment with Burrows–Wheeler transform. </w:t>
      </w:r>
      <w:r>
        <w:rPr>
          <w:rFonts w:ascii="Times New Roman" w:hAnsi="Times New Roman" w:cs="Times New Roman"/>
          <w:i/>
        </w:rPr>
        <w:t>Bioinformatics</w:t>
      </w:r>
      <w:r>
        <w:rPr>
          <w:rFonts w:ascii="Times New Roman" w:hAnsi="Times New Roman" w:cs="Times New Roman"/>
        </w:rPr>
        <w:t xml:space="preserve"> </w:t>
      </w:r>
      <w:r>
        <w:rPr>
          <w:rFonts w:ascii="Times New Roman" w:hAnsi="Times New Roman" w:cs="Times New Roman"/>
          <w:b/>
        </w:rPr>
        <w:t>25</w:t>
      </w:r>
      <w:r>
        <w:rPr>
          <w:rFonts w:ascii="Times New Roman" w:hAnsi="Times New Roman" w:cs="Times New Roman"/>
        </w:rPr>
        <w:t>, 1754-1760 (2009).</w:t>
      </w:r>
    </w:p>
    <w:p w14:paraId="50815BE0">
      <w:pPr>
        <w:pStyle w:val="19"/>
        <w:spacing w:line="480" w:lineRule="auto"/>
        <w:ind w:left="720" w:firstLine="0" w:firstLineChars="0"/>
        <w:rPr>
          <w:rFonts w:ascii="Times New Roman" w:hAnsi="Times New Roman" w:cs="Times New Roman"/>
        </w:rPr>
      </w:pPr>
      <w:r>
        <w:rPr>
          <w:rFonts w:ascii="Times New Roman" w:hAnsi="Times New Roman" w:cs="Times New Roman"/>
        </w:rPr>
        <w:t>11.</w:t>
      </w:r>
      <w:r>
        <w:rPr>
          <w:rFonts w:ascii="Times New Roman" w:hAnsi="Times New Roman" w:cs="Times New Roman"/>
        </w:rPr>
        <w:tab/>
      </w:r>
      <w:r>
        <w:rPr>
          <w:rFonts w:ascii="Times New Roman" w:hAnsi="Times New Roman" w:cs="Times New Roman"/>
        </w:rPr>
        <w:t>Danecek, P.</w:t>
      </w:r>
      <w:r>
        <w:rPr>
          <w:rFonts w:ascii="Times New Roman" w:hAnsi="Times New Roman" w:cs="Times New Roman"/>
          <w:i/>
        </w:rPr>
        <w:t>, et al.</w:t>
      </w:r>
      <w:r>
        <w:rPr>
          <w:rFonts w:ascii="Times New Roman" w:hAnsi="Times New Roman" w:cs="Times New Roman"/>
        </w:rPr>
        <w:t xml:space="preserve"> Twelve years of SAMtools and BCFtools. </w:t>
      </w:r>
      <w:r>
        <w:rPr>
          <w:rFonts w:ascii="Times New Roman" w:hAnsi="Times New Roman" w:cs="Times New Roman"/>
          <w:i/>
        </w:rPr>
        <w:t>GigaScience</w:t>
      </w:r>
      <w:r>
        <w:rPr>
          <w:rFonts w:ascii="Times New Roman" w:hAnsi="Times New Roman" w:cs="Times New Roman"/>
        </w:rPr>
        <w:t xml:space="preserve"> </w:t>
      </w:r>
      <w:r>
        <w:rPr>
          <w:rFonts w:ascii="Times New Roman" w:hAnsi="Times New Roman" w:cs="Times New Roman"/>
          <w:b/>
        </w:rPr>
        <w:t>10</w:t>
      </w:r>
      <w:r>
        <w:rPr>
          <w:rFonts w:ascii="Times New Roman" w:hAnsi="Times New Roman" w:cs="Times New Roman"/>
        </w:rPr>
        <w:t>, giab008 (2021).</w:t>
      </w:r>
    </w:p>
    <w:p w14:paraId="4D762E83">
      <w:pPr>
        <w:pStyle w:val="19"/>
        <w:spacing w:line="480" w:lineRule="auto"/>
        <w:ind w:left="720" w:firstLine="0" w:firstLineChars="0"/>
        <w:rPr>
          <w:rFonts w:ascii="Times New Roman" w:hAnsi="Times New Roman" w:cs="Times New Roman"/>
        </w:rPr>
      </w:pPr>
      <w:r>
        <w:rPr>
          <w:rFonts w:ascii="Times New Roman" w:hAnsi="Times New Roman" w:cs="Times New Roman"/>
        </w:rPr>
        <w:t>12.</w:t>
      </w:r>
      <w:r>
        <w:rPr>
          <w:rFonts w:ascii="Times New Roman" w:hAnsi="Times New Roman" w:cs="Times New Roman"/>
        </w:rPr>
        <w:tab/>
      </w:r>
      <w:r>
        <w:rPr>
          <w:rFonts w:ascii="Times New Roman" w:hAnsi="Times New Roman" w:cs="Times New Roman"/>
        </w:rPr>
        <w:t>Aramaki, T.</w:t>
      </w:r>
      <w:r>
        <w:rPr>
          <w:rFonts w:ascii="Times New Roman" w:hAnsi="Times New Roman" w:cs="Times New Roman"/>
          <w:i/>
        </w:rPr>
        <w:t>, et al.</w:t>
      </w:r>
      <w:r>
        <w:rPr>
          <w:rFonts w:ascii="Times New Roman" w:hAnsi="Times New Roman" w:cs="Times New Roman"/>
        </w:rPr>
        <w:t xml:space="preserve"> KofamKOALA: KEGG Ortholog assignment based on profile HMM and adaptive score threshold. </w:t>
      </w:r>
      <w:r>
        <w:rPr>
          <w:rFonts w:ascii="Times New Roman" w:hAnsi="Times New Roman" w:cs="Times New Roman"/>
          <w:i/>
        </w:rPr>
        <w:t>Bioinformatics</w:t>
      </w:r>
      <w:r>
        <w:rPr>
          <w:rFonts w:ascii="Times New Roman" w:hAnsi="Times New Roman" w:cs="Times New Roman"/>
        </w:rPr>
        <w:t xml:space="preserve"> </w:t>
      </w:r>
      <w:r>
        <w:rPr>
          <w:rFonts w:ascii="Times New Roman" w:hAnsi="Times New Roman" w:cs="Times New Roman"/>
          <w:b/>
        </w:rPr>
        <w:t>36</w:t>
      </w:r>
      <w:r>
        <w:rPr>
          <w:rFonts w:ascii="Times New Roman" w:hAnsi="Times New Roman" w:cs="Times New Roman"/>
        </w:rPr>
        <w:t>, 2251-2252 (2020).</w:t>
      </w:r>
    </w:p>
    <w:p w14:paraId="7891A03C">
      <w:pPr>
        <w:pStyle w:val="19"/>
        <w:spacing w:line="480" w:lineRule="auto"/>
        <w:ind w:left="720" w:firstLine="0" w:firstLineChars="0"/>
        <w:rPr>
          <w:rFonts w:ascii="Times New Roman" w:hAnsi="Times New Roman" w:cs="Times New Roman"/>
        </w:rPr>
      </w:pPr>
      <w:r>
        <w:rPr>
          <w:rFonts w:ascii="Times New Roman" w:hAnsi="Times New Roman" w:cs="Times New Roman"/>
        </w:rPr>
        <w:t>13.</w:t>
      </w:r>
      <w:r>
        <w:rPr>
          <w:rFonts w:ascii="Times New Roman" w:hAnsi="Times New Roman" w:cs="Times New Roman"/>
        </w:rPr>
        <w:tab/>
      </w:r>
      <w:r>
        <w:rPr>
          <w:rFonts w:ascii="Times New Roman" w:hAnsi="Times New Roman" w:cs="Times New Roman"/>
        </w:rPr>
        <w:t xml:space="preserve">Wood, D. E., Lu, J. &amp; Langmead, B. Improved metagenomic analysis with Kraken 2. </w:t>
      </w:r>
      <w:r>
        <w:rPr>
          <w:rFonts w:ascii="Times New Roman" w:hAnsi="Times New Roman" w:cs="Times New Roman"/>
          <w:i/>
        </w:rPr>
        <w:t>Genome Biology</w:t>
      </w:r>
      <w:r>
        <w:rPr>
          <w:rFonts w:ascii="Times New Roman" w:hAnsi="Times New Roman" w:cs="Times New Roman"/>
        </w:rPr>
        <w:t xml:space="preserve"> </w:t>
      </w:r>
      <w:r>
        <w:rPr>
          <w:rFonts w:ascii="Times New Roman" w:hAnsi="Times New Roman" w:cs="Times New Roman"/>
          <w:b/>
        </w:rPr>
        <w:t>20</w:t>
      </w:r>
      <w:r>
        <w:rPr>
          <w:rFonts w:ascii="Times New Roman" w:hAnsi="Times New Roman" w:cs="Times New Roman"/>
        </w:rPr>
        <w:t>, 257 (2019).</w:t>
      </w:r>
    </w:p>
    <w:p w14:paraId="40073C45">
      <w:pPr>
        <w:pStyle w:val="19"/>
        <w:spacing w:line="480" w:lineRule="auto"/>
        <w:ind w:left="720" w:firstLine="0" w:firstLineChars="0"/>
        <w:rPr>
          <w:rFonts w:ascii="Times New Roman" w:hAnsi="Times New Roman" w:cs="Times New Roman"/>
        </w:rPr>
      </w:pPr>
      <w:r>
        <w:rPr>
          <w:rFonts w:ascii="Times New Roman" w:hAnsi="Times New Roman" w:cs="Times New Roman"/>
        </w:rPr>
        <w:t>14.</w:t>
      </w:r>
      <w:r>
        <w:rPr>
          <w:rFonts w:ascii="Times New Roman" w:hAnsi="Times New Roman" w:cs="Times New Roman"/>
        </w:rPr>
        <w:tab/>
      </w:r>
      <w:r>
        <w:rPr>
          <w:rFonts w:ascii="Times New Roman" w:hAnsi="Times New Roman" w:cs="Times New Roman"/>
        </w:rPr>
        <w:t xml:space="preserve">Shen, W., Sipos, B. &amp; Zhao, L. SeqKit2: A Swiss army knife for sequence and alignment processing. </w:t>
      </w:r>
      <w:r>
        <w:rPr>
          <w:rFonts w:ascii="Times New Roman" w:hAnsi="Times New Roman" w:cs="Times New Roman"/>
          <w:i/>
        </w:rPr>
        <w:t>iMeta</w:t>
      </w:r>
      <w:r>
        <w:rPr>
          <w:rFonts w:ascii="Times New Roman" w:hAnsi="Times New Roman" w:cs="Times New Roman"/>
        </w:rPr>
        <w:t xml:space="preserve"> </w:t>
      </w:r>
      <w:r>
        <w:rPr>
          <w:rFonts w:ascii="Times New Roman" w:hAnsi="Times New Roman" w:cs="Times New Roman"/>
          <w:b/>
        </w:rPr>
        <w:t>3</w:t>
      </w:r>
      <w:r>
        <w:rPr>
          <w:rFonts w:ascii="Times New Roman" w:hAnsi="Times New Roman" w:cs="Times New Roman"/>
        </w:rPr>
        <w:t>, e191 (2024).</w:t>
      </w:r>
    </w:p>
    <w:p w14:paraId="52FDB759">
      <w:pPr>
        <w:pStyle w:val="19"/>
        <w:spacing w:line="480" w:lineRule="auto"/>
        <w:ind w:left="720" w:firstLine="0" w:firstLineChars="0"/>
        <w:rPr>
          <w:rFonts w:ascii="Times New Roman" w:hAnsi="Times New Roman" w:cs="Times New Roman"/>
        </w:rPr>
      </w:pPr>
      <w:r>
        <w:rPr>
          <w:rFonts w:ascii="Times New Roman" w:hAnsi="Times New Roman" w:cs="Times New Roman"/>
        </w:rPr>
        <w:t>15.</w:t>
      </w:r>
      <w:r>
        <w:rPr>
          <w:rFonts w:ascii="Times New Roman" w:hAnsi="Times New Roman" w:cs="Times New Roman"/>
        </w:rPr>
        <w:tab/>
      </w:r>
      <w:r>
        <w:rPr>
          <w:rFonts w:ascii="Times New Roman" w:hAnsi="Times New Roman" w:cs="Times New Roman"/>
        </w:rPr>
        <w:t>Guo, J.</w:t>
      </w:r>
      <w:r>
        <w:rPr>
          <w:rFonts w:ascii="Times New Roman" w:hAnsi="Times New Roman" w:cs="Times New Roman"/>
          <w:i/>
        </w:rPr>
        <w:t>, et al.</w:t>
      </w:r>
      <w:r>
        <w:rPr>
          <w:rFonts w:ascii="Times New Roman" w:hAnsi="Times New Roman" w:cs="Times New Roman"/>
        </w:rPr>
        <w:t xml:space="preserve"> VirSorter2: a multi-classifier, expert-guided approach to detect diverse DNA and RNA viruses. </w:t>
      </w:r>
      <w:r>
        <w:rPr>
          <w:rFonts w:ascii="Times New Roman" w:hAnsi="Times New Roman" w:cs="Times New Roman"/>
          <w:i/>
        </w:rPr>
        <w:t>Microbiome</w:t>
      </w:r>
      <w:r>
        <w:rPr>
          <w:rFonts w:ascii="Times New Roman" w:hAnsi="Times New Roman" w:cs="Times New Roman"/>
        </w:rPr>
        <w:t xml:space="preserve"> </w:t>
      </w:r>
      <w:r>
        <w:rPr>
          <w:rFonts w:ascii="Times New Roman" w:hAnsi="Times New Roman" w:cs="Times New Roman"/>
          <w:b/>
        </w:rPr>
        <w:t>9</w:t>
      </w:r>
      <w:r>
        <w:rPr>
          <w:rFonts w:ascii="Times New Roman" w:hAnsi="Times New Roman" w:cs="Times New Roman"/>
        </w:rPr>
        <w:t>, 37 (2021).</w:t>
      </w:r>
    </w:p>
    <w:p w14:paraId="37ADCA5F">
      <w:pPr>
        <w:pStyle w:val="19"/>
        <w:spacing w:line="480" w:lineRule="auto"/>
        <w:ind w:left="720" w:firstLine="0" w:firstLineChars="0"/>
        <w:rPr>
          <w:rFonts w:ascii="Times New Roman" w:hAnsi="Times New Roman" w:cs="Times New Roman"/>
        </w:rPr>
      </w:pPr>
      <w:r>
        <w:rPr>
          <w:rFonts w:ascii="Times New Roman" w:hAnsi="Times New Roman" w:cs="Times New Roman"/>
        </w:rPr>
        <w:t>16.</w:t>
      </w:r>
      <w:r>
        <w:rPr>
          <w:rFonts w:ascii="Times New Roman" w:hAnsi="Times New Roman" w:cs="Times New Roman"/>
        </w:rPr>
        <w:tab/>
      </w:r>
      <w:r>
        <w:rPr>
          <w:rFonts w:ascii="Times New Roman" w:hAnsi="Times New Roman" w:cs="Times New Roman"/>
        </w:rPr>
        <w:t xml:space="preserve">Ren, J., Ahlgren, N. A., Lu, Y. Y., Fuhrman, J. A. &amp; Sun, F. VirFinder: a novel k-mer based tool for identifying viral sequences from assembled metagenomic data. </w:t>
      </w:r>
      <w:r>
        <w:rPr>
          <w:rFonts w:ascii="Times New Roman" w:hAnsi="Times New Roman" w:cs="Times New Roman"/>
          <w:i/>
        </w:rPr>
        <w:t>Microbiome</w:t>
      </w:r>
      <w:r>
        <w:rPr>
          <w:rFonts w:ascii="Times New Roman" w:hAnsi="Times New Roman" w:cs="Times New Roman"/>
        </w:rPr>
        <w:t xml:space="preserve"> </w:t>
      </w:r>
      <w:r>
        <w:rPr>
          <w:rFonts w:ascii="Times New Roman" w:hAnsi="Times New Roman" w:cs="Times New Roman"/>
          <w:b/>
        </w:rPr>
        <w:t>5</w:t>
      </w:r>
      <w:r>
        <w:rPr>
          <w:rFonts w:ascii="Times New Roman" w:hAnsi="Times New Roman" w:cs="Times New Roman"/>
        </w:rPr>
        <w:t>, 69 (2017).</w:t>
      </w:r>
    </w:p>
    <w:p w14:paraId="2FFFF441">
      <w:pPr>
        <w:pStyle w:val="19"/>
        <w:spacing w:line="480" w:lineRule="auto"/>
        <w:ind w:left="720" w:firstLine="0" w:firstLineChars="0"/>
        <w:rPr>
          <w:rFonts w:ascii="Times New Roman" w:hAnsi="Times New Roman" w:cs="Times New Roman"/>
        </w:rPr>
      </w:pPr>
      <w:r>
        <w:rPr>
          <w:rFonts w:ascii="Times New Roman" w:hAnsi="Times New Roman" w:cs="Times New Roman"/>
        </w:rPr>
        <w:t>17.</w:t>
      </w:r>
      <w:r>
        <w:rPr>
          <w:rFonts w:ascii="Times New Roman" w:hAnsi="Times New Roman" w:cs="Times New Roman"/>
        </w:rPr>
        <w:tab/>
      </w:r>
      <w:r>
        <w:rPr>
          <w:rFonts w:ascii="Times New Roman" w:hAnsi="Times New Roman" w:cs="Times New Roman"/>
        </w:rPr>
        <w:t>Camargo, A. P.</w:t>
      </w:r>
      <w:r>
        <w:rPr>
          <w:rFonts w:ascii="Times New Roman" w:hAnsi="Times New Roman" w:cs="Times New Roman"/>
          <w:i/>
        </w:rPr>
        <w:t>, et al.</w:t>
      </w:r>
      <w:r>
        <w:rPr>
          <w:rFonts w:ascii="Times New Roman" w:hAnsi="Times New Roman" w:cs="Times New Roman"/>
        </w:rPr>
        <w:t xml:space="preserve"> Identification of mobile genetic elements with geNomad. </w:t>
      </w:r>
      <w:r>
        <w:rPr>
          <w:rFonts w:ascii="Times New Roman" w:hAnsi="Times New Roman" w:cs="Times New Roman"/>
          <w:i/>
        </w:rPr>
        <w:t>Nat Biotechnol</w:t>
      </w:r>
      <w:r>
        <w:rPr>
          <w:rFonts w:ascii="Times New Roman" w:hAnsi="Times New Roman" w:cs="Times New Roman"/>
        </w:rPr>
        <w:t xml:space="preserve"> </w:t>
      </w:r>
      <w:r>
        <w:rPr>
          <w:rFonts w:ascii="Times New Roman" w:hAnsi="Times New Roman" w:cs="Times New Roman"/>
          <w:b/>
        </w:rPr>
        <w:t>42</w:t>
      </w:r>
      <w:r>
        <w:rPr>
          <w:rFonts w:ascii="Times New Roman" w:hAnsi="Times New Roman" w:cs="Times New Roman"/>
        </w:rPr>
        <w:t>, 1303-1312 (2024).</w:t>
      </w:r>
    </w:p>
    <w:p w14:paraId="7E595402">
      <w:pPr>
        <w:pStyle w:val="19"/>
        <w:spacing w:line="480" w:lineRule="auto"/>
        <w:ind w:left="720" w:firstLine="0" w:firstLineChars="0"/>
        <w:rPr>
          <w:rFonts w:ascii="Times New Roman" w:hAnsi="Times New Roman" w:cs="Times New Roman"/>
        </w:rPr>
      </w:pPr>
      <w:r>
        <w:rPr>
          <w:rFonts w:ascii="Times New Roman" w:hAnsi="Times New Roman" w:cs="Times New Roman"/>
        </w:rPr>
        <w:t>18.</w:t>
      </w:r>
      <w:r>
        <w:rPr>
          <w:rFonts w:ascii="Times New Roman" w:hAnsi="Times New Roman" w:cs="Times New Roman"/>
        </w:rPr>
        <w:tab/>
      </w:r>
      <w:r>
        <w:rPr>
          <w:rFonts w:ascii="Times New Roman" w:hAnsi="Times New Roman" w:cs="Times New Roman"/>
        </w:rPr>
        <w:t>Zielezinski, A.</w:t>
      </w:r>
      <w:r>
        <w:rPr>
          <w:rFonts w:ascii="Times New Roman" w:hAnsi="Times New Roman" w:cs="Times New Roman"/>
          <w:i/>
        </w:rPr>
        <w:t>, et al.</w:t>
      </w:r>
      <w:r>
        <w:rPr>
          <w:rFonts w:ascii="Times New Roman" w:hAnsi="Times New Roman" w:cs="Times New Roman"/>
        </w:rPr>
        <w:t xml:space="preserve"> Ultrafast and accurate sequence alignment and clustering of viral genomes. </w:t>
      </w:r>
      <w:r>
        <w:rPr>
          <w:rFonts w:ascii="Times New Roman" w:hAnsi="Times New Roman" w:cs="Times New Roman"/>
          <w:i/>
        </w:rPr>
        <w:t>Nat Methods</w:t>
      </w:r>
      <w:r>
        <w:rPr>
          <w:rFonts w:ascii="Times New Roman" w:hAnsi="Times New Roman" w:cs="Times New Roman"/>
        </w:rPr>
        <w:t xml:space="preserve"> </w:t>
      </w:r>
      <w:r>
        <w:rPr>
          <w:rFonts w:ascii="Times New Roman" w:hAnsi="Times New Roman" w:cs="Times New Roman"/>
          <w:b/>
        </w:rPr>
        <w:t>22</w:t>
      </w:r>
      <w:r>
        <w:rPr>
          <w:rFonts w:ascii="Times New Roman" w:hAnsi="Times New Roman" w:cs="Times New Roman"/>
        </w:rPr>
        <w:t>, 1191-1194 (2025).</w:t>
      </w:r>
    </w:p>
    <w:p w14:paraId="2ACAA053">
      <w:pPr>
        <w:pStyle w:val="19"/>
        <w:spacing w:line="480" w:lineRule="auto"/>
        <w:ind w:left="720" w:firstLine="0" w:firstLineChars="0"/>
        <w:rPr>
          <w:rFonts w:ascii="Times New Roman" w:hAnsi="Times New Roman" w:cs="Times New Roman"/>
        </w:rPr>
      </w:pPr>
      <w:r>
        <w:rPr>
          <w:rFonts w:ascii="Times New Roman" w:hAnsi="Times New Roman" w:cs="Times New Roman"/>
        </w:rPr>
        <w:t>19.</w:t>
      </w:r>
      <w:r>
        <w:rPr>
          <w:rFonts w:ascii="Times New Roman" w:hAnsi="Times New Roman" w:cs="Times New Roman"/>
        </w:rPr>
        <w:tab/>
      </w:r>
      <w:r>
        <w:rPr>
          <w:rFonts w:ascii="Times New Roman" w:hAnsi="Times New Roman" w:cs="Times New Roman"/>
        </w:rPr>
        <w:t>Aroney, S. T. N.</w:t>
      </w:r>
      <w:r>
        <w:rPr>
          <w:rFonts w:ascii="Times New Roman" w:hAnsi="Times New Roman" w:cs="Times New Roman"/>
          <w:i/>
        </w:rPr>
        <w:t>, et al.</w:t>
      </w:r>
      <w:r>
        <w:rPr>
          <w:rFonts w:ascii="Times New Roman" w:hAnsi="Times New Roman" w:cs="Times New Roman"/>
        </w:rPr>
        <w:t xml:space="preserve"> CoverM: read alignment statistics for metagenomics. </w:t>
      </w:r>
      <w:r>
        <w:rPr>
          <w:rFonts w:ascii="Times New Roman" w:hAnsi="Times New Roman" w:cs="Times New Roman"/>
          <w:i/>
        </w:rPr>
        <w:t>Bioinformatics</w:t>
      </w:r>
      <w:r>
        <w:rPr>
          <w:rFonts w:ascii="Times New Roman" w:hAnsi="Times New Roman" w:cs="Times New Roman"/>
        </w:rPr>
        <w:t xml:space="preserve"> </w:t>
      </w:r>
      <w:r>
        <w:rPr>
          <w:rFonts w:ascii="Times New Roman" w:hAnsi="Times New Roman" w:cs="Times New Roman"/>
          <w:b/>
        </w:rPr>
        <w:t>41</w:t>
      </w:r>
      <w:r>
        <w:rPr>
          <w:rFonts w:ascii="Times New Roman" w:hAnsi="Times New Roman" w:cs="Times New Roman"/>
        </w:rPr>
        <w:t>, btaf147 (2025).</w:t>
      </w:r>
    </w:p>
    <w:p w14:paraId="543B0326">
      <w:pPr>
        <w:pStyle w:val="19"/>
        <w:spacing w:line="480" w:lineRule="auto"/>
        <w:ind w:left="720" w:firstLine="0" w:firstLineChars="0"/>
        <w:rPr>
          <w:rFonts w:ascii="Times New Roman" w:hAnsi="Times New Roman" w:cs="Times New Roman"/>
        </w:rPr>
      </w:pPr>
      <w:r>
        <w:rPr>
          <w:rFonts w:ascii="Times New Roman" w:hAnsi="Times New Roman" w:cs="Times New Roman"/>
        </w:rPr>
        <w:t>20.</w:t>
      </w:r>
      <w:r>
        <w:rPr>
          <w:rFonts w:ascii="Times New Roman" w:hAnsi="Times New Roman" w:cs="Times New Roman"/>
        </w:rPr>
        <w:tab/>
      </w:r>
      <w:r>
        <w:rPr>
          <w:rFonts w:ascii="Times New Roman" w:hAnsi="Times New Roman" w:cs="Times New Roman"/>
        </w:rPr>
        <w:t xml:space="preserve">Zielezinski, A., Deorowicz, S. &amp; Gudyś, A. PHIST: fast and accurate prediction of prokaryotic hosts from metagenomic viral sequences. </w:t>
      </w:r>
      <w:r>
        <w:rPr>
          <w:rFonts w:ascii="Times New Roman" w:hAnsi="Times New Roman" w:cs="Times New Roman"/>
          <w:i/>
        </w:rPr>
        <w:t>Bioinformatics</w:t>
      </w:r>
      <w:r>
        <w:rPr>
          <w:rFonts w:ascii="Times New Roman" w:hAnsi="Times New Roman" w:cs="Times New Roman"/>
        </w:rPr>
        <w:t xml:space="preserve"> </w:t>
      </w:r>
      <w:r>
        <w:rPr>
          <w:rFonts w:ascii="Times New Roman" w:hAnsi="Times New Roman" w:cs="Times New Roman"/>
          <w:b/>
        </w:rPr>
        <w:t>38</w:t>
      </w:r>
      <w:r>
        <w:rPr>
          <w:rFonts w:ascii="Times New Roman" w:hAnsi="Times New Roman" w:cs="Times New Roman"/>
        </w:rPr>
        <w:t>, 1447-1449 (2022).</w:t>
      </w:r>
    </w:p>
    <w:p w14:paraId="7DB78BAB">
      <w:pPr>
        <w:pStyle w:val="19"/>
        <w:spacing w:line="480" w:lineRule="auto"/>
        <w:ind w:left="720" w:firstLine="0" w:firstLineChars="0"/>
        <w:rPr>
          <w:rFonts w:ascii="Times New Roman" w:hAnsi="Times New Roman" w:cs="Times New Roman"/>
        </w:rPr>
      </w:pPr>
      <w:r>
        <w:rPr>
          <w:rFonts w:ascii="Times New Roman" w:hAnsi="Times New Roman" w:cs="Times New Roman"/>
        </w:rPr>
        <w:t>21.</w:t>
      </w:r>
      <w:r>
        <w:rPr>
          <w:rFonts w:ascii="Times New Roman" w:hAnsi="Times New Roman" w:cs="Times New Roman"/>
        </w:rPr>
        <w:tab/>
      </w:r>
      <w:r>
        <w:rPr>
          <w:rFonts w:ascii="Times New Roman" w:hAnsi="Times New Roman" w:cs="Times New Roman"/>
        </w:rPr>
        <w:t>Shang, J.</w:t>
      </w:r>
      <w:r>
        <w:rPr>
          <w:rFonts w:ascii="Times New Roman" w:hAnsi="Times New Roman" w:cs="Times New Roman"/>
          <w:i/>
        </w:rPr>
        <w:t>, et al.</w:t>
      </w:r>
      <w:r>
        <w:rPr>
          <w:rFonts w:ascii="Times New Roman" w:hAnsi="Times New Roman" w:cs="Times New Roman"/>
        </w:rPr>
        <w:t xml:space="preserve"> From genomic signals to prediction tools: a critical feature analysis and rigorous benchmark for phage–host prediction. </w:t>
      </w:r>
      <w:r>
        <w:rPr>
          <w:rFonts w:ascii="Times New Roman" w:hAnsi="Times New Roman" w:cs="Times New Roman"/>
          <w:i/>
        </w:rPr>
        <w:t>Briefings in Bioinformatics</w:t>
      </w:r>
      <w:r>
        <w:rPr>
          <w:rFonts w:ascii="Times New Roman" w:hAnsi="Times New Roman" w:cs="Times New Roman"/>
        </w:rPr>
        <w:t xml:space="preserve"> </w:t>
      </w:r>
      <w:r>
        <w:rPr>
          <w:rFonts w:ascii="Times New Roman" w:hAnsi="Times New Roman" w:cs="Times New Roman"/>
          <w:b/>
        </w:rPr>
        <w:t>26</w:t>
      </w:r>
      <w:r>
        <w:rPr>
          <w:rFonts w:ascii="Times New Roman" w:hAnsi="Times New Roman" w:cs="Times New Roman"/>
        </w:rPr>
        <w:t>, bbaf626 (2025).</w:t>
      </w:r>
    </w:p>
    <w:p w14:paraId="7FB529AF">
      <w:pPr>
        <w:pStyle w:val="19"/>
        <w:spacing w:line="480" w:lineRule="auto"/>
        <w:ind w:left="720" w:firstLine="0" w:firstLineChars="0"/>
        <w:rPr>
          <w:rFonts w:ascii="Times New Roman" w:hAnsi="Times New Roman" w:cs="Times New Roman"/>
        </w:rPr>
      </w:pPr>
      <w:r>
        <w:rPr>
          <w:rFonts w:ascii="Times New Roman" w:hAnsi="Times New Roman" w:cs="Times New Roman"/>
        </w:rPr>
        <w:t>22.</w:t>
      </w:r>
      <w:r>
        <w:rPr>
          <w:rFonts w:ascii="Times New Roman" w:hAnsi="Times New Roman" w:cs="Times New Roman"/>
        </w:rPr>
        <w:tab/>
      </w:r>
      <w:r>
        <w:rPr>
          <w:rFonts w:ascii="Times New Roman" w:hAnsi="Times New Roman" w:cs="Times New Roman"/>
        </w:rPr>
        <w:t xml:space="preserve">Shang, J., Tang, X. &amp; Sun, Y. PhaTYP: predicting the lifestyle for bacteriophages using BERT. </w:t>
      </w:r>
      <w:r>
        <w:rPr>
          <w:rFonts w:ascii="Times New Roman" w:hAnsi="Times New Roman" w:cs="Times New Roman"/>
          <w:i/>
        </w:rPr>
        <w:t>Briefings in Bioinformatics</w:t>
      </w:r>
      <w:r>
        <w:rPr>
          <w:rFonts w:ascii="Times New Roman" w:hAnsi="Times New Roman" w:cs="Times New Roman"/>
        </w:rPr>
        <w:t xml:space="preserve"> </w:t>
      </w:r>
      <w:r>
        <w:rPr>
          <w:rFonts w:ascii="Times New Roman" w:hAnsi="Times New Roman" w:cs="Times New Roman"/>
          <w:b/>
        </w:rPr>
        <w:t>24</w:t>
      </w:r>
      <w:r>
        <w:rPr>
          <w:rFonts w:ascii="Times New Roman" w:hAnsi="Times New Roman" w:cs="Times New Roman"/>
        </w:rPr>
        <w:t>, bbac487 (2023).</w:t>
      </w:r>
    </w:p>
    <w:p w14:paraId="653D573B">
      <w:pPr>
        <w:pStyle w:val="19"/>
        <w:spacing w:line="480" w:lineRule="auto"/>
        <w:ind w:left="720" w:firstLine="0" w:firstLineChars="0"/>
        <w:rPr>
          <w:rFonts w:ascii="Times New Roman" w:hAnsi="Times New Roman" w:cs="Times New Roman"/>
        </w:rPr>
      </w:pPr>
      <w:r>
        <w:rPr>
          <w:rFonts w:ascii="Times New Roman" w:hAnsi="Times New Roman" w:cs="Times New Roman"/>
        </w:rPr>
        <w:t>23.</w:t>
      </w:r>
      <w:r>
        <w:rPr>
          <w:rFonts w:ascii="Times New Roman" w:hAnsi="Times New Roman" w:cs="Times New Roman"/>
        </w:rPr>
        <w:tab/>
      </w:r>
      <w:r>
        <w:rPr>
          <w:rFonts w:ascii="Times New Roman" w:hAnsi="Times New Roman" w:cs="Times New Roman"/>
        </w:rPr>
        <w:t>Juhász, J.</w:t>
      </w:r>
      <w:r>
        <w:rPr>
          <w:rFonts w:ascii="Times New Roman" w:hAnsi="Times New Roman" w:cs="Times New Roman"/>
          <w:i/>
        </w:rPr>
        <w:t>, et al.</w:t>
      </w:r>
      <w:r>
        <w:rPr>
          <w:rFonts w:ascii="Times New Roman" w:hAnsi="Times New Roman" w:cs="Times New Roman"/>
        </w:rPr>
        <w:t xml:space="preserve"> ProkBERT PhaStyle: accurate phage lifestyle prediction with pretrained genomic language models. </w:t>
      </w:r>
      <w:r>
        <w:rPr>
          <w:rFonts w:ascii="Times New Roman" w:hAnsi="Times New Roman" w:cs="Times New Roman"/>
          <w:i/>
        </w:rPr>
        <w:t>Bioinformatics Advances</w:t>
      </w:r>
      <w:r>
        <w:rPr>
          <w:rFonts w:ascii="Times New Roman" w:hAnsi="Times New Roman" w:cs="Times New Roman"/>
        </w:rPr>
        <w:t xml:space="preserve"> </w:t>
      </w:r>
      <w:r>
        <w:rPr>
          <w:rFonts w:ascii="Times New Roman" w:hAnsi="Times New Roman" w:cs="Times New Roman"/>
          <w:b/>
        </w:rPr>
        <w:t>5</w:t>
      </w:r>
      <w:r>
        <w:rPr>
          <w:rFonts w:ascii="Times New Roman" w:hAnsi="Times New Roman" w:cs="Times New Roman"/>
        </w:rPr>
        <w:t>, vbaf188 (2025).</w:t>
      </w:r>
    </w:p>
    <w:p w14:paraId="5A0300CD">
      <w:pPr>
        <w:pStyle w:val="19"/>
        <w:spacing w:line="480" w:lineRule="auto"/>
        <w:ind w:left="720" w:firstLine="0" w:firstLineChars="0"/>
        <w:rPr>
          <w:rFonts w:ascii="Times New Roman" w:hAnsi="Times New Roman" w:cs="Times New Roman"/>
        </w:rPr>
      </w:pPr>
      <w:r>
        <w:rPr>
          <w:rFonts w:ascii="Times New Roman" w:hAnsi="Times New Roman" w:cs="Times New Roman"/>
        </w:rPr>
        <w:t>24.</w:t>
      </w:r>
      <w:r>
        <w:rPr>
          <w:rFonts w:ascii="Times New Roman" w:hAnsi="Times New Roman" w:cs="Times New Roman"/>
        </w:rPr>
        <w:tab/>
      </w:r>
      <w:r>
        <w:rPr>
          <w:rFonts w:ascii="Times New Roman" w:hAnsi="Times New Roman" w:cs="Times New Roman"/>
        </w:rPr>
        <w:t>Lehner, B.</w:t>
      </w:r>
      <w:r>
        <w:rPr>
          <w:rFonts w:ascii="Times New Roman" w:hAnsi="Times New Roman" w:cs="Times New Roman"/>
          <w:i/>
        </w:rPr>
        <w:t>, et al.</w:t>
      </w:r>
      <w:r>
        <w:rPr>
          <w:rFonts w:ascii="Times New Roman" w:hAnsi="Times New Roman" w:cs="Times New Roman"/>
        </w:rPr>
        <w:t xml:space="preserve"> High‐resolution mapping of the world's reservoirs and dams for sustainable river‐flow management. </w:t>
      </w:r>
      <w:r>
        <w:rPr>
          <w:rFonts w:ascii="Times New Roman" w:hAnsi="Times New Roman" w:cs="Times New Roman"/>
          <w:i/>
        </w:rPr>
        <w:t>Frontiers in Ecology and the Environment</w:t>
      </w:r>
      <w:r>
        <w:rPr>
          <w:rFonts w:ascii="Times New Roman" w:hAnsi="Times New Roman" w:cs="Times New Roman"/>
        </w:rPr>
        <w:t xml:space="preserve"> </w:t>
      </w:r>
      <w:r>
        <w:rPr>
          <w:rFonts w:ascii="Times New Roman" w:hAnsi="Times New Roman" w:cs="Times New Roman"/>
          <w:b/>
        </w:rPr>
        <w:t>9</w:t>
      </w:r>
      <w:r>
        <w:rPr>
          <w:rFonts w:ascii="Times New Roman" w:hAnsi="Times New Roman" w:cs="Times New Roman"/>
        </w:rPr>
        <w:t>, 494-502 (2011).</w:t>
      </w:r>
    </w:p>
    <w:p w14:paraId="742546EE">
      <w:pPr>
        <w:pStyle w:val="19"/>
        <w:spacing w:line="480" w:lineRule="auto"/>
        <w:ind w:left="720" w:firstLine="0" w:firstLineChars="0"/>
        <w:rPr>
          <w:rFonts w:ascii="Times New Roman" w:hAnsi="Times New Roman" w:cs="Times New Roman"/>
        </w:rPr>
      </w:pPr>
      <w:r>
        <w:rPr>
          <w:rFonts w:ascii="Times New Roman" w:hAnsi="Times New Roman" w:cs="Times New Roman"/>
        </w:rPr>
        <w:t>25.</w:t>
      </w:r>
      <w:r>
        <w:rPr>
          <w:rFonts w:ascii="Times New Roman" w:hAnsi="Times New Roman" w:cs="Times New Roman"/>
        </w:rPr>
        <w:tab/>
      </w:r>
      <w:r>
        <w:rPr>
          <w:rFonts w:ascii="Times New Roman" w:hAnsi="Times New Roman" w:cs="Times New Roman"/>
        </w:rPr>
        <w:t>Song, K.</w:t>
      </w:r>
      <w:r>
        <w:rPr>
          <w:rFonts w:ascii="Times New Roman" w:hAnsi="Times New Roman" w:cs="Times New Roman"/>
          <w:i/>
        </w:rPr>
        <w:t>, et al.</w:t>
      </w:r>
      <w:r>
        <w:rPr>
          <w:rFonts w:ascii="Times New Roman" w:hAnsi="Times New Roman" w:cs="Times New Roman"/>
        </w:rPr>
        <w:t xml:space="preserve"> Quantification of dissolved organic carbon (DOC) storage in lakes and reservoirs of mainland China. </w:t>
      </w:r>
      <w:r>
        <w:rPr>
          <w:rFonts w:ascii="Times New Roman" w:hAnsi="Times New Roman" w:cs="Times New Roman"/>
          <w:i/>
        </w:rPr>
        <w:t>Journal of environmental management</w:t>
      </w:r>
      <w:r>
        <w:rPr>
          <w:rFonts w:ascii="Times New Roman" w:hAnsi="Times New Roman" w:cs="Times New Roman"/>
        </w:rPr>
        <w:t xml:space="preserve"> </w:t>
      </w:r>
      <w:r>
        <w:rPr>
          <w:rFonts w:ascii="Times New Roman" w:hAnsi="Times New Roman" w:cs="Times New Roman"/>
          <w:b/>
        </w:rPr>
        <w:t>217</w:t>
      </w:r>
      <w:r>
        <w:rPr>
          <w:rFonts w:ascii="Times New Roman" w:hAnsi="Times New Roman" w:cs="Times New Roman"/>
        </w:rPr>
        <w:t>, 391-402 (2018).</w:t>
      </w:r>
    </w:p>
    <w:p w14:paraId="20C93422">
      <w:pPr>
        <w:pStyle w:val="19"/>
        <w:spacing w:line="480" w:lineRule="auto"/>
        <w:ind w:left="720" w:firstLine="0" w:firstLineChars="0"/>
        <w:rPr>
          <w:rFonts w:ascii="Times New Roman" w:hAnsi="Times New Roman" w:cs="Times New Roman"/>
        </w:rPr>
      </w:pPr>
      <w:r>
        <w:rPr>
          <w:rFonts w:ascii="Times New Roman" w:hAnsi="Times New Roman" w:cs="Times New Roman"/>
        </w:rPr>
        <w:t>26.</w:t>
      </w:r>
      <w:r>
        <w:rPr>
          <w:rFonts w:ascii="Times New Roman" w:hAnsi="Times New Roman" w:cs="Times New Roman"/>
        </w:rPr>
        <w:tab/>
      </w:r>
      <w:r>
        <w:rPr>
          <w:rFonts w:ascii="Times New Roman" w:hAnsi="Times New Roman" w:cs="Times New Roman"/>
        </w:rPr>
        <w:t>Toming, K.</w:t>
      </w:r>
      <w:r>
        <w:rPr>
          <w:rFonts w:ascii="Times New Roman" w:hAnsi="Times New Roman" w:cs="Times New Roman"/>
          <w:i/>
        </w:rPr>
        <w:t>, et al.</w:t>
      </w:r>
      <w:r>
        <w:rPr>
          <w:rFonts w:ascii="Times New Roman" w:hAnsi="Times New Roman" w:cs="Times New Roman"/>
        </w:rPr>
        <w:t xml:space="preserve"> Predicting lake dissolved organic carbon at a global scale. </w:t>
      </w:r>
      <w:r>
        <w:rPr>
          <w:rFonts w:ascii="Times New Roman" w:hAnsi="Times New Roman" w:cs="Times New Roman"/>
          <w:i/>
        </w:rPr>
        <w:t>Scientific reports</w:t>
      </w:r>
      <w:r>
        <w:rPr>
          <w:rFonts w:ascii="Times New Roman" w:hAnsi="Times New Roman" w:cs="Times New Roman"/>
        </w:rPr>
        <w:t xml:space="preserve"> </w:t>
      </w:r>
      <w:r>
        <w:rPr>
          <w:rFonts w:ascii="Times New Roman" w:hAnsi="Times New Roman" w:cs="Times New Roman"/>
          <w:b/>
        </w:rPr>
        <w:t>10</w:t>
      </w:r>
      <w:r>
        <w:rPr>
          <w:rFonts w:ascii="Times New Roman" w:hAnsi="Times New Roman" w:cs="Times New Roman"/>
        </w:rPr>
        <w:t>, 8471 (2020).</w:t>
      </w:r>
    </w:p>
    <w:p w14:paraId="42F3D4F3">
      <w:pPr>
        <w:pStyle w:val="19"/>
        <w:spacing w:line="480" w:lineRule="auto"/>
        <w:ind w:left="720" w:firstLine="0" w:firstLineChars="0"/>
        <w:rPr>
          <w:rFonts w:ascii="Times New Roman" w:hAnsi="Times New Roman" w:cs="Times New Roman"/>
        </w:rPr>
      </w:pPr>
      <w:r>
        <w:rPr>
          <w:rFonts w:ascii="Times New Roman" w:hAnsi="Times New Roman" w:cs="Times New Roman"/>
        </w:rPr>
        <w:t>27.</w:t>
      </w:r>
      <w:r>
        <w:rPr>
          <w:rFonts w:ascii="Times New Roman" w:hAnsi="Times New Roman" w:cs="Times New Roman"/>
        </w:rPr>
        <w:tab/>
      </w:r>
      <w:r>
        <w:rPr>
          <w:rFonts w:ascii="Times New Roman" w:hAnsi="Times New Roman" w:cs="Times New Roman"/>
        </w:rPr>
        <w:t xml:space="preserve">Jia, J., Dungait, J. A., Yu, G., Cui, T. &amp; Gao, Y. Nutrient enrichment and climate warming drive carbon production of global lake ecosystems. </w:t>
      </w:r>
      <w:r>
        <w:rPr>
          <w:rFonts w:ascii="Times New Roman" w:hAnsi="Times New Roman" w:cs="Times New Roman"/>
          <w:i/>
        </w:rPr>
        <w:t>Earth-Science Reviews</w:t>
      </w:r>
      <w:r>
        <w:rPr>
          <w:rFonts w:ascii="Times New Roman" w:hAnsi="Times New Roman" w:cs="Times New Roman"/>
        </w:rPr>
        <w:t xml:space="preserve"> </w:t>
      </w:r>
      <w:r>
        <w:rPr>
          <w:rFonts w:ascii="Times New Roman" w:hAnsi="Times New Roman" w:cs="Times New Roman"/>
          <w:b/>
        </w:rPr>
        <w:t>258</w:t>
      </w:r>
      <w:r>
        <w:rPr>
          <w:rFonts w:ascii="Times New Roman" w:hAnsi="Times New Roman" w:cs="Times New Roman"/>
        </w:rPr>
        <w:t>, 104968 (2024).</w:t>
      </w:r>
    </w:p>
    <w:p w14:paraId="39286E6B">
      <w:pPr>
        <w:pStyle w:val="19"/>
        <w:spacing w:line="480" w:lineRule="auto"/>
        <w:ind w:left="720" w:firstLine="0" w:firstLineChars="0"/>
        <w:rPr>
          <w:rFonts w:ascii="Times New Roman" w:hAnsi="Times New Roman" w:cs="Times New Roman"/>
        </w:rPr>
      </w:pPr>
      <w:r>
        <w:rPr>
          <w:rFonts w:ascii="Times New Roman" w:hAnsi="Times New Roman" w:cs="Times New Roman"/>
        </w:rPr>
        <w:t>28.</w:t>
      </w:r>
      <w:r>
        <w:rPr>
          <w:rFonts w:ascii="Times New Roman" w:hAnsi="Times New Roman" w:cs="Times New Roman"/>
        </w:rPr>
        <w:tab/>
      </w:r>
      <w:r>
        <w:rPr>
          <w:rFonts w:ascii="Times New Roman" w:hAnsi="Times New Roman" w:cs="Times New Roman"/>
        </w:rPr>
        <w:t xml:space="preserve">Lewis Jr, W. M. Global primary production of lakes: 19th Baldi Memorial Lecture. </w:t>
      </w:r>
      <w:r>
        <w:rPr>
          <w:rFonts w:ascii="Times New Roman" w:hAnsi="Times New Roman" w:cs="Times New Roman"/>
          <w:i/>
        </w:rPr>
        <w:t>Inland Waters</w:t>
      </w:r>
      <w:r>
        <w:rPr>
          <w:rFonts w:ascii="Times New Roman" w:hAnsi="Times New Roman" w:cs="Times New Roman"/>
        </w:rPr>
        <w:t xml:space="preserve"> </w:t>
      </w:r>
      <w:r>
        <w:rPr>
          <w:rFonts w:ascii="Times New Roman" w:hAnsi="Times New Roman" w:cs="Times New Roman"/>
          <w:b/>
        </w:rPr>
        <w:t>1</w:t>
      </w:r>
      <w:r>
        <w:rPr>
          <w:rFonts w:ascii="Times New Roman" w:hAnsi="Times New Roman" w:cs="Times New Roman"/>
        </w:rPr>
        <w:t>, 1-28 (2011).</w:t>
      </w:r>
    </w:p>
    <w:p w14:paraId="0B48E2BB">
      <w:pPr>
        <w:pStyle w:val="19"/>
        <w:spacing w:line="480" w:lineRule="auto"/>
        <w:ind w:left="720" w:firstLine="0" w:firstLineChars="0"/>
        <w:rPr>
          <w:rFonts w:ascii="Times New Roman" w:hAnsi="Times New Roman" w:cs="Times New Roman"/>
        </w:rPr>
      </w:pPr>
      <w:r>
        <w:rPr>
          <w:rFonts w:ascii="Times New Roman" w:hAnsi="Times New Roman" w:cs="Times New Roman"/>
        </w:rPr>
        <w:t>29.</w:t>
      </w:r>
      <w:r>
        <w:rPr>
          <w:rFonts w:ascii="Times New Roman" w:hAnsi="Times New Roman" w:cs="Times New Roman"/>
        </w:rPr>
        <w:tab/>
      </w:r>
      <w:r>
        <w:rPr>
          <w:rFonts w:ascii="Times New Roman" w:hAnsi="Times New Roman" w:cs="Times New Roman"/>
        </w:rPr>
        <w:t xml:space="preserve">Osterholz, H., Niggemann, J., Giebel, H.-A., Simon, M. &amp; Dittmar, T. Inefficient microbial production of refractory dissolved organic matter in the ocean. </w:t>
      </w:r>
      <w:r>
        <w:rPr>
          <w:rFonts w:ascii="Times New Roman" w:hAnsi="Times New Roman" w:cs="Times New Roman"/>
          <w:i/>
        </w:rPr>
        <w:t>Nature Communications</w:t>
      </w:r>
      <w:r>
        <w:rPr>
          <w:rFonts w:ascii="Times New Roman" w:hAnsi="Times New Roman" w:cs="Times New Roman"/>
        </w:rPr>
        <w:t xml:space="preserve"> </w:t>
      </w:r>
      <w:r>
        <w:rPr>
          <w:rFonts w:ascii="Times New Roman" w:hAnsi="Times New Roman" w:cs="Times New Roman"/>
          <w:b/>
        </w:rPr>
        <w:t>6</w:t>
      </w:r>
      <w:r>
        <w:rPr>
          <w:rFonts w:ascii="Times New Roman" w:hAnsi="Times New Roman" w:cs="Times New Roman"/>
        </w:rPr>
        <w:t>, 7422 (2015).</w:t>
      </w:r>
    </w:p>
    <w:p w14:paraId="208B6D8E">
      <w:pPr>
        <w:pStyle w:val="19"/>
        <w:spacing w:line="480" w:lineRule="auto"/>
        <w:ind w:left="720" w:firstLine="0" w:firstLineChars="0"/>
        <w:rPr>
          <w:rFonts w:ascii="Times New Roman" w:hAnsi="Times New Roman" w:cs="Times New Roman"/>
        </w:rPr>
      </w:pPr>
      <w:r>
        <w:rPr>
          <w:rFonts w:ascii="Times New Roman" w:hAnsi="Times New Roman" w:cs="Times New Roman"/>
        </w:rPr>
        <w:t>30.</w:t>
      </w:r>
      <w:r>
        <w:rPr>
          <w:rFonts w:ascii="Times New Roman" w:hAnsi="Times New Roman" w:cs="Times New Roman"/>
        </w:rPr>
        <w:tab/>
      </w:r>
      <w:r>
        <w:rPr>
          <w:rFonts w:ascii="Times New Roman" w:hAnsi="Times New Roman" w:cs="Times New Roman"/>
        </w:rPr>
        <w:t>Zhang, M.</w:t>
      </w:r>
      <w:r>
        <w:rPr>
          <w:rFonts w:ascii="Times New Roman" w:hAnsi="Times New Roman" w:cs="Times New Roman"/>
          <w:i/>
        </w:rPr>
        <w:t>, et al.</w:t>
      </w:r>
      <w:r>
        <w:rPr>
          <w:rFonts w:ascii="Times New Roman" w:hAnsi="Times New Roman" w:cs="Times New Roman"/>
        </w:rPr>
        <w:t xml:space="preserve"> Carbon sequestration from refractory dissolved organic carbon produced by biodegradation of Saccharina japonica. </w:t>
      </w:r>
      <w:r>
        <w:rPr>
          <w:rFonts w:ascii="Times New Roman" w:hAnsi="Times New Roman" w:cs="Times New Roman"/>
          <w:i/>
        </w:rPr>
        <w:t>Marine Environmental Research</w:t>
      </w:r>
      <w:r>
        <w:rPr>
          <w:rFonts w:ascii="Times New Roman" w:hAnsi="Times New Roman" w:cs="Times New Roman"/>
        </w:rPr>
        <w:t xml:space="preserve"> </w:t>
      </w:r>
      <w:r>
        <w:rPr>
          <w:rFonts w:ascii="Times New Roman" w:hAnsi="Times New Roman" w:cs="Times New Roman"/>
          <w:b/>
        </w:rPr>
        <w:t>183</w:t>
      </w:r>
      <w:r>
        <w:rPr>
          <w:rFonts w:ascii="Times New Roman" w:hAnsi="Times New Roman" w:cs="Times New Roman"/>
        </w:rPr>
        <w:t>, 105803 (2023).</w:t>
      </w:r>
    </w:p>
    <w:p w14:paraId="7AF00037">
      <w:pPr>
        <w:spacing w:line="480" w:lineRule="auto"/>
        <w:ind w:left="480" w:right="240" w:firstLine="0" w:firstLineChars="0"/>
      </w:pPr>
      <w:r>
        <w:rPr>
          <w:rFonts w:cs="Times New Roman"/>
        </w:rPr>
        <w:fldChar w:fldCharType="end"/>
      </w:r>
      <w:r>
        <w:fldChar w:fldCharType="begin"/>
      </w:r>
      <w:r>
        <w:instrText xml:space="preserve"> ADDIN </w:instrText>
      </w:r>
      <w:r>
        <w:fldChar w:fldCharType="end"/>
      </w:r>
    </w:p>
    <w:sectPr>
      <w:pgSz w:w="11906" w:h="16838"/>
      <w:pgMar w:top="1440" w:right="1080" w:bottom="1440" w:left="1080" w:header="851" w:footer="992" w:gutter="0"/>
      <w:lnNumType w:countBy="1" w:restart="continuou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9D2D48-55F2-4226-9A26-18B572F966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2" w:fontKey="{1D244A99-AD84-476E-91D3-ED8D7494B588}"/>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3" w:fontKey="{7BE8EBBA-EC87-4062-B9FE-1D4E534CE9DC}"/>
  </w:font>
  <w:font w:name="方正楷体_GB2312">
    <w:panose1 w:val="02000000000000000000"/>
    <w:charset w:val="86"/>
    <w:family w:val="auto"/>
    <w:pitch w:val="default"/>
    <w:sig w:usb0="A00002BF" w:usb1="184F6CFA" w:usb2="00000012" w:usb3="00000000" w:csb0="00040001" w:csb1="00000000"/>
    <w:embedRegular r:id="rId4" w:fontKey="{6B041757-DCAB-4EB9-B89B-D442A551395B}"/>
  </w:font>
  <w:font w:name="MS Gothic">
    <w:panose1 w:val="020B0609070205080204"/>
    <w:charset w:val="80"/>
    <w:family w:val="modern"/>
    <w:pitch w:val="default"/>
    <w:sig w:usb0="E00002FF" w:usb1="6AC7FDFB" w:usb2="08000012" w:usb3="00000000" w:csb0="4002009F" w:csb1="DFD70000"/>
    <w:embedRegular r:id="rId5" w:fontKey="{58A4A2DC-A299-4C19-9669-8C6A7F290C9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44DB2">
    <w:pPr>
      <w:pStyle w:val="4"/>
      <w:framePr w:wrap="around" w:vAnchor="text" w:hAnchor="margin" w:xAlign="right" w:y="1"/>
      <w:ind w:firstLine="480"/>
      <w:rPr>
        <w:rStyle w:val="11"/>
      </w:rPr>
    </w:pPr>
    <w:r>
      <w:rPr>
        <w:rStyle w:val="11"/>
      </w:rPr>
      <w:fldChar w:fldCharType="begin"/>
    </w:r>
    <w:r>
      <w:rPr>
        <w:rStyle w:val="11"/>
      </w:rPr>
      <w:instrText xml:space="preserve">PAGE  </w:instrText>
    </w:r>
    <w:r>
      <w:rPr>
        <w:rStyle w:val="11"/>
      </w:rPr>
      <w:fldChar w:fldCharType="separate"/>
    </w:r>
    <w:r>
      <w:rPr>
        <w:rStyle w:val="11"/>
      </w:rPr>
      <w:t>21</w:t>
    </w:r>
    <w:r>
      <w:rPr>
        <w:rStyle w:val="11"/>
      </w:rPr>
      <w:fldChar w:fldCharType="end"/>
    </w:r>
  </w:p>
  <w:p w14:paraId="150569A1">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CD2E6">
    <w:pPr>
      <w:pStyle w:val="4"/>
      <w:framePr w:wrap="around" w:vAnchor="text" w:hAnchor="margin" w:xAlign="right" w:y="1"/>
      <w:ind w:firstLine="480"/>
      <w:rPr>
        <w:rStyle w:val="11"/>
      </w:rPr>
    </w:pPr>
    <w:r>
      <w:rPr>
        <w:rStyle w:val="11"/>
      </w:rPr>
      <w:fldChar w:fldCharType="begin"/>
    </w:r>
    <w:r>
      <w:rPr>
        <w:rStyle w:val="11"/>
      </w:rPr>
      <w:instrText xml:space="preserve">PAGE  </w:instrText>
    </w:r>
    <w:r>
      <w:rPr>
        <w:rStyle w:val="11"/>
      </w:rPr>
      <w:fldChar w:fldCharType="end"/>
    </w:r>
  </w:p>
  <w:p w14:paraId="78338895">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8A645">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D947F">
    <w:pPr>
      <w:pStyle w:val="5"/>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216D">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61E16">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apvfs2jva2dnear9bpeaa2dfarraz9wtfe&quot;&gt;我的EndNote数据库&lt;record-ids&gt;&lt;item&gt;85&lt;/item&gt;&lt;item&gt;243&lt;/item&gt;&lt;item&gt;245&lt;/item&gt;&lt;item&gt;246&lt;/item&gt;&lt;item&gt;247&lt;/item&gt;&lt;item&gt;270&lt;/item&gt;&lt;item&gt;274&lt;/item&gt;&lt;item&gt;276&lt;/item&gt;&lt;item&gt;277&lt;/item&gt;&lt;item&gt;279&lt;/item&gt;&lt;item&gt;284&lt;/item&gt;&lt;item&gt;309&lt;/item&gt;&lt;/record-ids&gt;&lt;/item&gt;&lt;/Libraries&gt;"/>
  </w:docVars>
  <w:rsids>
    <w:rsidRoot w:val="72FE1646"/>
    <w:rsid w:val="00004211"/>
    <w:rsid w:val="000062A7"/>
    <w:rsid w:val="0001252A"/>
    <w:rsid w:val="00031F5D"/>
    <w:rsid w:val="00044638"/>
    <w:rsid w:val="00044CEA"/>
    <w:rsid w:val="00050CF5"/>
    <w:rsid w:val="0005172A"/>
    <w:rsid w:val="0006382A"/>
    <w:rsid w:val="000A13AD"/>
    <w:rsid w:val="000B5FBB"/>
    <w:rsid w:val="000F38BF"/>
    <w:rsid w:val="000F7C7F"/>
    <w:rsid w:val="00111DEB"/>
    <w:rsid w:val="001348BF"/>
    <w:rsid w:val="00136D5D"/>
    <w:rsid w:val="00160BC4"/>
    <w:rsid w:val="001D5EBB"/>
    <w:rsid w:val="00212043"/>
    <w:rsid w:val="00244309"/>
    <w:rsid w:val="002465BD"/>
    <w:rsid w:val="002561EB"/>
    <w:rsid w:val="002643CD"/>
    <w:rsid w:val="00272D6C"/>
    <w:rsid w:val="00291422"/>
    <w:rsid w:val="002D770E"/>
    <w:rsid w:val="002E64F8"/>
    <w:rsid w:val="002F08C2"/>
    <w:rsid w:val="002F4BAD"/>
    <w:rsid w:val="002F7D99"/>
    <w:rsid w:val="00312C34"/>
    <w:rsid w:val="0035136D"/>
    <w:rsid w:val="003A663E"/>
    <w:rsid w:val="003B5FC7"/>
    <w:rsid w:val="003C780F"/>
    <w:rsid w:val="003E5449"/>
    <w:rsid w:val="003F3BEC"/>
    <w:rsid w:val="00420FBE"/>
    <w:rsid w:val="00421AC9"/>
    <w:rsid w:val="00422ED1"/>
    <w:rsid w:val="00427366"/>
    <w:rsid w:val="00451623"/>
    <w:rsid w:val="004A1BB3"/>
    <w:rsid w:val="004B5BFD"/>
    <w:rsid w:val="004D78F4"/>
    <w:rsid w:val="004E3CF2"/>
    <w:rsid w:val="004F4696"/>
    <w:rsid w:val="00527F3A"/>
    <w:rsid w:val="00535B60"/>
    <w:rsid w:val="00557415"/>
    <w:rsid w:val="00561E85"/>
    <w:rsid w:val="00583DA2"/>
    <w:rsid w:val="00584537"/>
    <w:rsid w:val="00586826"/>
    <w:rsid w:val="00593D1D"/>
    <w:rsid w:val="00595AE5"/>
    <w:rsid w:val="00612C61"/>
    <w:rsid w:val="0061314C"/>
    <w:rsid w:val="006273C1"/>
    <w:rsid w:val="006403FA"/>
    <w:rsid w:val="006409F6"/>
    <w:rsid w:val="00660141"/>
    <w:rsid w:val="00661D4A"/>
    <w:rsid w:val="00676327"/>
    <w:rsid w:val="0069525F"/>
    <w:rsid w:val="006C5C82"/>
    <w:rsid w:val="006D1F8F"/>
    <w:rsid w:val="006D7C48"/>
    <w:rsid w:val="006E7384"/>
    <w:rsid w:val="00713D0D"/>
    <w:rsid w:val="00742CCE"/>
    <w:rsid w:val="00756748"/>
    <w:rsid w:val="00761D40"/>
    <w:rsid w:val="0076456E"/>
    <w:rsid w:val="007806B4"/>
    <w:rsid w:val="007A6A0A"/>
    <w:rsid w:val="007B2D45"/>
    <w:rsid w:val="007C560B"/>
    <w:rsid w:val="007D2461"/>
    <w:rsid w:val="007D24D0"/>
    <w:rsid w:val="007D4CF4"/>
    <w:rsid w:val="007F6DF7"/>
    <w:rsid w:val="00804389"/>
    <w:rsid w:val="00810E16"/>
    <w:rsid w:val="00812E98"/>
    <w:rsid w:val="00821C98"/>
    <w:rsid w:val="00832685"/>
    <w:rsid w:val="008414AB"/>
    <w:rsid w:val="00851323"/>
    <w:rsid w:val="0087132F"/>
    <w:rsid w:val="008A6BD2"/>
    <w:rsid w:val="008B0F08"/>
    <w:rsid w:val="008B1506"/>
    <w:rsid w:val="008B6CF2"/>
    <w:rsid w:val="008D3A3A"/>
    <w:rsid w:val="008D58BE"/>
    <w:rsid w:val="00902EEB"/>
    <w:rsid w:val="009145B3"/>
    <w:rsid w:val="00920604"/>
    <w:rsid w:val="0093069F"/>
    <w:rsid w:val="009349F1"/>
    <w:rsid w:val="00953258"/>
    <w:rsid w:val="009A79A4"/>
    <w:rsid w:val="009C0021"/>
    <w:rsid w:val="009D076A"/>
    <w:rsid w:val="009E5EF3"/>
    <w:rsid w:val="009F0168"/>
    <w:rsid w:val="00A05040"/>
    <w:rsid w:val="00A11CB8"/>
    <w:rsid w:val="00A133A4"/>
    <w:rsid w:val="00A33DDD"/>
    <w:rsid w:val="00A352DE"/>
    <w:rsid w:val="00A4621F"/>
    <w:rsid w:val="00AA1ACF"/>
    <w:rsid w:val="00AA215E"/>
    <w:rsid w:val="00AB6043"/>
    <w:rsid w:val="00AE3DF9"/>
    <w:rsid w:val="00AE5146"/>
    <w:rsid w:val="00B10CC8"/>
    <w:rsid w:val="00B40CF1"/>
    <w:rsid w:val="00B73123"/>
    <w:rsid w:val="00BA30D0"/>
    <w:rsid w:val="00BB513A"/>
    <w:rsid w:val="00BD3127"/>
    <w:rsid w:val="00BF5516"/>
    <w:rsid w:val="00C14DCA"/>
    <w:rsid w:val="00C23AF4"/>
    <w:rsid w:val="00C35D18"/>
    <w:rsid w:val="00C424DE"/>
    <w:rsid w:val="00C63444"/>
    <w:rsid w:val="00C645D2"/>
    <w:rsid w:val="00C701EF"/>
    <w:rsid w:val="00C76B7B"/>
    <w:rsid w:val="00C8644C"/>
    <w:rsid w:val="00C938DD"/>
    <w:rsid w:val="00C95E8E"/>
    <w:rsid w:val="00CB5D06"/>
    <w:rsid w:val="00CC2F50"/>
    <w:rsid w:val="00CF0788"/>
    <w:rsid w:val="00D20567"/>
    <w:rsid w:val="00D233C0"/>
    <w:rsid w:val="00D709DA"/>
    <w:rsid w:val="00D93A5E"/>
    <w:rsid w:val="00DA04EB"/>
    <w:rsid w:val="00DA0D4A"/>
    <w:rsid w:val="00DA41FE"/>
    <w:rsid w:val="00DB3EFD"/>
    <w:rsid w:val="00DB4DC3"/>
    <w:rsid w:val="00DB4E24"/>
    <w:rsid w:val="00DC38EC"/>
    <w:rsid w:val="00DD3E78"/>
    <w:rsid w:val="00DD5EFB"/>
    <w:rsid w:val="00DE7B8E"/>
    <w:rsid w:val="00DF0BDD"/>
    <w:rsid w:val="00E03BD6"/>
    <w:rsid w:val="00E10300"/>
    <w:rsid w:val="00E360DE"/>
    <w:rsid w:val="00E4180E"/>
    <w:rsid w:val="00E47385"/>
    <w:rsid w:val="00E47BB0"/>
    <w:rsid w:val="00E564A9"/>
    <w:rsid w:val="00E56A5C"/>
    <w:rsid w:val="00E7334A"/>
    <w:rsid w:val="00E73BDF"/>
    <w:rsid w:val="00E76CB6"/>
    <w:rsid w:val="00E84F33"/>
    <w:rsid w:val="00E922DA"/>
    <w:rsid w:val="00E9304A"/>
    <w:rsid w:val="00EA4C09"/>
    <w:rsid w:val="00EA4CAD"/>
    <w:rsid w:val="00EB649C"/>
    <w:rsid w:val="00EB6ACE"/>
    <w:rsid w:val="00ED2881"/>
    <w:rsid w:val="00ED500B"/>
    <w:rsid w:val="00EE5128"/>
    <w:rsid w:val="00F143B0"/>
    <w:rsid w:val="00F43C9C"/>
    <w:rsid w:val="00F71818"/>
    <w:rsid w:val="00FB07F0"/>
    <w:rsid w:val="00FD1569"/>
    <w:rsid w:val="00FD1987"/>
    <w:rsid w:val="00FD2695"/>
    <w:rsid w:val="01F24BE8"/>
    <w:rsid w:val="0361681B"/>
    <w:rsid w:val="05011BF2"/>
    <w:rsid w:val="059942CB"/>
    <w:rsid w:val="0639729B"/>
    <w:rsid w:val="077211C3"/>
    <w:rsid w:val="08031F33"/>
    <w:rsid w:val="09141BF4"/>
    <w:rsid w:val="093D78FC"/>
    <w:rsid w:val="09DE4B40"/>
    <w:rsid w:val="0AC24DB3"/>
    <w:rsid w:val="0B154FC2"/>
    <w:rsid w:val="0BF561CD"/>
    <w:rsid w:val="0C811890"/>
    <w:rsid w:val="0CAB5F58"/>
    <w:rsid w:val="0DB865EA"/>
    <w:rsid w:val="0DCD3AB1"/>
    <w:rsid w:val="0DE25FDC"/>
    <w:rsid w:val="0F2F3E3B"/>
    <w:rsid w:val="0FB92AF6"/>
    <w:rsid w:val="10281712"/>
    <w:rsid w:val="11A034C2"/>
    <w:rsid w:val="11D320FA"/>
    <w:rsid w:val="14317587"/>
    <w:rsid w:val="14A3156B"/>
    <w:rsid w:val="15BF5DB9"/>
    <w:rsid w:val="15C44EC6"/>
    <w:rsid w:val="178D3308"/>
    <w:rsid w:val="18F350DD"/>
    <w:rsid w:val="18F8126A"/>
    <w:rsid w:val="19472BB7"/>
    <w:rsid w:val="19682ABE"/>
    <w:rsid w:val="19ED7D31"/>
    <w:rsid w:val="1B7E2FF7"/>
    <w:rsid w:val="1B845BE9"/>
    <w:rsid w:val="1BB1719C"/>
    <w:rsid w:val="1C103DB8"/>
    <w:rsid w:val="1D5C05FC"/>
    <w:rsid w:val="1DE60019"/>
    <w:rsid w:val="1F156212"/>
    <w:rsid w:val="1FD31DC3"/>
    <w:rsid w:val="211835A3"/>
    <w:rsid w:val="21592EC3"/>
    <w:rsid w:val="217911FA"/>
    <w:rsid w:val="22715F0F"/>
    <w:rsid w:val="22CD1D93"/>
    <w:rsid w:val="246C3045"/>
    <w:rsid w:val="25FC09DE"/>
    <w:rsid w:val="2641445A"/>
    <w:rsid w:val="267A595A"/>
    <w:rsid w:val="2695315B"/>
    <w:rsid w:val="27DC5671"/>
    <w:rsid w:val="281B645A"/>
    <w:rsid w:val="28ED574F"/>
    <w:rsid w:val="29377EAB"/>
    <w:rsid w:val="2A020879"/>
    <w:rsid w:val="2B820EF9"/>
    <w:rsid w:val="2CAC2E68"/>
    <w:rsid w:val="2CDB7C66"/>
    <w:rsid w:val="2D084CF0"/>
    <w:rsid w:val="2D8A43D9"/>
    <w:rsid w:val="2D8D3349"/>
    <w:rsid w:val="2E643BA3"/>
    <w:rsid w:val="2EEC1619"/>
    <w:rsid w:val="2F54777E"/>
    <w:rsid w:val="30694012"/>
    <w:rsid w:val="31D96360"/>
    <w:rsid w:val="31EE333C"/>
    <w:rsid w:val="33D87607"/>
    <w:rsid w:val="34DE074D"/>
    <w:rsid w:val="35034FED"/>
    <w:rsid w:val="357E16C7"/>
    <w:rsid w:val="36144F46"/>
    <w:rsid w:val="36347C65"/>
    <w:rsid w:val="36AA5A2D"/>
    <w:rsid w:val="3780068F"/>
    <w:rsid w:val="394565EB"/>
    <w:rsid w:val="39DD55BC"/>
    <w:rsid w:val="3A357C60"/>
    <w:rsid w:val="3A3869A3"/>
    <w:rsid w:val="3BD1586A"/>
    <w:rsid w:val="3C7D254F"/>
    <w:rsid w:val="3DC73676"/>
    <w:rsid w:val="3DDD580C"/>
    <w:rsid w:val="3E2D1916"/>
    <w:rsid w:val="3E8C68AA"/>
    <w:rsid w:val="3F6237DF"/>
    <w:rsid w:val="3F896219"/>
    <w:rsid w:val="3FA32874"/>
    <w:rsid w:val="40250BC9"/>
    <w:rsid w:val="40903AFC"/>
    <w:rsid w:val="415D662C"/>
    <w:rsid w:val="423009C7"/>
    <w:rsid w:val="430D6E32"/>
    <w:rsid w:val="435E62BD"/>
    <w:rsid w:val="43CF65E3"/>
    <w:rsid w:val="44A17B81"/>
    <w:rsid w:val="44C50FE3"/>
    <w:rsid w:val="4604196F"/>
    <w:rsid w:val="461B62C6"/>
    <w:rsid w:val="46DB2BB3"/>
    <w:rsid w:val="47783A4F"/>
    <w:rsid w:val="482D0457"/>
    <w:rsid w:val="48AC724E"/>
    <w:rsid w:val="4A061AFF"/>
    <w:rsid w:val="4B512894"/>
    <w:rsid w:val="4DBD378C"/>
    <w:rsid w:val="4EF9059B"/>
    <w:rsid w:val="4F963A1F"/>
    <w:rsid w:val="5131360C"/>
    <w:rsid w:val="530E2D51"/>
    <w:rsid w:val="550947DC"/>
    <w:rsid w:val="551A2835"/>
    <w:rsid w:val="562346E0"/>
    <w:rsid w:val="570603D3"/>
    <w:rsid w:val="57792910"/>
    <w:rsid w:val="577E2598"/>
    <w:rsid w:val="588B5D47"/>
    <w:rsid w:val="589917F1"/>
    <w:rsid w:val="589C2011"/>
    <w:rsid w:val="5D5B5319"/>
    <w:rsid w:val="5DA842E3"/>
    <w:rsid w:val="5EE370C8"/>
    <w:rsid w:val="5EF35656"/>
    <w:rsid w:val="5FE913D7"/>
    <w:rsid w:val="60140FB0"/>
    <w:rsid w:val="60EA76D3"/>
    <w:rsid w:val="60F91A35"/>
    <w:rsid w:val="61595DC4"/>
    <w:rsid w:val="61823001"/>
    <w:rsid w:val="61F1784D"/>
    <w:rsid w:val="621D31BE"/>
    <w:rsid w:val="62422B7F"/>
    <w:rsid w:val="62DF6AA2"/>
    <w:rsid w:val="6344466B"/>
    <w:rsid w:val="63446769"/>
    <w:rsid w:val="63EF54BA"/>
    <w:rsid w:val="648632F2"/>
    <w:rsid w:val="66AD56A4"/>
    <w:rsid w:val="66C60AD7"/>
    <w:rsid w:val="67606F49"/>
    <w:rsid w:val="68B77B2E"/>
    <w:rsid w:val="68E57CFC"/>
    <w:rsid w:val="696162B3"/>
    <w:rsid w:val="6A2C58C5"/>
    <w:rsid w:val="6A5067A3"/>
    <w:rsid w:val="6AA71D09"/>
    <w:rsid w:val="6AC73CF9"/>
    <w:rsid w:val="6BF803B2"/>
    <w:rsid w:val="6CEF7221"/>
    <w:rsid w:val="6D5B46B0"/>
    <w:rsid w:val="6DD42C51"/>
    <w:rsid w:val="6FB33650"/>
    <w:rsid w:val="6FC438EB"/>
    <w:rsid w:val="71657A60"/>
    <w:rsid w:val="721F6DF3"/>
    <w:rsid w:val="72FE1646"/>
    <w:rsid w:val="74521FB3"/>
    <w:rsid w:val="74D4563E"/>
    <w:rsid w:val="7540397C"/>
    <w:rsid w:val="75AB3C9B"/>
    <w:rsid w:val="762B1305"/>
    <w:rsid w:val="798A02E1"/>
    <w:rsid w:val="7A5A14C0"/>
    <w:rsid w:val="7ABF12B9"/>
    <w:rsid w:val="7BDE145D"/>
    <w:rsid w:val="7D6F5D61"/>
    <w:rsid w:val="7E0A2428"/>
    <w:rsid w:val="7EBE7F49"/>
    <w:rsid w:val="7F6D1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qFormat/>
    <w:uiPriority w:val="0"/>
    <w:pPr>
      <w:jc w:val="left"/>
    </w:pPr>
  </w:style>
  <w:style w:type="paragraph" w:styleId="3">
    <w:name w:val="Balloon Text"/>
    <w:basedOn w:val="1"/>
    <w:link w:val="23"/>
    <w:qFormat/>
    <w:uiPriority w:val="0"/>
    <w:pPr>
      <w:spacing w:line="240" w:lineRule="auto"/>
    </w:pPr>
    <w:rPr>
      <w:sz w:val="18"/>
      <w:szCs w:val="18"/>
    </w:r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2"/>
    <w:qFormat/>
    <w:uiPriority w:val="0"/>
    <w:rPr>
      <w:b/>
      <w:bCs/>
    </w:rPr>
  </w:style>
  <w:style w:type="table" w:styleId="8">
    <w:name w:val="Table Grid"/>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0">
    <w:name w:val="Strong"/>
    <w:basedOn w:val="9"/>
    <w:qFormat/>
    <w:uiPriority w:val="0"/>
    <w:rPr>
      <w:b/>
    </w:rPr>
  </w:style>
  <w:style w:type="character" w:styleId="11">
    <w:name w:val="page number"/>
    <w:qFormat/>
    <w:uiPriority w:val="0"/>
    <w:rPr>
      <w:rFonts w:eastAsia="仿宋_GB2312"/>
      <w:kern w:val="2"/>
      <w:sz w:val="24"/>
      <w:szCs w:val="24"/>
      <w:lang w:val="en-US" w:eastAsia="zh-CN" w:bidi="ar-SA"/>
    </w:rPr>
  </w:style>
  <w:style w:type="character" w:styleId="12">
    <w:name w:val="line number"/>
    <w:basedOn w:val="9"/>
    <w:qFormat/>
    <w:uiPriority w:val="0"/>
  </w:style>
  <w:style w:type="character" w:styleId="13">
    <w:name w:val="Hyperlink"/>
    <w:basedOn w:val="9"/>
    <w:unhideWhenUsed/>
    <w:qFormat/>
    <w:uiPriority w:val="0"/>
    <w:rPr>
      <w:rFonts w:ascii="Times New Roman" w:hAnsi="Times New Roman"/>
      <w:color w:val="0000FF"/>
    </w:rPr>
  </w:style>
  <w:style w:type="character" w:styleId="14">
    <w:name w:val="annotation reference"/>
    <w:basedOn w:val="9"/>
    <w:qFormat/>
    <w:uiPriority w:val="0"/>
    <w:rPr>
      <w:sz w:val="21"/>
      <w:szCs w:val="21"/>
    </w:rPr>
  </w:style>
  <w:style w:type="character" w:customStyle="1" w:styleId="15">
    <w:name w:val="页眉 字符"/>
    <w:basedOn w:val="9"/>
    <w:link w:val="5"/>
    <w:qFormat/>
    <w:uiPriority w:val="0"/>
    <w:rPr>
      <w:rFonts w:asciiTheme="minorHAnsi" w:hAnsiTheme="minorHAnsi" w:eastAsiaTheme="minorEastAsia" w:cstheme="minorBidi"/>
      <w:kern w:val="2"/>
      <w:sz w:val="18"/>
      <w:szCs w:val="18"/>
    </w:rPr>
  </w:style>
  <w:style w:type="character" w:customStyle="1" w:styleId="16">
    <w:name w:val="页脚 字符"/>
    <w:basedOn w:val="9"/>
    <w:link w:val="4"/>
    <w:qFormat/>
    <w:uiPriority w:val="0"/>
    <w:rPr>
      <w:rFonts w:asciiTheme="minorHAnsi" w:hAnsiTheme="minorHAnsi" w:eastAsiaTheme="minorEastAsia" w:cstheme="minorBidi"/>
      <w:kern w:val="2"/>
      <w:sz w:val="18"/>
      <w:szCs w:val="18"/>
    </w:rPr>
  </w:style>
  <w:style w:type="paragraph" w:customStyle="1" w:styleId="17">
    <w:name w:val="EndNote Bibliography Title"/>
    <w:basedOn w:val="1"/>
    <w:link w:val="18"/>
    <w:qFormat/>
    <w:uiPriority w:val="0"/>
    <w:pPr>
      <w:jc w:val="center"/>
    </w:pPr>
    <w:rPr>
      <w:rFonts w:ascii="Calibri" w:hAnsi="Calibri" w:cs="Calibri"/>
      <w:sz w:val="20"/>
    </w:rPr>
  </w:style>
  <w:style w:type="character" w:customStyle="1" w:styleId="18">
    <w:name w:val="EndNote Bibliography Title 字符"/>
    <w:basedOn w:val="9"/>
    <w:link w:val="17"/>
    <w:qFormat/>
    <w:uiPriority w:val="0"/>
    <w:rPr>
      <w:rFonts w:ascii="Calibri" w:hAnsi="Calibri" w:cs="Calibri"/>
      <w:kern w:val="2"/>
      <w:szCs w:val="24"/>
    </w:rPr>
  </w:style>
  <w:style w:type="paragraph" w:customStyle="1" w:styleId="19">
    <w:name w:val="EndNote Bibliography"/>
    <w:basedOn w:val="1"/>
    <w:link w:val="20"/>
    <w:qFormat/>
    <w:uiPriority w:val="0"/>
    <w:pPr>
      <w:spacing w:line="240" w:lineRule="auto"/>
    </w:pPr>
    <w:rPr>
      <w:rFonts w:ascii="Calibri" w:hAnsi="Calibri" w:cs="Calibri"/>
      <w:sz w:val="20"/>
    </w:rPr>
  </w:style>
  <w:style w:type="character" w:customStyle="1" w:styleId="20">
    <w:name w:val="EndNote Bibliography 字符"/>
    <w:basedOn w:val="9"/>
    <w:link w:val="19"/>
    <w:qFormat/>
    <w:uiPriority w:val="0"/>
    <w:rPr>
      <w:rFonts w:ascii="Calibri" w:hAnsi="Calibri" w:cs="Calibri"/>
      <w:kern w:val="2"/>
      <w:szCs w:val="24"/>
    </w:rPr>
  </w:style>
  <w:style w:type="character" w:customStyle="1" w:styleId="21">
    <w:name w:val="批注文字 字符"/>
    <w:basedOn w:val="9"/>
    <w:link w:val="2"/>
    <w:qFormat/>
    <w:uiPriority w:val="0"/>
    <w:rPr>
      <w:rFonts w:cstheme="minorBidi"/>
      <w:kern w:val="2"/>
      <w:sz w:val="24"/>
      <w:szCs w:val="24"/>
    </w:rPr>
  </w:style>
  <w:style w:type="character" w:customStyle="1" w:styleId="22">
    <w:name w:val="批注主题 字符"/>
    <w:basedOn w:val="21"/>
    <w:link w:val="6"/>
    <w:qFormat/>
    <w:uiPriority w:val="0"/>
    <w:rPr>
      <w:rFonts w:cstheme="minorBidi"/>
      <w:b/>
      <w:bCs/>
      <w:kern w:val="2"/>
      <w:sz w:val="24"/>
      <w:szCs w:val="24"/>
    </w:rPr>
  </w:style>
  <w:style w:type="character" w:customStyle="1" w:styleId="23">
    <w:name w:val="批注框文本 字符"/>
    <w:basedOn w:val="9"/>
    <w:link w:val="3"/>
    <w:qFormat/>
    <w:uiPriority w:val="0"/>
    <w:rPr>
      <w:rFonts w:cstheme="minorBidi"/>
      <w:kern w:val="2"/>
      <w:sz w:val="18"/>
      <w:szCs w:val="18"/>
    </w:rPr>
  </w:style>
  <w:style w:type="character" w:styleId="24">
    <w:name w:val="Placeholder Text"/>
    <w:basedOn w:val="9"/>
    <w:semiHidden/>
    <w:qFormat/>
    <w:uiPriority w:val="99"/>
    <w:rPr>
      <w:color w:val="808080"/>
    </w:rPr>
  </w:style>
  <w:style w:type="character" w:customStyle="1" w:styleId="25">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24.png"/><Relationship Id="rId38" Type="http://schemas.openxmlformats.org/officeDocument/2006/relationships/image" Target="media/image23.png"/><Relationship Id="rId37" Type="http://schemas.openxmlformats.org/officeDocument/2006/relationships/image" Target="media/image22.tiff"/><Relationship Id="rId36" Type="http://schemas.openxmlformats.org/officeDocument/2006/relationships/image" Target="media/image21.jpeg"/><Relationship Id="rId35" Type="http://schemas.openxmlformats.org/officeDocument/2006/relationships/image" Target="media/image20.tiff"/><Relationship Id="rId34" Type="http://schemas.openxmlformats.org/officeDocument/2006/relationships/image" Target="media/image19.tiff"/><Relationship Id="rId33" Type="http://schemas.openxmlformats.org/officeDocument/2006/relationships/image" Target="media/image18.jpeg"/><Relationship Id="rId32" Type="http://schemas.openxmlformats.org/officeDocument/2006/relationships/image" Target="media/image17.jpeg"/><Relationship Id="rId31" Type="http://schemas.openxmlformats.org/officeDocument/2006/relationships/image" Target="media/image16.jpeg"/><Relationship Id="rId30" Type="http://schemas.openxmlformats.org/officeDocument/2006/relationships/image" Target="media/image15.jpeg"/><Relationship Id="rId3" Type="http://schemas.openxmlformats.org/officeDocument/2006/relationships/footnotes" Target="footnotes.xml"/><Relationship Id="rId29" Type="http://schemas.openxmlformats.org/officeDocument/2006/relationships/image" Target="media/image14.jpeg"/><Relationship Id="rId28" Type="http://schemas.openxmlformats.org/officeDocument/2006/relationships/image" Target="media/image13.jpeg"/><Relationship Id="rId27" Type="http://schemas.openxmlformats.org/officeDocument/2006/relationships/image" Target="media/image12.jpeg"/><Relationship Id="rId26" Type="http://schemas.openxmlformats.org/officeDocument/2006/relationships/image" Target="media/image11.sv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tiff"/><Relationship Id="rId22" Type="http://schemas.openxmlformats.org/officeDocument/2006/relationships/image" Target="media/image7.png"/><Relationship Id="rId21" Type="http://schemas.openxmlformats.org/officeDocument/2006/relationships/image" Target="media/image6.sv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4.bin"/><Relationship Id="rId17" Type="http://schemas.openxmlformats.org/officeDocument/2006/relationships/image" Target="media/image3.wmf"/><Relationship Id="rId16" Type="http://schemas.openxmlformats.org/officeDocument/2006/relationships/oleObject" Target="embeddings/oleObject3.bin"/><Relationship Id="rId15" Type="http://schemas.openxmlformats.org/officeDocument/2006/relationships/image" Target="media/image2.wmf"/><Relationship Id="rId14" Type="http://schemas.openxmlformats.org/officeDocument/2006/relationships/oleObject" Target="embeddings/oleObject2.bin"/><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ed75d4d3-1fb8-4062-bb8c-c0b799aa3bf3</errorID>
      <errorWord>*</errorWord>
      <group>L1_Punc</group>
      <groupName>标点问题</groupName>
      <ability>L2_Punc_CN</ability>
      <abilityName>标点符号问题</abilityName>
      <candidateList/>
      <explain/>
      <paraID>384DECF9</paraID>
      <start>0</start>
      <end>1</end>
      <status>unmodified</status>
      <modifiedWord/>
      <trackRevisions>false</trackRevisions>
    </reviewItem>
    <reviewItem>
      <errorID>7f2fa356-be46-41cf-a3bf-564173fdc36f</errorID>
      <errorWord>Chla</errorWord>
      <group>L1_English</group>
      <groupName>英文问题</groupName>
      <ability>L2_Space</ability>
      <abilityName>空格不规范问题</abilityName>
      <candidateList>
        <item>Chl a</item>
      </candidateList>
      <explain>疑似单词空格书写不规范，建议将Chla修改为Chl a</explain>
      <paraID>1477DFFD</paraID>
      <start>649</start>
      <end>653</end>
      <status>unmodified</status>
      <modifiedWord/>
      <trackRevisions>false</trackRevisions>
    </reviewItem>
    <reviewItem>
      <errorID>4d51ec8e-8d47-490b-bb8c-60c5464f0367</errorID>
      <errorWord>Chla</errorWord>
      <group>L1_English</group>
      <groupName>英文问题</groupName>
      <ability>L2_Space</ability>
      <abilityName>空格不规范问题</abilityName>
      <candidateList>
        <item>Chl a</item>
      </candidateList>
      <explain>疑似单词空格书写不规范，建议将Chla修改为Chl a</explain>
      <paraID>1477DFFD</paraID>
      <start>761</start>
      <end>765</end>
      <status>unmodified</status>
      <modifiedWord/>
      <trackRevisions>false</trackRevisions>
    </reviewItem>
    <reviewItem>
      <errorID>e27a272c-57c1-450e-aa02-18461633a9a6</errorID>
      <errorWord>potassium</errorWord>
      <group>L1_English</group>
      <groupName>英文问题</groupName>
      <ability>L2_Word</ability>
      <abilityName>字词问题</abilityName>
      <candidateList>
        <item>the potassium</item>
      </candidateList>
      <explain>此处疑似有限定词缺失，建议将单词potassium修改为the potassium</explain>
      <paraID>3063BBD3</paraID>
      <start>295</start>
      <end>304</end>
      <status>unmodified</status>
      <modifiedWord/>
      <trackRevisions>false</trackRevisions>
    </reviewItem>
    <reviewItem>
      <errorID>f3278397-ebd4-4572-80f8-b75c7f612472</errorID>
      <errorWord>C</errorWord>
      <group>L1_English</group>
      <groupName>英文问题</groupName>
      <ability>L2_Other_Grammar</ability>
      <abilityName>其他语法问题</abilityName>
      <candidateList>
        <item>°C</item>
      </candidateList>
      <explain>疑似有名词缺失，建议将单词C修改为°C</explain>
      <paraID>10D47B46</paraID>
      <start>46</start>
      <end>47</end>
      <status>unmodified</status>
      <modifiedWord/>
      <trackRevisions>false</trackRevisions>
    </reviewItem>
    <reviewItem>
      <errorID>244095f1-2ac3-4509-bc44-474fddc980ac</errorID>
      <errorWord>(</errorWord>
      <group>L1_Punc</group>
      <groupName>标点问题</groupName>
      <ability>L2_Punc_CN</ability>
      <abilityName>标点符号问题</abilityName>
      <candidateList/>
      <explain>同一形式括号套用。</explain>
      <paraID>10D47B46</paraID>
      <start>1786</start>
      <end>1787</end>
      <status>unmodified</status>
      <modifiedWord/>
      <trackRevisions>false</trackRevisions>
    </reviewItem>
    <reviewItem>
      <errorID>fbb3c6ed-596c-4940-aebe-56762808cbac</errorID>
      <errorWord>)</errorWord>
      <group>L1_Punc</group>
      <groupName>标点问题</groupName>
      <ability>L2_Punc_CN</ability>
      <abilityName>标点符号问题</abilityName>
      <candidateList/>
      <explain>同一形式括号套用。</explain>
      <paraID>10D47B46</paraID>
      <start>1811</start>
      <end>1812</end>
      <status>unmodified</status>
      <modifiedWord/>
      <trackRevisions>false</trackRevisions>
    </reviewItem>
    <reviewItem>
      <errorID>644176c1-02bb-4d85-86f9-38e32c8b9c0c</errorID>
      <errorWord>)</errorWord>
      <group>L1_Punc</group>
      <groupName>标点问题</groupName>
      <ability>L2_Punc_EN</ability>
      <abilityName>标点符号问题</abilityName>
      <candidateList>
        <item/>
      </candidateList>
      <explain>标点符号)疑似冗余，建议删除</explain>
      <paraID>10D47B46</paraID>
      <start>1828</start>
      <end>1829</end>
      <status>unmodified</status>
      <modifiedWord/>
      <trackRevisions>false</trackRevisions>
    </reviewItem>
    <reviewItem>
      <errorID>b10ba5a2-b2df-415a-9749-f3ad1b622b53</errorID>
      <errorWord>in the Yangtze River Basin,</errorWord>
      <group>L1_English</group>
      <groupName>英文问题</groupName>
      <ability>L2_Other_Grammar</ability>
      <abilityName>其他语法问题</abilityName>
      <candidateList>
        <item>at</item>
      </candidateList>
      <explain>疑似单词/词组使用不当, 建议将in the Yangtze River Basin,修改为at</explain>
      <paraID>6A17B5CF</paraID>
      <start>99</start>
      <end>126</end>
      <status>unmodified</status>
      <modifiedWord/>
      <trackRevisions>false</trackRevisions>
    </reviewItem>
    <reviewItem>
      <errorID>3dc29762-19f3-4dc2-8c7d-fc26a429da48</errorID>
      <errorWord>,</errorWord>
      <group>L1_Punc</group>
      <groupName>标点问题</groupName>
      <ability>L2_Punc_EN</ability>
      <abilityName>标点符号问题</abilityName>
      <candidateList>
        <item/>
      </candidateList>
      <explain>标点符号,疑似冗余，建议删除</explain>
      <paraID>6A17B5CF</paraID>
      <start>166</start>
      <end>167</end>
      <status>unmodified</status>
      <modifiedWord/>
      <trackRevisions>false</trackRevisions>
    </reviewItem>
    <reviewItem>
      <errorID>7114f0f5-710a-4f07-80c0-c33ef59f45bd</errorID>
      <errorWord>C</errorWord>
      <group>L1_English</group>
      <groupName>英文问题</groupName>
      <ability>L2_Other_Grammar</ability>
      <abilityName>其他语法问题</abilityName>
      <candidateList>
        <item>°C</item>
      </candidateList>
      <explain>疑似有单词缺失，建议将单词C修改为°C</explain>
      <paraID>6A17B5CF</paraID>
      <start>186</start>
      <end>187</end>
      <status>unmodified</status>
      <modifiedWord/>
      <trackRevisions>false</trackRevisions>
    </reviewItem>
    <reviewItem>
      <errorID>205ce98d-d4e2-461a-b433-66a7529fc42c</errorID>
      <errorWord>apex</errorWord>
      <group>L1_English</group>
      <groupName>英文问题</groupName>
      <ability>L2_Case</ability>
      <abilityName>大小写问题</abilityName>
      <candidateList>
        <item>APEX</item>
      </candidateList>
      <explain>疑似单词大小写错误，建议将apex修改为APEX</explain>
      <paraID>6A17B5CF</paraID>
      <start>233</start>
      <end>237</end>
      <status>unmodified</status>
      <modifiedWord/>
      <trackRevisions>false</trackRevisions>
    </reviewItem>
    <reviewItem>
      <errorID>91e29b2a-66ca-4a46-8538-2733a44e7a62</errorID>
      <errorWord>ultra</errorWord>
      <group>L1_English</group>
      <groupName>英文问题</groupName>
      <ability>L2_Case</ability>
      <abilityName>大小写问题</abilityName>
      <candidateList>
        <item>Ultra</item>
      </candidateList>
      <explain>疑似单词大小写错误，建议将ultra修改为Ultra</explain>
      <paraID>6A17B5CF</paraID>
      <start>238</start>
      <end>243</end>
      <status>unmodified</status>
      <modifiedWord/>
      <trackRevisions>false</trackRevisions>
    </reviewItem>
    <reviewItem>
      <errorID>3d511208-1428-4582-9e93-959249cdfe04</errorID>
      <errorWord>Suwannee</errorWord>
      <group>L1_English</group>
      <groupName>英文问题</groupName>
      <ability>L2_Word</ability>
      <abilityName>字词问题</abilityName>
      <candidateList>
        <item>a Suwannee</item>
      </candidateList>
      <explain>此处疑似有限定词缺失，建议将单词Suwannee修改为a Suwannee</explain>
      <paraID>6A17B5CF</paraID>
      <start>467</start>
      <end>475</end>
      <status>unmodified</status>
      <modifiedWord/>
      <trackRevisions>false</trackRevisions>
    </reviewItem>
    <reviewItem>
      <errorID>afb94a49-0ac3-4a6f-a3cc-6ae98315158e</errorID>
      <errorWord>C.</errorWord>
      <group>L1_English</group>
      <groupName>英文问题</groupName>
      <ability>L2_Other_Grammar</ability>
      <abilityName>其他语法问题</abilityName>
      <candidateList>
        <item>°C.</item>
      </candidateList>
      <explain>疑似单词/词组使用不当, 建议将C.修改为°C.</explain>
      <paraID>6A17B5CF</paraID>
      <start>776</start>
      <end>778</end>
      <status>unmodified</status>
      <modifiedWord/>
      <trackRevisions>false</trackRevisions>
    </reviewItem>
    <reviewItem>
      <errorID>5d711d36-9710-4ce0-bd1e-99d78a8398e1</errorID>
      <errorWord>platform(Guangdong</errorWord>
      <group>L1_English</group>
      <groupName>英文问题</groupName>
      <ability>L2_Space</ability>
      <abilityName>空格不规范问题</abilityName>
      <candidateList>
        <item>platform (Guangdong</item>
      </candidateList>
      <explain>疑似单词空格书写不规范，建议将platform(Guangdong修改为platform (Guangdong</explain>
      <paraID>1802082F</paraID>
      <start>102</start>
      <end>120</end>
      <status>unmodified</status>
      <modifiedWord/>
      <trackRevisions>false</trackRevisions>
    </reviewItem>
    <reviewItem>
      <errorID>1f32b7da-544d-477a-a8ba-57f13501b961</errorID>
      <errorWord>，Ltd.</errorWord>
      <group>L1_English</group>
      <groupName>英文问题</groupName>
      <ability>L2_Other_Grammar</ability>
      <abilityName>其他语法问题</abilityName>
      <candidateList>
        <item>, Ltd.,</item>
      </candidateList>
      <explain>疑似单词/词组使用不当, 建议将，Ltd.修改为, Ltd.,</explain>
      <paraID>1802082F</paraID>
      <start>147</start>
      <end>152</end>
      <status>unmodified</status>
      <modifiedWord/>
      <trackRevisions>false</trackRevisions>
    </reviewItem>
    <reviewItem>
      <errorID>60d21ad5-a4a4-4940-91fc-d98f2498c6b2</errorID>
      <errorWord>，</errorWord>
      <group>L1_English</group>
      <groupName>英文问题</groupName>
      <ability>L2_Space</ability>
      <abilityName>空格不规范问题</abilityName>
      <candidateList>
        <item>, </item>
      </candidateList>
      <explain>此处疑似有空格缺失，建议将，修改为, </explain>
      <paraID>1802082F</paraID>
      <start>162</start>
      <end>163</end>
      <status>unmodified</status>
      <modifiedWord/>
      <trackRevisions>false</trackRevisions>
    </reviewItem>
    <reviewItem>
      <errorID>218e9be7-af60-4109-9fe0-285d6e6f72fc</errorID>
      <errorWord>.</errorWord>
      <group>L1_Punc</group>
      <groupName>标点问题</groupName>
      <ability>L2_Punc_EN</ability>
      <abilityName>标点符号问题</abilityName>
      <candidateList>
        <item/>
      </candidateList>
      <explain>标点符号.疑似冗余，建议删除</explain>
      <paraID>1802082F</paraID>
      <start>8083</start>
      <end>8084</end>
      <status>unmodified</status>
      <modifiedWord/>
      <trackRevisions>false</trackRevisions>
    </reviewItem>
    <reviewItem>
      <errorID>31fc8f75-5b8b-40a4-8db9-912c748d2109</errorID>
      <errorWord>) :</errorWord>
      <group>L1_English</group>
      <groupName>英文问题</groupName>
      <ability>L2_Space</ability>
      <abilityName>空格不规范问题</abilityName>
      <candidateList>
        <item>):</item>
      </candidateList>
      <explain>疑似单词空格书写不规范，建议将) :修改为):</explain>
      <paraID> CC41910</paraID>
      <start>1706</start>
      <end>1709</end>
      <status>unmodified</status>
      <modifiedWord/>
      <trackRevisions>false</trackRevisions>
    </reviewItem>
    <reviewItem>
      <errorID>5b3b858d-51ce-4fa7-ac7b-7e3d9b1f4883</errorID>
      <errorWord>: </errorWord>
      <group>L1_Punc</group>
      <groupName>标点问题</groupName>
      <ability>L2_Punc_EN</ability>
      <abilityName>标点符号问题</abilityName>
      <candidateList>
        <item/>
      </candidateList>
      <explain>标点符号: 疑似冗余，建议删除</explain>
      <paraID> CC41910</paraID>
      <start>1785</start>
      <end>1787</end>
      <status>unmodified</status>
      <modifiedWord/>
      <trackRevisions>false</trackRevisions>
    </reviewItem>
    <reviewItem>
      <errorID>90e59228-f7fb-478a-b58a-4f87e82bfd17</errorID>
      <errorWord>,</errorWord>
      <group>L1_Format</group>
      <groupName>格式问题</groupName>
      <ability>L2_HalfPunc_CN</ability>
      <abilityName>全半角问题</abilityName>
      <candidateList>
        <item>，</item>
      </candidateList>
      <explain>文本全半角错误。</explain>
      <paraID> CC41910</paraID>
      <start>1813</start>
      <end>1814</end>
      <status>unmodified</status>
      <modifiedWord/>
      <trackRevisions>false</trackRevisions>
    </reviewItem>
    <reviewItem>
      <errorID>ddd9333b-e9f8-4fba-aa17-d7f694380242</errorID>
      <errorWord>conditions:(1</errorWord>
      <group>L1_English</group>
      <groupName>英文问题</groupName>
      <ability>L2_Space</ability>
      <abilityName>空格不规范问题</abilityName>
      <candidateList>
        <item>conditions: (1</item>
      </candidateList>
      <explain>疑似单词空格书写不规范，建议将conditions:(1修改为conditions: (1</explain>
      <paraID> CC41910</paraID>
      <start>1886</start>
      <end>1899</end>
      <status>unmodified</status>
      <modifiedWord/>
      <trackRevisions>false</trackRevisions>
    </reviewItem>
    <reviewItem>
      <errorID>50dbec3f-7c20-4fa1-a879-f78ce542c88f</errorID>
      <errorWord>,</errorWord>
      <group>L1_Format</group>
      <groupName>格式问题</groupName>
      <ability>L2_HalfPunc_CN</ability>
      <abilityName>全半角问题</abilityName>
      <candidateList>
        <item>，</item>
      </candidateList>
      <explain>文本全半角错误。</explain>
      <paraID> CC41910</paraID>
      <start>2082</start>
      <end>2083</end>
      <status>unmodified</status>
      <modifiedWord/>
      <trackRevisions>false</trackRevisions>
    </reviewItem>
    <reviewItem>
      <errorID>e4b0479b-b172-4f47-b8c6-4216810c69f9</errorID>
      <errorWord>,</errorWord>
      <group>L1_Format</group>
      <groupName>格式问题</groupName>
      <ability>L2_HalfPunc_CN</ability>
      <abilityName>全半角问题</abilityName>
      <candidateList>
        <item>，</item>
      </candidateList>
      <explain>文本全半角错误。</explain>
      <paraID> CC41910</paraID>
      <start>2200</start>
      <end>2201</end>
      <status>unmodified</status>
      <modifiedWord/>
      <trackRevisions>false</trackRevisions>
    </reviewItem>
    <reviewItem>
      <errorID>4d4c6604-4ea6-49ee-bee9-89fbbcdbd5fc</errorID>
      <errorWord>vs</errorWord>
      <group>L1_English</group>
      <groupName>英文问题</groupName>
      <ability>L2_Word</ability>
      <abilityName>字词问题</abilityName>
      <candidateList>
        <item>vs.</item>
      </candidateList>
      <explain>疑似介词使用不当, 建议将vs修改为vs.</explain>
      <paraID>41F64247</paraID>
      <start>273</start>
      <end>275</end>
      <status>unmodified</status>
      <modifiedWord/>
      <trackRevisions>false</trackRevisions>
    </reviewItem>
    <reviewItem>
      <errorID>c09d344a-e544-4d43-92b7-a302afcae772</errorID>
      <errorWord>“</errorWord>
      <group>L1_Format</group>
      <groupName>格式问题</groupName>
      <ability>L2_HalfPunc_CN</ability>
      <abilityName>全半角问题</abilityName>
      <candidateList>
        <item>"</item>
      </candidateList>
      <explain>文本全半角错误。</explain>
      <paraID>41F64247</paraID>
      <start>2871</start>
      <end>2872</end>
      <status>unmodified</status>
      <modifiedWord/>
      <trackRevisions>false</trackRevisions>
    </reviewItem>
    <reviewItem>
      <errorID>1ebfa678-f8ca-426a-8ecd-d0cb7b0a3e75</errorID>
      <errorWord>”</errorWord>
      <group>L1_Format</group>
      <groupName>格式问题</groupName>
      <ability>L2_HalfPunc_CN</ability>
      <abilityName>全半角问题</abilityName>
      <candidateList>
        <item>"</item>
      </candidateList>
      <explain>文本全半角错误。</explain>
      <paraID>41F64247</paraID>
      <start>2883</start>
      <end>2884</end>
      <status>unmodified</status>
      <modifiedWord/>
      <trackRevisions>false</trackRevisions>
    </reviewItem>
    <reviewItem>
      <errorID>d09d3007-0706-44e4-a1fe-91d8fe506e77</errorID>
      <errorWord>RDOC</errorWord>
      <group>L1_English</group>
      <groupName>英文问题</groupName>
      <ability>L2_Word</ability>
      <abilityName>字词问题</abilityName>
      <candidateList>
        <item>the RDOC</item>
      </candidateList>
      <explain>此处疑似有限定词缺失，建议将单词RDOC修改为the RDOC</explain>
      <paraID>76F407E2</paraID>
      <start>4821</start>
      <end>4825</end>
      <status>unmodified</status>
      <modifiedWord/>
      <trackRevisions>false</trackRevisions>
    </reviewItem>
    <reviewItem>
      <errorID>fe2bc787-999e-41f0-ae95-83bc14d62b8b</errorID>
      <errorWord>-</errorWord>
      <group>L1_Punc</group>
      <groupName>标点问题</groupName>
      <ability>L2_Punc_EN</ability>
      <abilityName>标点符号问题</abilityName>
      <candidateList>
        <item>–</item>
      </candidateList>
      <explain>疑似标点符号使用不当, 建议将-修改为–</explain>
      <paraID>343FD078</paraID>
      <start>13</start>
      <end>14</end>
      <status>unmodified</status>
      <modifiedWord/>
      <trackRevisions>false</trackRevisions>
    </reviewItem>
    <reviewItem>
      <errorID>90f617bb-125b-4c98-a3c5-36aeeee94796</errorID>
      <errorWord>top</errorWord>
      <group>L1_English</group>
      <groupName>英文问题</groupName>
      <ability>L2_Word</ability>
      <abilityName>字词问题</abilityName>
      <candidateList>
        <item>the top</item>
      </candidateList>
      <explain>此处疑似有限定词缺失，建议将单词top修改为the top</explain>
      <paraID>74BF8678</paraID>
      <start>60</start>
      <end>63</end>
      <status>unmodified</status>
      <modifiedWord/>
      <trackRevisions>false</trackRevisions>
    </reviewItem>
    <reviewItem>
      <errorID>ca7f8296-32dc-41a8-9a02-81dfa35bb5a1</errorID>
      <errorWord>top</errorWord>
      <group>L1_English</group>
      <groupName>英文问题</groupName>
      <ability>L2_Word</ability>
      <abilityName>字词问题</abilityName>
      <candidateList>
        <item>the top</item>
      </candidateList>
      <explain>此处疑似有限定词缺失，建议将单词top修改为the top</explain>
      <paraID>153F9400</paraID>
      <start>60</start>
      <end>63</end>
      <status>unmodified</status>
      <modifiedWord/>
      <trackRevisions>false</trackRevisions>
    </reviewItem>
    <reviewItem>
      <errorID>eed57fa0-0f10-4d02-82fc-95a22dcf6829</errorID>
      <errorWord>top</errorWord>
      <group>L1_English</group>
      <groupName>英文问题</groupName>
      <ability>L2_Word</ability>
      <abilityName>字词问题</abilityName>
      <candidateList>
        <item>the top</item>
      </candidateList>
      <explain>此处疑似有限定词缺失，建议将单词top修改为the top</explain>
      <paraID>5D354CB7</paraID>
      <start>60</start>
      <end>63</end>
      <status>unmodified</status>
      <modifiedWord/>
      <trackRevisions>false</trackRevisions>
    </reviewItem>
    <reviewItem>
      <errorID>54375176-2aec-4ac9-a6a2-b512c2ca9df7</errorID>
      <errorWord>Latitude( </errorWord>
      <group>L1_English</group>
      <groupName>英文问题</groupName>
      <ability>L2_Space</ability>
      <abilityName>空格不规范问题</abilityName>
      <candidateList>
        <item>Latitude (</item>
      </candidateList>
      <explain>此处疑似有空格缺失，建议将Latitude( 修改为Latitude (</explain>
      <paraID>5F02CA06</paraID>
      <start>0</start>
      <end>10</end>
      <status>unmodified</status>
      <modifiedWord/>
      <trackRevisions>false</trackRevisions>
    </reviewItem>
    <reviewItem>
      <errorID>be0c0f06-f130-44eb-ba88-0304ac1c4b09</errorID>
      <errorWord>age(year</errorWord>
      <group>L1_English</group>
      <groupName>英文问题</groupName>
      <ability>L2_Space</ability>
      <abilityName>空格不规范问题</abilityName>
      <candidateList>
        <item>age (year</item>
      </candidateList>
      <explain>疑似单词空格书写不规范，建议将age(year修改为age (year</explain>
      <paraID>684F5AB6</paraID>
      <start>10</start>
      <end>18</end>
      <status>unmodified</status>
      <modifiedWord/>
      <trackRevisions>false</trackRevisions>
    </reviewItem>
    <reviewItem>
      <errorID>bc6ea8d9-7e06-475b-b7f6-be7def427b27</errorID>
      <errorWord>Qiyi(QY</errorWord>
      <group>L1_English</group>
      <groupName>英文问题</groupName>
      <ability>L2_Space</ability>
      <abilityName>空格不规范问题</abilityName>
      <candidateList>
        <item>Qiyi (QY</item>
      </candidateList>
      <explain>疑似单词空格书写不规范，建议将Qiyi(QY修改为Qiyi (QY</explain>
      <paraID>1E570D07</paraID>
      <start>0</start>
      <end>7</end>
      <status>unmodified</status>
      <modifiedWord/>
      <trackRevisions>false</trackRevisions>
    </reviewItem>
    <reviewItem>
      <errorID>3d37a4ed-c911-4e18-ba8a-0349fffcdd41</errorID>
      <errorWord>Zipingpu(ZPP</errorWord>
      <group>L1_English</group>
      <groupName>英文问题</groupName>
      <ability>L2_Space</ability>
      <abilityName>空格不规范问题</abilityName>
      <candidateList>
        <item>Zipingpu (ZPP</item>
      </candidateList>
      <explain>疑似单词空格书写不规范，建议将Zipingpu(ZPP修改为Zipingpu (ZPP</explain>
      <paraID>688E271B</paraID>
      <start>0</start>
      <end>12</end>
      <status>unmodified</status>
      <modifiedWord/>
      <trackRevisions>false</trackRevisions>
    </reviewItem>
    <reviewItem>
      <errorID>464f0774-371d-4e07-bc38-22daaa8a852c</errorID>
      <errorWord>Zhanghe(ZH</errorWord>
      <group>L1_English</group>
      <groupName>英文问题</groupName>
      <ability>L2_Space</ability>
      <abilityName>空格不规范问题</abilityName>
      <candidateList>
        <item>Zhanghe (ZH</item>
      </candidateList>
      <explain>疑似单词空格书写不规范，建议将Zhanghe(ZH修改为Zhanghe (ZH</explain>
      <paraID> B929CD9</paraID>
      <start>0</start>
      <end>10</end>
      <status>unmodified</status>
      <modifiedWord/>
      <trackRevisions>false</trackRevisions>
    </reviewItem>
    <reviewItem>
      <errorID>864e1e4c-2380-472b-9b4c-ad40cd4ae999</errorID>
      <errorWord>Hulukou(HLK</errorWord>
      <group>L1_English</group>
      <groupName>英文问题</groupName>
      <ability>L2_Space</ability>
      <abilityName>空格不规范问题</abilityName>
      <candidateList>
        <item>Hulukou (HLK</item>
      </candidateList>
      <explain>疑似单词空格书写不规范，建议将Hulukou(HLK修改为Hulukou (HLK</explain>
      <paraID>6CB7EC2C</paraID>
      <start>0</start>
      <end>11</end>
      <status>unmodified</status>
      <modifiedWord/>
      <trackRevisions>false</trackRevisions>
    </reviewItem>
    <reviewItem>
      <errorID>7c7f5c6b-3270-4cda-bc66-ce7812218ab6</errorID>
      <errorWord>Zhelin(ZL</errorWord>
      <group>L1_English</group>
      <groupName>英文问题</groupName>
      <ability>L2_Space</ability>
      <abilityName>空格不规范问题</abilityName>
      <candidateList>
        <item>Zhelin (ZL</item>
      </candidateList>
      <explain>疑似单词空格书写不规范，建议将Zhelin(ZL修改为Zhelin (ZL</explain>
      <paraID>46E28ED7</paraID>
      <start>0</start>
      <end>9</end>
      <status>unmodified</status>
      <modifiedWord/>
      <trackRevisions>false</trackRevisions>
    </reviewItem>
    <reviewItem>
      <errorID>f16e1022-6782-485b-8daf-e7d6a56eda76</errorID>
      <errorWord>Danjiangkou(DJK</errorWord>
      <group>L1_English</group>
      <groupName>英文问题</groupName>
      <ability>L2_Space</ability>
      <abilityName>空格不规范问题</abilityName>
      <candidateList>
        <item>Danjiangkou (DJK</item>
      </candidateList>
      <explain>疑似单词空格书写不规范，建议将Danjiangkou(DJK修改为Danjiangkou (DJK</explain>
      <paraID>5B1BDA09</paraID>
      <start>0</start>
      <end>15</end>
      <status>unmodified</status>
      <modifiedWord/>
      <trackRevisions>false</trackRevisions>
    </reviewItem>
    <reviewItem>
      <errorID>572655e4-c90b-493d-a183-9334e4374914</errorID>
      <errorWord>Shahe(SH</errorWord>
      <group>L1_English</group>
      <groupName>英文问题</groupName>
      <ability>L2_Space</ability>
      <abilityName>空格不规范问题</abilityName>
      <candidateList>
        <item>Shahe (SH</item>
      </candidateList>
      <explain>疑似单词空格书写不规范，建议将Shahe(SH修改为Shahe (SH</explain>
      <paraID>7FB9C221</paraID>
      <start>0</start>
      <end>8</end>
      <status>unmodified</status>
      <modifiedWord/>
      <trackRevisions>false</trackRevisions>
    </reviewItem>
    <reviewItem>
      <errorID>e4c2f813-f28f-4061-b8c0-e57517665684</errorID>
      <errorWord>Baihua(BH</errorWord>
      <group>L1_English</group>
      <groupName>英文问题</groupName>
      <ability>L2_Space</ability>
      <abilityName>空格不规范问题</abilityName>
      <candidateList>
        <item>Baihua (BH</item>
      </candidateList>
      <explain>疑似单词空格书写不规范，建议将Baihua(BH修改为Baihua (BH</explain>
      <paraID>46F7389A</paraID>
      <start>0</start>
      <end>9</end>
      <status>unmodified</status>
      <modifiedWord/>
      <trackRevisions>false</trackRevisions>
    </reviewItem>
    <reviewItem>
      <errorID>c99d048f-31a6-4a8d-8362-e9bab6d7b917</errorID>
      <errorWord>Yutan(YT</errorWord>
      <group>L1_English</group>
      <groupName>英文问题</groupName>
      <ability>L2_Space</ability>
      <abilityName>空格不规范问题</abilityName>
      <candidateList>
        <item>Yutan (YT</item>
      </candidateList>
      <explain>疑似单词空格书写不规范，建议将Yutan(YT修改为Yutan (YT</explain>
      <paraID>24DE3E80</paraID>
      <start>0</start>
      <end>8</end>
      <status>unmodified</status>
      <modifiedWord/>
      <trackRevisions>false</trackRevisions>
    </reviewItem>
    <reviewItem>
      <errorID>70ed26e2-6c84-4368-acc2-ec552084d5c9</errorID>
      <errorWord>biochemical</errorWord>
      <group>L1_English</group>
      <groupName>英文问题</groupName>
      <ability>L2_Case</ability>
      <abilityName>大小写问题</abilityName>
      <candidateList>
        <item>Biochemical</item>
      </candidateList>
      <explain>疑似单词大小写错误，建议将biochemical修改为Biochemical</explain>
      <paraID>78DE8235</paraID>
      <start>9</start>
      <end>20</end>
      <status>unmodified</status>
      <modifiedWord/>
      <trackRevisions>false</trackRevisions>
    </reviewItem>
    <reviewItem>
      <errorID>22620dcf-6bf7-4f4c-9f8f-1b15386e39e0</errorID>
      <errorWord>Molecules(CRAMs</errorWord>
      <group>L1_English</group>
      <groupName>英文问题</groupName>
      <ability>L2_Space</ability>
      <abilityName>空格不规范问题</abilityName>
      <candidateList>
        <item>Molecules (CRAMs</item>
      </candidateList>
      <explain>疑似单词空格书写不规范，建议将Molecules(CRAMs修改为Molecules (CRAMs</explain>
      <paraID>79B70C93</paraID>
      <start>24</start>
      <end>39</end>
      <status>unmodified</status>
      <modifiedWord/>
      <trackRevisions>false</trackRevisions>
    </reviewItem>
    <reviewItem>
      <errorID>387a271e-9cd1-4d2a-a34c-588653926b35</errorID>
      <errorWord>mean±SD</errorWord>
      <group>L1_English</group>
      <groupName>英文问题</groupName>
      <ability>L2_Space</ability>
      <abilityName>空格不规范问题</abilityName>
      <candidateList>
        <item>mean ± SD</item>
      </candidateList>
      <explain>疑似单词空格书写不规范，建议将mean±SD修改为mean ± SD</explain>
      <paraID>1379BFCA</paraID>
      <start>13</start>
      <end>20</end>
      <status>unmodified</status>
      <modifiedWord/>
      <trackRevisions>false</trackRevisions>
    </reviewItem>
    <reviewItem>
      <errorID>632a9967-06a6-4c3d-9ec3-b8b82d391fe9</errorID>
      <errorWord>parameters</errorWord>
      <group>L1_Punc</group>
      <groupName>标点问题</groupName>
      <ability>L2_Punc_EN</ability>
      <abilityName>标点符号问题</abilityName>
      <candidateList>
        <item>parameters,</item>
      </candidateList>
      <explain>此处疑似有标点符号缺失，建议将parameters修改为parameters,</explain>
      <paraID>1379BFCA</paraID>
      <start>40</start>
      <end>50</end>
      <status>unmodified</status>
      <modifiedWord/>
      <trackRevisions>false</trackRevisions>
    </reviewItem>
    <reviewItem>
      <errorID>c62277b3-c591-43dd-bd8d-1a60eea08cf5</errorID>
      <errorWord>Chlorophyll</errorWord>
      <group>L1_English</group>
      <groupName>英文问题</groupName>
      <ability>L2_Case</ability>
      <abilityName>大小写问题</abilityName>
      <candidateList>
        <item>chlorophyll</item>
      </candidateList>
      <explain>疑似单词大小写错误，建议将Chlorophyll修改为chlorophyll</explain>
      <paraID>1379BFCA</paraID>
      <start>137</start>
      <end>148</end>
      <status>unmodified</status>
      <modifiedWord/>
      <trackRevisions>false</trackRevisions>
    </reviewItem>
    <reviewItem>
      <errorID>b2d4414a-2d0a-4ba7-bce0-5b43e4cf85ab</errorID>
      <errorWord>reservoir</errorWord>
      <group>L1_English</group>
      <groupName>英文问题</groupName>
      <ability>L2_Noun_Number</ability>
      <abilityName>名词单复数问题</abilityName>
      <candidateList>
        <item>reservoirs</item>
      </candidateList>
      <explain>疑似名词单复数使用错误，建议将reservoir修改为reservoirs</explain>
      <paraID>1379BFCA</paraID>
      <start>219</start>
      <end>228</end>
      <status>unmodified</status>
      <modifiedWord/>
      <trackRevisions>false</trackRevisions>
    </reviewItem>
    <reviewItem>
      <errorID>b0ee4ab2-0c14-4790-a4ad-a220784b1c27</errorID>
      <errorWord>TN(mg</errorWord>
      <group>L1_English</group>
      <groupName>英文问题</groupName>
      <ability>L2_Space</ability>
      <abilityName>空格不规范问题</abilityName>
      <candidateList>
        <item>TN (mg</item>
      </candidateList>
      <explain>疑似单词空格书写不规范，建议将TN(mg修改为TN (mg</explain>
      <paraID> A3F010F</paraID>
      <start>0</start>
      <end>5</end>
      <status>unmodified</status>
      <modifiedWord/>
      <trackRevisions>false</trackRevisions>
    </reviewItem>
    <reviewItem>
      <errorID>7b6e8358-b658-43bd-833c-e83ec60429b8</errorID>
      <errorWord>TP(mg</errorWord>
      <group>L1_English</group>
      <groupName>英文问题</groupName>
      <ability>L2_Space</ability>
      <abilityName>空格不规范问题</abilityName>
      <candidateList>
        <item>TP (mg</item>
      </candidateList>
      <explain>疑似单词空格书写不规范，建议将TP(mg修改为TP (mg</explain>
      <paraID>2E1860B6</paraID>
      <start>0</start>
      <end>5</end>
      <status>unmodified</status>
      <modifiedWord/>
      <trackRevisions>false</trackRevisions>
    </reviewItem>
    <reviewItem>
      <errorID>528f1e8c-7828-4120-9a06-19972f0a5bfe</errorID>
      <errorWord>CODMn(mg</errorWord>
      <group>L1_English</group>
      <groupName>英文问题</groupName>
      <ability>L2_Space</ability>
      <abilityName>空格不规范问题</abilityName>
      <candidateList>
        <item>CODMn (mg</item>
      </candidateList>
      <explain>疑似单词空格书写不规范，建议将CODMn(mg修改为CODMn (mg</explain>
      <paraID>7842EBCC</paraID>
      <start>0</start>
      <end>8</end>
      <status>unmodified</status>
      <modifiedWord/>
      <trackRevisions>false</trackRevisions>
    </reviewItem>
    <reviewItem>
      <errorID>9d08c415-d138-42e8-bfa4-a539a525cf7b</errorID>
      <errorWord>Chla(μg</errorWord>
      <group>L1_English</group>
      <groupName>英文问题</groupName>
      <ability>L2_Space</ability>
      <abilityName>空格不规范问题</abilityName>
      <candidateList>
        <item>Chla (μg</item>
      </candidateList>
      <explain>疑似单词空格书写不规范，建议将Chla(μg修改为Chla (μg</explain>
      <paraID>3A5CEE77</paraID>
      <start>0</start>
      <end>7</end>
      <status>unmodified</status>
      <modifiedWord/>
      <trackRevisions>false</trackRevisions>
    </reviewItem>
    <reviewItem>
      <errorID>dc6da16b-4525-4fe6-a5cb-fea43b0073c9</errorID>
      <errorWord>SDD(m</errorWord>
      <group>L1_English</group>
      <groupName>英文问题</groupName>
      <ability>L2_Space</ability>
      <abilityName>空格不规范问题</abilityName>
      <candidateList>
        <item>SDD (m</item>
      </candidateList>
      <explain>疑似单词空格书写不规范，建议将SDD(m修改为SDD (m</explain>
      <paraID>1A3520BA</paraID>
      <start>0</start>
      <end>5</end>
      <status>unmodified</status>
      <modifiedWord/>
      <trackRevisions>false</trackRevisions>
    </reviewItem>
    <reviewItem>
      <errorID>6ade5e32-f52d-464a-92e5-5f5eab776f91</errorID>
      <errorWord>solid‐phase</errorWord>
      <group>L1_English</group>
      <groupName>英文问题</groupName>
      <ability>L2_Other_Grammar</ability>
      <abilityName>其他语法问题</abilityName>
      <candidateList>
        <item>solid-phase</item>
      </candidateList>
      <explain>疑似单词/词组使用不当, 建议将solid‐phase修改为solid-phase</explain>
      <paraID>44E30BAA</paraID>
      <start>91</start>
      <end>102</end>
      <status>unmodified</status>
      <modifiedWord/>
      <trackRevisions>false</trackRevisions>
    </reviewItem>
    <reviewItem>
      <errorID>b6482df7-1e29-41c1-ad7f-04a46d5c5fcc</errorID>
      <errorWord>SPE‐DOM</errorWord>
      <group>L1_English</group>
      <groupName>英文问题</groupName>
      <ability>L2_Other_Grammar</ability>
      <abilityName>其他语法问题</abilityName>
      <candidateList>
        <item>SPE-DOM</item>
      </candidateList>
      <explain>名词使用不当, 建议将SPE‐DOM修改为SPE-DOM</explain>
      <paraID>44E30BAA</paraID>
      <start>143</start>
      <end>150</end>
      <status>unmodified</status>
      <modifiedWord/>
      <trackRevisions>false</trackRevisions>
    </reviewItem>
    <reviewItem>
      <errorID>8093dd24-2633-4a18-bd6d-a3e4e98f4445</errorID>
      <errorWord>mer based</errorWord>
      <group>L1_Punc</group>
      <groupName>标点问题</groupName>
      <ability>L2_Punc_EN</ability>
      <abilityName>标点符号问题</abilityName>
      <candidateList>
        <item>mer-based</item>
      </candidateList>
      <explain>此处疑似有标点符号缺失，建议将mer based修改为mer-based</explain>
      <paraID>37ADCA5F</paraID>
      <start>86</start>
      <end>95</end>
      <status>unmodified</status>
      <modifiedWord/>
      <trackRevisions>false</trackRevisions>
    </reviewItem>
    <reviewItem>
      <errorID>20dcbade-2901-40dd-ad79-cd7607fd9219</errorID>
      <errorWord>High‐resolution</errorWord>
      <group>L1_English</group>
      <groupName>英文问题</groupName>
      <ability>L2_Other_Grammar</ability>
      <abilityName>其他语法问题</abilityName>
      <candidateList>
        <item>High-resolution</item>
      </candidateList>
      <explain>疑似单词/词组使用不当, 建议将High‐resolution修改为High-resolution</explain>
      <paraID>5A0300CD</paraID>
      <start>23</start>
      <end>38</end>
      <status>unmodified</status>
      <modifiedWord/>
      <trackRevisions>false</trackRevisions>
    </reviewItem>
    <reviewItem>
      <errorID>040995da-4171-45e1-9e79-113dcb5f847a</errorID>
      <errorWord>river‐flow</errorWord>
      <group>L1_English</group>
      <groupName>英文问题</groupName>
      <ability>L2_Other_Grammar</ability>
      <abilityName>其他语法问题</abilityName>
      <candidateList>
        <item>river-flow</item>
      </candidateList>
      <explain>疑似单词/词组使用不当, 建议将river‐flow修改为river-flow</explain>
      <paraID>5A0300CD</paraID>
      <start>98</start>
      <end>108</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6f72c-f8c0-49ca-bd0a-d82c09f64b16}">
  <ds:schemaRefs/>
</ds:datastoreItem>
</file>

<file path=customXml/itemProps2.xml><?xml version="1.0" encoding="utf-8"?>
<ds:datastoreItem xmlns:ds="http://schemas.openxmlformats.org/officeDocument/2006/customXml" ds:itemID="{9635D9B7-0F85-4B85-BC34-218382745758}">
  <ds:schemaRefs/>
</ds:datastoreItem>
</file>

<file path=docProps/app.xml><?xml version="1.0" encoding="utf-8"?>
<Properties xmlns="http://schemas.openxmlformats.org/officeDocument/2006/extended-properties" xmlns:vt="http://schemas.openxmlformats.org/officeDocument/2006/docPropsVTypes">
  <Template>Normal</Template>
  <Company>内蒙古分公司</Company>
  <Pages>37</Pages>
  <Words>3241</Words>
  <Characters>19352</Characters>
  <Lines>435</Lines>
  <Paragraphs>122</Paragraphs>
  <TotalTime>0</TotalTime>
  <ScaleCrop>false</ScaleCrop>
  <LinksUpToDate>false</LinksUpToDate>
  <CharactersWithSpaces>22333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2026-07-31T02:53:00Z</dcterms:created>
  <dc:creator>吴军海</dc:creator>
  <cp:lastModifiedBy>Ma_Yi</cp:lastModifiedBy>
  <dcterms:modified xsi:type="dcterms:W3CDTF">2026-08-21T01:27:53Z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060A6FE6EF5E46BCB9F6CBD993A136A3_13</vt:lpwstr>
  </property>
  <property fmtid="{D5CDD505-2E9C-101B-9397-08002B2CF9AE}" pid="4" name="KSOTemplateDocerSaveRecord">
    <vt:lpwstr>eyJoZGlkIjoiMzEwNTM5NzYwMDRjMzkwZTVkZjY2ODkwMGIxNGU0OTUiLCJ1c2VySWQiOiIyNTM4NDU2MTEifQ==</vt:lpwstr>
  </property>
</Properties>
</file>