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91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720" w:lineRule="auto"/>
        <w:jc w:val="center"/>
        <w:textAlignment w:val="auto"/>
        <w:rPr>
          <w:rFonts w:hint="eastAsia"/>
          <w:b/>
          <w:bCs/>
          <w:color w:val="auto"/>
          <w:sz w:val="44"/>
          <w:szCs w:val="40"/>
          <w:lang w:val="en-US" w:eastAsia="zh-CN"/>
        </w:rPr>
      </w:pPr>
      <w:r>
        <w:rPr>
          <w:rFonts w:hint="eastAsia"/>
          <w:b/>
          <w:bCs/>
          <w:color w:val="auto"/>
          <w:sz w:val="44"/>
          <w:szCs w:val="40"/>
          <w:lang w:val="en-US" w:eastAsia="zh-CN"/>
        </w:rPr>
        <w:t>Supporting Information</w:t>
      </w:r>
    </w:p>
    <w:p w14:paraId="07010B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Magnetically Recoverable Fe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O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vertAlign w:val="subscript"/>
          <w:lang w:val="en-US" w:eastAsia="zh-CN"/>
        </w:rPr>
        <w:t>3</w:t>
      </w: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  <w:lang w:val="en-US" w:eastAsia="zh-CN"/>
        </w:rPr>
        <w:t>/ZSM-5 Composite for Fenton-Like Oxidation of Organic Dyes in Water</w:t>
      </w:r>
    </w:p>
    <w:p w14:paraId="0D90C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0DEA2253">
      <w:pPr>
        <w:autoSpaceDE/>
        <w:autoSpaceDN/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Yang Song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Zhaochen Dong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Shuying Li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1,*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Wenmei Zhao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Yanzhen Wang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Xianglong Zhao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cs="Times New Roman"/>
          <w:b w:val="0"/>
          <w:bCs w:val="0"/>
          <w:color w:val="auto"/>
          <w:sz w:val="24"/>
          <w:szCs w:val="24"/>
          <w:vertAlign w:val="baseline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Yang Zhao</w:t>
      </w:r>
      <w:r>
        <w:rPr>
          <w:rFonts w:hint="eastAsia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Xiuqin Sun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2,*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Mulan Zhu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Wei Fan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, Feiyong Chen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vertAlign w:val="superscript"/>
          <w:lang w:val="en-US" w:eastAsia="zh-CN"/>
        </w:rPr>
        <w:t>1</w:t>
      </w:r>
    </w:p>
    <w:p w14:paraId="36C38BC7">
      <w:pPr>
        <w:autoSpaceDE/>
        <w:autoSpaceDN/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1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Resources and Environment Innovation Institute, Shandong Jianzhu University, Jinan 250101, Shandong Province, China.</w:t>
      </w:r>
    </w:p>
    <w:p w14:paraId="1843E3AA">
      <w:pPr>
        <w:autoSpaceDE/>
        <w:autoSpaceDN/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2 Shandong Coal Field Geological Survey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nd Research Institute, Jinan 250100, Shandong Province, China.</w:t>
      </w:r>
    </w:p>
    <w:p w14:paraId="4EDCCB84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3 School of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Environmental Science and Engineering, Xiamen University of Technology, Xiamen 361024, China</w:t>
      </w:r>
    </w:p>
    <w:p w14:paraId="0D1EDF85">
      <w:pPr>
        <w:autoSpaceDE/>
        <w:autoSpaceDN/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4 School of Environment, Northeast Normal University, 2555 Jingyue Street, Changchun 130117, China</w:t>
      </w:r>
    </w:p>
    <w:p w14:paraId="6AAC5993">
      <w:pPr>
        <w:spacing w:line="480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*Corresponding Author</w:t>
      </w:r>
      <w:r>
        <w:rPr>
          <w:rFonts w:hint="eastAsia" w:cs="Times New Roman"/>
          <w:b w:val="0"/>
          <w:bCs w:val="0"/>
          <w:color w:val="auto"/>
          <w:sz w:val="24"/>
          <w:szCs w:val="24"/>
          <w:lang w:val="en-US" w:eastAsia="zh-CN"/>
        </w:rPr>
        <w:t>s:</w:t>
      </w:r>
      <w:r>
        <w:rPr>
          <w:rFonts w:hint="eastAsia" w:cs="Times New Roman"/>
          <w:b/>
          <w:bCs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Email: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instrText xml:space="preserve"> HYPERLINK "mailto:shuyingli@mail.sdu.edu.cn" </w:instrTex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fldChar w:fldCharType="separate"/>
      </w:r>
      <w:r>
        <w:rPr>
          <w:rStyle w:val="5"/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shuyingli@mail.sdu.edu.cn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(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>Shuying Li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>)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; 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fldChar w:fldCharType="begin"/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instrText xml:space="preserve"> HYPERLINK "mailto:18653177227@126.com" </w:instrTex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fldChar w:fldCharType="separate"/>
      </w:r>
      <w:r>
        <w:rPr>
          <w:rFonts w:hint="eastAsia" w:cs="Times New Roman"/>
          <w:color w:val="0026E5"/>
          <w:sz w:val="24"/>
          <w:szCs w:val="24"/>
          <w:u w:val="single"/>
          <w:lang w:val="en-US" w:eastAsia="zh-CN"/>
        </w:rPr>
        <w:t>18653177227@126.com</w:t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fldChar w:fldCharType="end"/>
      </w:r>
      <w:r>
        <w:rPr>
          <w:rFonts w:hint="eastAsia" w:cs="Times New Roman"/>
          <w:color w:val="auto"/>
          <w:sz w:val="24"/>
          <w:szCs w:val="24"/>
          <w:lang w:val="en-US" w:eastAsia="zh-CN"/>
        </w:rPr>
        <w:t xml:space="preserve"> (Xiuqin Sun)</w:t>
      </w:r>
    </w:p>
    <w:p w14:paraId="19E3A61B">
      <w:pPr>
        <w:spacing w:line="480" w:lineRule="auto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†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These authors contributed equally to this work.</w:t>
      </w:r>
    </w:p>
    <w:p w14:paraId="550A61B7">
      <w:pPr>
        <w:autoSpaceDE/>
        <w:autoSpaceDN/>
        <w:jc w:val="both"/>
        <w:rPr>
          <w:rFonts w:hint="default" w:ascii="Times New Roman" w:hAnsi="Times New Roman" w:cs="Times New Roman"/>
          <w:b/>
          <w:bCs/>
          <w:color w:val="auto"/>
          <w:szCs w:val="24"/>
          <w:highlight w:val="none"/>
          <w:lang w:val="en-US"/>
        </w:rPr>
      </w:pPr>
    </w:p>
    <w:p w14:paraId="5FF371A3">
      <w:pPr>
        <w:autoSpaceDE/>
        <w:autoSpaceDN/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</w:p>
    <w:p w14:paraId="7B934EC3">
      <w:pPr>
        <w:autoSpaceDE/>
        <w:autoSpaceDN/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</w:pPr>
    </w:p>
    <w:p w14:paraId="51403CBC">
      <w:pPr>
        <w:jc w:val="center"/>
        <w:rPr>
          <w:rFonts w:hint="eastAsia"/>
          <w:color w:val="auto"/>
          <w:lang w:val="en-US" w:eastAsia="zh-CN"/>
        </w:rPr>
      </w:pPr>
    </w:p>
    <w:p w14:paraId="1DD97A51">
      <w:pPr>
        <w:jc w:val="center"/>
      </w:pPr>
      <w:r>
        <w:drawing>
          <wp:inline distT="0" distB="0" distL="114300" distR="114300">
            <wp:extent cx="1473200" cy="1473200"/>
            <wp:effectExtent l="0" t="0" r="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65730" cy="1479550"/>
            <wp:effectExtent l="0" t="0" r="1270" b="635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573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EBF25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Figure S1 Lattice spacing of Fe2O3 (2 2 1) crystal plane.</w:t>
      </w:r>
    </w:p>
    <w:p w14:paraId="6888412E">
      <w:pPr>
        <w:jc w:val="center"/>
        <w:rPr>
          <w:rFonts w:hint="eastAsia"/>
          <w:color w:val="auto"/>
          <w:lang w:val="en-US" w:eastAsia="zh-CN"/>
        </w:rPr>
      </w:pPr>
    </w:p>
    <w:p w14:paraId="3B442E3E">
      <w:pPr>
        <w:jc w:val="center"/>
        <w:rPr>
          <w:rFonts w:hint="eastAsia"/>
          <w:color w:val="auto"/>
          <w:lang w:val="en-US" w:eastAsia="zh-CN"/>
        </w:rPr>
      </w:pPr>
    </w:p>
    <w:p w14:paraId="7A250FE3">
      <w:pPr>
        <w:jc w:val="center"/>
        <w:rPr>
          <w:rFonts w:hint="eastAsia"/>
          <w:color w:val="auto"/>
          <w:lang w:val="en-US" w:eastAsia="zh-CN"/>
        </w:rPr>
      </w:pPr>
    </w:p>
    <w:p w14:paraId="639EF15C">
      <w:pPr>
        <w:jc w:val="center"/>
        <w:rPr>
          <w:rFonts w:hint="eastAsia"/>
          <w:color w:val="auto"/>
          <w:lang w:val="en-US" w:eastAsia="zh-CN"/>
        </w:rPr>
      </w:pPr>
    </w:p>
    <w:p w14:paraId="59B46748">
      <w:pPr>
        <w:jc w:val="center"/>
        <w:rPr>
          <w:rFonts w:hint="eastAsia"/>
          <w:color w:val="auto"/>
          <w:lang w:val="en-US" w:eastAsia="zh-CN"/>
        </w:rPr>
      </w:pPr>
    </w:p>
    <w:p w14:paraId="5097D01D">
      <w:pPr>
        <w:jc w:val="center"/>
      </w:pPr>
      <w:r>
        <w:drawing>
          <wp:inline distT="0" distB="0" distL="114300" distR="114300">
            <wp:extent cx="2889250" cy="2882900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9250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48ECD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Figure S2. The SAED pattern of the ZMS-5.</w:t>
      </w:r>
    </w:p>
    <w:p w14:paraId="0E20865F">
      <w:pPr>
        <w:jc w:val="center"/>
        <w:rPr>
          <w:rFonts w:hint="eastAsia"/>
          <w:color w:val="auto"/>
          <w:lang w:val="en-US" w:eastAsia="zh-CN"/>
        </w:rPr>
      </w:pPr>
    </w:p>
    <w:p w14:paraId="4A7F4167">
      <w:pPr>
        <w:jc w:val="center"/>
        <w:rPr>
          <w:rFonts w:hint="eastAsia"/>
          <w:color w:val="auto"/>
          <w:lang w:val="en-US" w:eastAsia="zh-CN"/>
        </w:rPr>
      </w:pPr>
    </w:p>
    <w:p w14:paraId="2D4356C5">
      <w:pPr>
        <w:jc w:val="center"/>
        <w:rPr>
          <w:rFonts w:hint="eastAsia"/>
          <w:color w:val="auto"/>
          <w:lang w:val="en-US" w:eastAsia="zh-CN"/>
        </w:rPr>
      </w:pPr>
    </w:p>
    <w:p w14:paraId="67B2D9AB">
      <w:pPr>
        <w:jc w:val="center"/>
        <w:rPr>
          <w:rFonts w:hint="eastAsia"/>
          <w:color w:val="auto"/>
          <w:lang w:val="en-US" w:eastAsia="zh-CN"/>
        </w:rPr>
      </w:pPr>
    </w:p>
    <w:p w14:paraId="23511A1F">
      <w:pPr>
        <w:jc w:val="center"/>
        <w:rPr>
          <w:rFonts w:hint="eastAsia"/>
          <w:color w:val="auto"/>
          <w:lang w:val="en-US" w:eastAsia="zh-CN"/>
        </w:rPr>
      </w:pPr>
    </w:p>
    <w:p w14:paraId="602F60A1">
      <w:pPr>
        <w:jc w:val="both"/>
        <w:rPr>
          <w:rFonts w:hint="eastAsia" w:eastAsia="宋体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Table S1 T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>he ele</w:t>
      </w:r>
      <w:r>
        <w:rPr>
          <w:rFonts w:hint="eastAsia"/>
          <w:color w:val="auto"/>
          <w:highlight w:val="none"/>
          <w:lang w:val="en-US" w:eastAsia="zh-CN"/>
        </w:rPr>
        <w:t>m</w:t>
      </w:r>
      <w:r>
        <w:rPr>
          <w:rFonts w:hint="eastAsia" w:ascii="Times New Roman" w:eastAsia="宋体"/>
          <w:color w:val="auto"/>
          <w:highlight w:val="none"/>
          <w:lang w:val="en-US" w:eastAsia="zh-CN"/>
        </w:rPr>
        <w:t xml:space="preserve">ent </w:t>
      </w:r>
      <w:r>
        <w:rPr>
          <w:rFonts w:hint="eastAsia"/>
          <w:color w:val="auto"/>
          <w:highlight w:val="none"/>
          <w:lang w:val="en-US" w:eastAsia="zh-CN"/>
        </w:rPr>
        <w:t xml:space="preserve">content of Fe, O, Si, and Al in the </w:t>
      </w:r>
      <w:r>
        <w:rPr>
          <w:rFonts w:hint="eastAsia"/>
          <w:b w:val="0"/>
          <w:bCs w:val="0"/>
          <w:color w:val="auto"/>
          <w:highlight w:val="none"/>
        </w:rPr>
        <w:t>Fe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2</w:t>
      </w:r>
      <w:r>
        <w:rPr>
          <w:rFonts w:hint="eastAsia"/>
          <w:b w:val="0"/>
          <w:bCs w:val="0"/>
          <w:color w:val="auto"/>
          <w:highlight w:val="none"/>
        </w:rPr>
        <w:t>O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3</w:t>
      </w:r>
      <w:r>
        <w:rPr>
          <w:rFonts w:hint="eastAsia"/>
          <w:b w:val="0"/>
          <w:bCs w:val="0"/>
          <w:color w:val="auto"/>
          <w:highlight w:val="none"/>
          <w:vertAlign w:val="baseline"/>
          <w:lang w:val="en-US" w:eastAsia="zh-CN"/>
        </w:rPr>
        <w:t>/</w:t>
      </w:r>
      <w:r>
        <w:rPr>
          <w:rFonts w:hint="eastAsia"/>
          <w:color w:val="auto"/>
          <w:highlight w:val="none"/>
        </w:rPr>
        <w:t>ZSM-5</w:t>
      </w:r>
      <w:r>
        <w:rPr>
          <w:rFonts w:hint="eastAsia"/>
          <w:color w:val="auto"/>
          <w:highlight w:val="none"/>
          <w:lang w:val="en-US" w:eastAsia="zh-CN"/>
        </w:rPr>
        <w:t>.</w:t>
      </w:r>
    </w:p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1823"/>
        <w:gridCol w:w="2144"/>
        <w:gridCol w:w="3265"/>
        <w:gridCol w:w="2313"/>
      </w:tblGrid>
      <w:tr w14:paraId="1209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95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solid" w:color="FFFFFF" w:themeColor="background1" w:fill="00B050"/>
            <w:vAlign w:val="center"/>
          </w:tcPr>
          <w:p w14:paraId="7937F94E">
            <w:pPr>
              <w:snapToGrid w:val="0"/>
              <w:jc w:val="center"/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  <w:t>lemental</w:t>
            </w:r>
            <w:r>
              <w:rPr>
                <w:rFonts w:hint="eastAsia"/>
                <w:color w:val="auto"/>
                <w:highlight w:val="none"/>
              </w:rPr>
              <w:t xml:space="preserve"> </w:t>
            </w:r>
          </w:p>
        </w:tc>
        <w:tc>
          <w:tcPr>
            <w:tcW w:w="112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solid" w:color="FFFFFF" w:themeColor="background1" w:fill="00B050"/>
            <w:vAlign w:val="center"/>
          </w:tcPr>
          <w:p w14:paraId="70DD2674">
            <w:pPr>
              <w:snapToGrid w:val="0"/>
              <w:jc w:val="center"/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  <w:t>Line</w:t>
            </w:r>
          </w:p>
        </w:tc>
        <w:tc>
          <w:tcPr>
            <w:tcW w:w="171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solid" w:color="FFFFFF" w:themeColor="background1" w:fill="00B050"/>
            <w:vAlign w:val="center"/>
          </w:tcPr>
          <w:p w14:paraId="4CA3ED24">
            <w:pPr>
              <w:snapToGrid w:val="0"/>
              <w:jc w:val="center"/>
              <w:rPr>
                <w:rFonts w:hint="default" w:ascii="Times New Roman" w:eastAsia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  <w:t>Conc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entration (wt%)</w:t>
            </w:r>
          </w:p>
        </w:tc>
        <w:tc>
          <w:tcPr>
            <w:tcW w:w="121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solid" w:color="FFFFFF" w:themeColor="background1" w:fill="00B050"/>
            <w:vAlign w:val="center"/>
          </w:tcPr>
          <w:p w14:paraId="10B5324E">
            <w:pPr>
              <w:snapToGrid w:val="0"/>
              <w:jc w:val="center"/>
              <w:rPr>
                <w:rFonts w:hint="eastAsia" w:ascii="Times New Roman" w:eastAsia="宋体"/>
                <w:b/>
                <w:bCs/>
                <w:color w:val="auto"/>
                <w:sz w:val="21"/>
                <w:szCs w:val="21"/>
                <w:lang w:eastAsia="zh-CN"/>
              </w:rPr>
            </w:pPr>
          </w:p>
        </w:tc>
      </w:tr>
      <w:tr w14:paraId="4001A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5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9481C2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Al</w:t>
            </w:r>
          </w:p>
        </w:tc>
        <w:tc>
          <w:tcPr>
            <w:tcW w:w="112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55A41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Ka</w:t>
            </w:r>
          </w:p>
        </w:tc>
        <w:tc>
          <w:tcPr>
            <w:tcW w:w="171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4DA49">
            <w:pPr>
              <w:snapToGrid w:val="0"/>
              <w:jc w:val="center"/>
              <w:rPr>
                <w:rFonts w:hint="default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2.83</w:t>
            </w:r>
          </w:p>
        </w:tc>
        <w:tc>
          <w:tcPr>
            <w:tcW w:w="121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1FC47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 xml:space="preserve"> </w:t>
            </w:r>
          </w:p>
        </w:tc>
      </w:tr>
      <w:tr w14:paraId="36361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AB4738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Si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0C738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Ka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8B992">
            <w:pPr>
              <w:snapToGrid w:val="0"/>
              <w:jc w:val="center"/>
              <w:rPr>
                <w:rFonts w:hint="default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2.17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923AF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 xml:space="preserve"> </w:t>
            </w:r>
          </w:p>
        </w:tc>
      </w:tr>
      <w:tr w14:paraId="32B0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A7FDDE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Fe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1AF85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Ka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F79E1E">
            <w:pPr>
              <w:snapToGrid w:val="0"/>
              <w:jc w:val="center"/>
              <w:rPr>
                <w:rFonts w:hint="default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64.96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62B493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 xml:space="preserve"> </w:t>
            </w:r>
          </w:p>
        </w:tc>
      </w:tr>
      <w:tr w14:paraId="77F43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59E58">
            <w:pPr>
              <w:snapToGrid w:val="0"/>
              <w:jc w:val="center"/>
              <w:rPr>
                <w:rFonts w:hint="eastAsia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O</w:t>
            </w: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606487">
            <w:pPr>
              <w:snapToGrid w:val="0"/>
              <w:jc w:val="center"/>
              <w:rPr>
                <w:rFonts w:hint="default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Ka</w:t>
            </w:r>
          </w:p>
        </w:tc>
        <w:tc>
          <w:tcPr>
            <w:tcW w:w="1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5D24C5">
            <w:pPr>
              <w:snapToGrid w:val="0"/>
              <w:jc w:val="center"/>
              <w:rPr>
                <w:rFonts w:hint="default" w:ascii="Times New Roman" w:eastAsia="宋体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30.05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F8C03">
            <w:pPr>
              <w:snapToGrid w:val="0"/>
              <w:jc w:val="center"/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</w:pPr>
          </w:p>
        </w:tc>
      </w:tr>
      <w:tr w14:paraId="687D3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95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00CA5D8">
            <w:pPr>
              <w:snapToGrid w:val="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92DC67A">
            <w:pPr>
              <w:snapToGrid w:val="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58CF255">
            <w:pPr>
              <w:snapToGrid w:val="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100.000</w:t>
            </w:r>
          </w:p>
        </w:tc>
        <w:tc>
          <w:tcPr>
            <w:tcW w:w="121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C3DC1BA">
            <w:pPr>
              <w:snapToGrid w:val="0"/>
              <w:jc w:val="center"/>
              <w:rPr>
                <w:rFonts w:ascii="Times New Roman" w:hAnsi="Times New Roman" w:eastAsia="宋体" w:cs="Times New Roman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eastAsia="宋体"/>
                <w:b w:val="0"/>
                <w:bCs/>
                <w:color w:val="auto"/>
                <w:sz w:val="21"/>
                <w:szCs w:val="21"/>
              </w:rPr>
              <w:t>Total</w:t>
            </w:r>
          </w:p>
        </w:tc>
      </w:tr>
    </w:tbl>
    <w:p w14:paraId="696ED629">
      <w:pPr>
        <w:jc w:val="center"/>
        <w:rPr>
          <w:color w:val="auto"/>
        </w:rPr>
      </w:pPr>
    </w:p>
    <w:p w14:paraId="21959F10">
      <w:pPr>
        <w:jc w:val="center"/>
        <w:rPr>
          <w:color w:val="auto"/>
        </w:rPr>
      </w:pPr>
    </w:p>
    <w:p w14:paraId="71AF5F9B">
      <w:pPr>
        <w:jc w:val="center"/>
        <w:rPr>
          <w:color w:val="auto"/>
        </w:rPr>
      </w:pPr>
    </w:p>
    <w:p w14:paraId="5777A95D">
      <w:pPr>
        <w:jc w:val="center"/>
        <w:rPr>
          <w:color w:val="auto"/>
        </w:rPr>
      </w:pPr>
    </w:p>
    <w:p w14:paraId="2149DC41">
      <w:pPr>
        <w:jc w:val="center"/>
        <w:rPr>
          <w:color w:val="auto"/>
        </w:rPr>
      </w:pPr>
    </w:p>
    <w:p w14:paraId="378F4C8F">
      <w:pPr>
        <w:jc w:val="center"/>
        <w:rPr>
          <w:color w:val="auto"/>
        </w:rPr>
      </w:pPr>
    </w:p>
    <w:p w14:paraId="06C4209E">
      <w:pPr>
        <w:jc w:val="center"/>
        <w:rPr>
          <w:color w:val="auto"/>
        </w:rPr>
      </w:pPr>
    </w:p>
    <w:p w14:paraId="3F53ABC1">
      <w:pPr>
        <w:jc w:val="center"/>
        <w:rPr>
          <w:color w:val="auto"/>
        </w:rPr>
      </w:pPr>
    </w:p>
    <w:p w14:paraId="15A91EF4">
      <w:pPr>
        <w:jc w:val="center"/>
        <w:rPr>
          <w:color w:val="auto"/>
        </w:rPr>
      </w:pPr>
    </w:p>
    <w:p w14:paraId="096C302E">
      <w:pPr>
        <w:jc w:val="center"/>
        <w:rPr>
          <w:rFonts w:hint="eastAsia"/>
          <w:color w:val="auto"/>
          <w:lang w:val="en-US" w:eastAsia="zh-CN"/>
        </w:rPr>
      </w:pPr>
      <w:r>
        <w:rPr>
          <w:color w:val="auto"/>
        </w:rPr>
        <w:drawing>
          <wp:inline distT="0" distB="0" distL="114300" distR="114300">
            <wp:extent cx="3099435" cy="2550795"/>
            <wp:effectExtent l="0" t="0" r="1206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9435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80A85">
      <w:pPr>
        <w:jc w:val="center"/>
        <w:rPr>
          <w:rFonts w:hint="eastAsia" w:eastAsia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Figure S3</w:t>
      </w:r>
      <w:r>
        <w:rPr>
          <w:rFonts w:hint="eastAsia"/>
          <w:b/>
          <w:bCs/>
          <w:color w:val="auto"/>
          <w:lang w:val="en-US" w:eastAsia="zh-CN"/>
        </w:rPr>
        <w:t xml:space="preserve"> </w:t>
      </w:r>
      <w:r>
        <w:rPr>
          <w:rFonts w:hint="eastAsia"/>
          <w:color w:val="auto"/>
          <w:lang w:val="en-US" w:eastAsia="zh-CN"/>
        </w:rPr>
        <w:t xml:space="preserve">The X-ray photoelectron spectroscopy of Fe element in the </w:t>
      </w:r>
      <w:r>
        <w:rPr>
          <w:rFonts w:hint="eastAsia"/>
          <w:b w:val="0"/>
          <w:bCs w:val="0"/>
          <w:color w:val="auto"/>
          <w:highlight w:val="none"/>
        </w:rPr>
        <w:t>Fe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2</w:t>
      </w:r>
      <w:r>
        <w:rPr>
          <w:rFonts w:hint="eastAsia"/>
          <w:b w:val="0"/>
          <w:bCs w:val="0"/>
          <w:color w:val="auto"/>
          <w:highlight w:val="none"/>
        </w:rPr>
        <w:t>O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3</w:t>
      </w:r>
      <w:r>
        <w:rPr>
          <w:rFonts w:hint="eastAsia"/>
          <w:b w:val="0"/>
          <w:bCs w:val="0"/>
          <w:color w:val="auto"/>
          <w:highlight w:val="none"/>
          <w:vertAlign w:val="baseline"/>
          <w:lang w:val="en-US" w:eastAsia="zh-CN"/>
        </w:rPr>
        <w:t>/</w:t>
      </w:r>
      <w:r>
        <w:rPr>
          <w:rFonts w:hint="eastAsia"/>
          <w:color w:val="auto"/>
          <w:highlight w:val="none"/>
        </w:rPr>
        <w:t>ZSM-5</w:t>
      </w:r>
      <w:r>
        <w:rPr>
          <w:rFonts w:hint="eastAsia"/>
          <w:color w:val="auto"/>
          <w:highlight w:val="none"/>
          <w:lang w:val="en-US" w:eastAsia="zh-CN"/>
        </w:rPr>
        <w:t>.</w:t>
      </w:r>
    </w:p>
    <w:p w14:paraId="4CA8F985">
      <w:pPr>
        <w:jc w:val="center"/>
        <w:rPr>
          <w:color w:val="auto"/>
        </w:rPr>
      </w:pPr>
    </w:p>
    <w:p w14:paraId="082EB0AE">
      <w:pPr>
        <w:jc w:val="center"/>
        <w:rPr>
          <w:color w:val="auto"/>
        </w:rPr>
      </w:pPr>
    </w:p>
    <w:p w14:paraId="4B7FD53E">
      <w:pPr>
        <w:jc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drawing>
          <wp:inline distT="0" distB="0" distL="114300" distR="114300">
            <wp:extent cx="3416300" cy="2743200"/>
            <wp:effectExtent l="0" t="0" r="0" b="0"/>
            <wp:docPr id="4" name="图片 4" descr="标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标线"/>
                    <pic:cNvPicPr>
                      <a:picLocks noChangeAspect="1"/>
                    </pic:cNvPicPr>
                  </pic:nvPicPr>
                  <pic:blipFill>
                    <a:blip r:embed="rId10"/>
                    <a:srcRect l="6731" t="10779" r="12727" b="4689"/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0BFC">
      <w:pPr>
        <w:jc w:val="center"/>
        <w:rPr>
          <w:rFonts w:hint="eastAsia" w:eastAsia="宋体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</w:rPr>
        <w:t xml:space="preserve">Figure </w:t>
      </w:r>
      <w:r>
        <w:rPr>
          <w:rFonts w:hint="eastAsia"/>
          <w:b w:val="0"/>
          <w:bCs w:val="0"/>
          <w:color w:val="auto"/>
          <w:lang w:val="en-US" w:eastAsia="zh-CN"/>
        </w:rPr>
        <w:t>S4</w:t>
      </w:r>
      <w:r>
        <w:rPr>
          <w:rFonts w:hint="eastAsia"/>
          <w:b/>
          <w:bCs/>
          <w:color w:val="auto"/>
        </w:rPr>
        <w:t xml:space="preserve"> </w:t>
      </w:r>
      <w:r>
        <w:rPr>
          <w:rFonts w:hint="eastAsia"/>
          <w:color w:val="auto"/>
        </w:rPr>
        <w:t xml:space="preserve">Standard curve of </w:t>
      </w:r>
      <w:r>
        <w:rPr>
          <w:rFonts w:hint="eastAsia"/>
          <w:color w:val="auto"/>
          <w:lang w:eastAsia="zh-CN"/>
        </w:rPr>
        <w:t>RhB</w:t>
      </w:r>
      <w:r>
        <w:rPr>
          <w:rFonts w:hint="eastAsia"/>
          <w:color w:val="auto"/>
        </w:rPr>
        <w:t xml:space="preserve"> concentration corresponded the absorbance</w:t>
      </w:r>
      <w:r>
        <w:rPr>
          <w:rFonts w:hint="eastAsia"/>
          <w:color w:val="auto"/>
          <w:lang w:val="en-US" w:eastAsia="zh-CN"/>
        </w:rPr>
        <w:t>.</w:t>
      </w:r>
    </w:p>
    <w:p w14:paraId="1517BB19">
      <w:pPr>
        <w:jc w:val="left"/>
        <w:rPr>
          <w:color w:val="auto"/>
        </w:rPr>
      </w:pPr>
    </w:p>
    <w:p w14:paraId="18E8F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center"/>
        <w:textAlignment w:val="auto"/>
        <w:rPr>
          <w:color w:val="auto"/>
        </w:rPr>
      </w:pPr>
    </w:p>
    <w:p w14:paraId="2A286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color w:val="auto"/>
          <w:lang w:eastAsia="zh-CN"/>
        </w:rPr>
      </w:pPr>
    </w:p>
    <w:p w14:paraId="3E0F1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color w:val="auto"/>
          <w:lang w:eastAsia="zh-CN"/>
        </w:rPr>
      </w:pPr>
    </w:p>
    <w:p w14:paraId="76319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center"/>
        <w:textAlignment w:val="auto"/>
        <w:rPr>
          <w:rFonts w:hint="eastAsia" w:eastAsia="宋体"/>
          <w:color w:val="auto"/>
          <w:lang w:eastAsia="zh-CN"/>
        </w:rPr>
      </w:pPr>
    </w:p>
    <w:p w14:paraId="5B5E9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center"/>
        <w:textAlignment w:val="auto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drawing>
          <wp:inline distT="0" distB="0" distL="114300" distR="114300">
            <wp:extent cx="4145280" cy="3171825"/>
            <wp:effectExtent l="0" t="0" r="7620" b="3175"/>
            <wp:docPr id="2" name="图片 2" descr="催化 氧化降解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催化 氧化降解率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DB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ind w:firstLine="0" w:firstLineChars="0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Figure S5</w:t>
      </w:r>
      <w:r>
        <w:rPr>
          <w:rFonts w:hint="eastAsia"/>
          <w:color w:val="auto"/>
          <w:lang w:val="en-US" w:eastAsia="zh-CN"/>
        </w:rPr>
        <w:t xml:space="preserve"> Comparison of the RhB removal rate between the degradation of only 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Fe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2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O</w:t>
      </w:r>
      <w:r>
        <w:rPr>
          <w:rFonts w:hint="eastAsia"/>
          <w:b w:val="0"/>
          <w:bCs w:val="0"/>
          <w:color w:val="auto"/>
          <w:highlight w:val="none"/>
          <w:vertAlign w:val="subscript"/>
          <w:lang w:val="en-US" w:eastAsia="zh-CN"/>
        </w:rPr>
        <w:t>3</w:t>
      </w:r>
      <w:r>
        <w:rPr>
          <w:rFonts w:hint="eastAsia"/>
          <w:b w:val="0"/>
          <w:bCs w:val="0"/>
          <w:color w:val="auto"/>
          <w:highlight w:val="none"/>
          <w:vertAlign w:val="baseline"/>
          <w:lang w:val="en-US" w:eastAsia="zh-CN"/>
        </w:rPr>
        <w:t>/</w:t>
      </w:r>
      <w:r>
        <w:rPr>
          <w:rFonts w:hint="eastAsia"/>
          <w:color w:val="auto"/>
          <w:highlight w:val="none"/>
          <w:lang w:val="en-US" w:eastAsia="zh-CN"/>
        </w:rPr>
        <w:t xml:space="preserve">ZSM-5 </w:t>
      </w:r>
      <w:r>
        <w:rPr>
          <w:rFonts w:hint="eastAsia"/>
          <w:color w:val="auto"/>
          <w:lang w:val="en-US" w:eastAsia="zh-CN"/>
        </w:rPr>
        <w:t>catalyt without H</w:t>
      </w:r>
      <w:r>
        <w:rPr>
          <w:rFonts w:hint="eastAsia"/>
          <w:color w:val="auto"/>
          <w:vertAlign w:val="subscript"/>
          <w:lang w:val="en-US" w:eastAsia="zh-CN"/>
        </w:rPr>
        <w:t>2</w:t>
      </w:r>
      <w:r>
        <w:rPr>
          <w:rFonts w:hint="eastAsia"/>
          <w:color w:val="auto"/>
          <w:lang w:val="en-US" w:eastAsia="zh-CN"/>
        </w:rPr>
        <w:t>O</w:t>
      </w:r>
      <w:r>
        <w:rPr>
          <w:rFonts w:hint="eastAsia"/>
          <w:color w:val="auto"/>
          <w:vertAlign w:val="subscript"/>
          <w:lang w:val="en-US" w:eastAsia="zh-CN"/>
        </w:rPr>
        <w:t>2</w:t>
      </w:r>
      <w:r>
        <w:rPr>
          <w:rFonts w:hint="eastAsia"/>
          <w:color w:val="auto"/>
          <w:lang w:val="en-US" w:eastAsia="zh-CN"/>
        </w:rPr>
        <w:t xml:space="preserve"> and the only oxidation with H</w:t>
      </w:r>
      <w:r>
        <w:rPr>
          <w:rFonts w:hint="eastAsia"/>
          <w:color w:val="auto"/>
          <w:vertAlign w:val="subscript"/>
          <w:lang w:val="en-US" w:eastAsia="zh-CN"/>
        </w:rPr>
        <w:t>2</w:t>
      </w:r>
      <w:r>
        <w:rPr>
          <w:rFonts w:hint="eastAsia"/>
          <w:color w:val="auto"/>
          <w:vertAlign w:val="baseline"/>
          <w:lang w:val="en-US" w:eastAsia="zh-CN"/>
        </w:rPr>
        <w:t>O</w:t>
      </w:r>
      <w:r>
        <w:rPr>
          <w:rFonts w:hint="eastAsia"/>
          <w:color w:val="auto"/>
          <w:vertAlign w:val="subscript"/>
          <w:lang w:val="en-US" w:eastAsia="zh-CN"/>
        </w:rPr>
        <w:t>2</w:t>
      </w:r>
      <w:r>
        <w:rPr>
          <w:rFonts w:hint="eastAsia"/>
          <w:color w:val="auto"/>
          <w:lang w:val="en-US" w:eastAsia="zh-CN"/>
        </w:rPr>
        <w:t>.</w:t>
      </w:r>
    </w:p>
    <w:p w14:paraId="760BE0AA"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D0009A"/>
    <w:rsid w:val="08344B05"/>
    <w:rsid w:val="0E691139"/>
    <w:rsid w:val="0E9B5403"/>
    <w:rsid w:val="131D4504"/>
    <w:rsid w:val="1B3A40BC"/>
    <w:rsid w:val="1B4E6695"/>
    <w:rsid w:val="20700D64"/>
    <w:rsid w:val="21B27672"/>
    <w:rsid w:val="22867B72"/>
    <w:rsid w:val="229E6369"/>
    <w:rsid w:val="26C463F6"/>
    <w:rsid w:val="290A1998"/>
    <w:rsid w:val="2BD40B35"/>
    <w:rsid w:val="3F8265D2"/>
    <w:rsid w:val="401F6D47"/>
    <w:rsid w:val="53A6437D"/>
    <w:rsid w:val="61843144"/>
    <w:rsid w:val="63F024E1"/>
    <w:rsid w:val="64E07E49"/>
    <w:rsid w:val="6F5857C2"/>
    <w:rsid w:val="6FD0009A"/>
    <w:rsid w:val="7B0B5791"/>
    <w:rsid w:val="7E9B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205</Words>
  <Characters>1214</Characters>
  <Lines>0</Lines>
  <Paragraphs>0</Paragraphs>
  <TotalTime>0</TotalTime>
  <ScaleCrop>false</ScaleCrop>
  <LinksUpToDate>false</LinksUpToDate>
  <CharactersWithSpaces>1388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2025-12-12T05:42:00Z</dcterms:created>
  <dc:creator>ZCG</dc:creator>
  <cp:lastModifiedBy>李淑英</cp:lastModifiedBy>
  <dcterms:modified xsi:type="dcterms:W3CDTF">2026-08-20T23:57:36Z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88CE883F147B478B83E9AD634AD474EF_13</vt:lpwstr>
  </property>
  <property fmtid="{D5CDD505-2E9C-101B-9397-08002B2CF9AE}" pid="4" name="KSOTemplateDocerSaveRecord">
    <vt:lpwstr>eyJoZGlkIjoiODAxYzRlYzkyOWY3NjU5ZGY0ZTNlMjAyNjZmZjk1OGQiLCJ1c2VySWQiOiIxNDcyOTQ2OTc2In0=</vt:lpwstr>
  </property>
</Properties>
</file>