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before="280" w:line="360" w:lineRule="auto"/>
        <w:ind w:left="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Table 2</w:t>
      </w:r>
    </w:p>
    <w:p w:rsidR="00000000" w:rsidDel="00000000" w:rsidP="00000000" w:rsidRDefault="00000000" w:rsidRPr="00000000" w14:paraId="00000002">
      <w:pPr>
        <w:spacing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694.0" w:type="dxa"/>
        <w:jc w:val="left"/>
        <w:tblLayout w:type="fixed"/>
        <w:tblLook w:val="0400"/>
      </w:tblPr>
      <w:tblGrid>
        <w:gridCol w:w="1735"/>
        <w:gridCol w:w="1601"/>
        <w:gridCol w:w="915"/>
        <w:gridCol w:w="1697"/>
        <w:gridCol w:w="1746"/>
        <w:tblGridChange w:id="0">
          <w:tblGrid>
            <w:gridCol w:w="1735"/>
            <w:gridCol w:w="1601"/>
            <w:gridCol w:w="915"/>
            <w:gridCol w:w="1697"/>
            <w:gridCol w:w="1746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tcBorders>
              <w:bottom w:color="6c6c6c" w:space="0" w:sz="6" w:val="single"/>
              <w:right w:color="6c6c6c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03">
            <w:pPr>
              <w:spacing w:after="120"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Variable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c6c6c" w:space="0" w:sz="6" w:val="single"/>
              <w:bottom w:color="6c6c6c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04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Coefficient (β)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6c6c6c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05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Z-score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6c6c6c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06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CI 95% (Lower)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6c6c6c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07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CI 95% (Higher)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6c6c6c" w:space="0" w:sz="6" w:val="single"/>
              <w:right w:color="6c6c6c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08">
            <w:pPr>
              <w:spacing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Mobility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c6c6c" w:space="0" w:sz="6" w:val="single"/>
              <w:left w:color="6c6c6c" w:space="0" w:sz="6" w:val="single"/>
            </w:tcBorders>
            <w:shd w:fill="efefef" w:val="clear"/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09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295,680</w:t>
            </w:r>
          </w:p>
        </w:tc>
        <w:tc>
          <w:tcPr>
            <w:tcBorders>
              <w:top w:color="6c6c6c" w:space="0" w:sz="6" w:val="single"/>
            </w:tcBorders>
            <w:shd w:fill="efefef" w:val="clear"/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0A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3.57</w:t>
            </w:r>
          </w:p>
        </w:tc>
        <w:tc>
          <w:tcPr>
            <w:tcBorders>
              <w:top w:color="6c6c6c" w:space="0" w:sz="6" w:val="single"/>
            </w:tcBorders>
            <w:shd w:fill="efefef" w:val="clear"/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0B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133,310</w:t>
            </w:r>
          </w:p>
        </w:tc>
        <w:tc>
          <w:tcPr>
            <w:tcBorders>
              <w:top w:color="6c6c6c" w:space="0" w:sz="6" w:val="single"/>
            </w:tcBorders>
            <w:shd w:fill="efefef" w:val="clear"/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0C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458,050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right w:color="6c6c6c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0D">
            <w:pPr>
              <w:spacing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Mobility (lagged)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c6c6c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0E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-247,975</w:t>
            </w:r>
          </w:p>
        </w:tc>
        <w:tc>
          <w:tcPr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0F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3.34</w:t>
            </w:r>
          </w:p>
        </w:tc>
        <w:tc>
          <w:tcPr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10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-393,615</w:t>
            </w:r>
          </w:p>
        </w:tc>
        <w:tc>
          <w:tcPr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11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-102,336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right w:color="6c6c6c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12">
            <w:pPr>
              <w:spacing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Income (lagged)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c6c6c" w:space="0" w:sz="6" w:val="single"/>
            </w:tcBorders>
            <w:shd w:fill="efefef" w:val="clear"/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13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4,446</w:t>
            </w:r>
          </w:p>
        </w:tc>
        <w:tc>
          <w:tcPr>
            <w:shd w:fill="efefef" w:val="clear"/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14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3.69</w:t>
            </w:r>
          </w:p>
        </w:tc>
        <w:tc>
          <w:tcPr>
            <w:shd w:fill="efefef" w:val="clear"/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15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2,082</w:t>
            </w:r>
          </w:p>
        </w:tc>
        <w:tc>
          <w:tcPr>
            <w:shd w:fill="efefef" w:val="clear"/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16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6,809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right w:color="6c6c6c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17">
            <w:pPr>
              <w:spacing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Disinformation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c6c6c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18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44,565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19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1A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1,852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1B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87,278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Direct-effect model, adjusted for mobility. Disinformation remains significantly associated with new COVID-19 cases.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80" w:line="36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br w:type="textWrapping"/>
        <w:br w:type="textWrapping"/>
        <w:br w:type="textWrapping"/>
        <w:br w:type="textWrapping"/>
        <w:br w:type="textWrapping"/>
        <w:br w:type="textWrapping"/>
      </w:r>
    </w:p>
    <w:p w:rsidR="00000000" w:rsidDel="00000000" w:rsidP="00000000" w:rsidRDefault="00000000" w:rsidRPr="00000000" w14:paraId="0000001E">
      <w:pPr>
        <w:spacing w:after="80" w:line="36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80" w:line="36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80" w:line="36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80" w:line="36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80" w:line="36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40" w:before="240" w:line="360" w:lineRule="auto"/>
        <w:jc w:val="both"/>
        <w:rPr>
          <w:rFonts w:ascii="Times New Roman" w:cs="Times New Roman" w:eastAsia="Times New Roman" w:hAnsi="Times New Roman"/>
          <w:color w:val="21212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Au+XEgwXogfgQIyoQpqR6v57bQ==">CgMxLjA4AHIhMXBwUS0yX3R1enlSeUF0ZXJYYlFOWGJtcU9sY19uTF9R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