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before="280" w:line="36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Table 1</w:t>
      </w:r>
    </w:p>
    <w:p w:rsidR="00000000" w:rsidDel="00000000" w:rsidP="00000000" w:rsidRDefault="00000000" w:rsidRPr="00000000" w14:paraId="00000002">
      <w:pPr>
        <w:spacing w:after="280" w:before="280" w:line="360" w:lineRule="auto"/>
        <w:ind w:firstLine="70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804.000000000001" w:type="dxa"/>
        <w:jc w:val="left"/>
        <w:tblLayout w:type="fixed"/>
        <w:tblLook w:val="0400"/>
      </w:tblPr>
      <w:tblGrid>
        <w:gridCol w:w="1673"/>
        <w:gridCol w:w="1601"/>
        <w:gridCol w:w="915"/>
        <w:gridCol w:w="1783"/>
        <w:gridCol w:w="1832"/>
        <w:tblGridChange w:id="0">
          <w:tblGrid>
            <w:gridCol w:w="1673"/>
            <w:gridCol w:w="1601"/>
            <w:gridCol w:w="915"/>
            <w:gridCol w:w="1783"/>
            <w:gridCol w:w="1832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bottom w:color="6c6c6c" w:space="0" w:sz="6" w:val="single"/>
              <w:right w:color="6c6c6c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120"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Variable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c6c6c" w:space="0" w:sz="6" w:val="single"/>
              <w:bottom w:color="6c6c6c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Coefficient (β)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c6c6c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Z-score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c6c6c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CI 95% (Lower)*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c6c6c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CI 95% (Higher)*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6c6c6c" w:space="0" w:sz="6" w:val="single"/>
              <w:right w:color="6c6c6c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Income (lagged)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c6c6c" w:space="0" w:sz="6" w:val="single"/>
              <w:left w:color="6c6c6c" w:space="0" w:sz="6" w:val="single"/>
            </w:tcBorders>
            <w:shd w:fill="efefe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3,322</w:t>
            </w:r>
          </w:p>
        </w:tc>
        <w:tc>
          <w:tcPr>
            <w:tcBorders>
              <w:top w:color="6c6c6c" w:space="0" w:sz="6" w:val="single"/>
            </w:tcBorders>
            <w:shd w:fill="efefe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2.36</w:t>
            </w:r>
          </w:p>
        </w:tc>
        <w:tc>
          <w:tcPr>
            <w:tcBorders>
              <w:top w:color="6c6c6c" w:space="0" w:sz="6" w:val="single"/>
            </w:tcBorders>
            <w:shd w:fill="efefe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563</w:t>
            </w:r>
          </w:p>
        </w:tc>
        <w:tc>
          <w:tcPr>
            <w:tcBorders>
              <w:top w:color="6c6c6c" w:space="0" w:sz="6" w:val="single"/>
            </w:tcBorders>
            <w:shd w:fill="efefe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6,081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right w:color="6c6c6c" w:space="0" w:sz="6" w:val="single"/>
            </w:tcBorders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Disinformation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c6c6c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57,963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10,492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105,434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280" w:before="28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Total effect model, unadjusted for mobility, i.e., including its effect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80" w:line="36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br w:type="textWrapping"/>
        <w:br w:type="textWrapping"/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15">
      <w:pPr>
        <w:spacing w:after="80" w:line="36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80" w:line="36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80" w:line="36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80" w:line="36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80" w:line="36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21212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v1USGrvBBPsW6iAiIqMKm3WoDg==">CgMxLjA4AHIhMTZ4blZGNnRkTk5CeXJZdHBxSGEwSHFtVDBsQmFUdnNJ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