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eastAsia="Arial" w:ascii="Arial" w:hAnsi="Arial"/>
          <w:b/>
          <w:sz w:val="28"/>
        </w:rPr>
        <w:t>Supplementary Information</w:t>
      </w:r>
    </w:p>
    <w:p>
      <w:pPr>
        <w:pStyle w:val="Normal"/>
        <w:jc w:val="center"/>
        <w:rPr/>
      </w:pPr>
      <w:r>
        <w:rPr>
          <w:rFonts w:eastAsia="Arial" w:ascii="Arial" w:hAnsi="Arial"/>
          <w:sz w:val="20"/>
        </w:rPr>
        <w:t>The most housing-insecure generation? Age, period, and cohort inequalities among renters in South Korea</w:t>
      </w:r>
    </w:p>
    <w:p>
      <w:pPr>
        <w:pStyle w:val="Normal"/>
        <w:rPr/>
      </w:pPr>
      <w:r>
        <w:rPr/>
      </w:r>
    </w:p>
    <w:p>
      <w:pPr>
        <w:pStyle w:val="Normal"/>
        <w:keepNext w:val="true"/>
        <w:spacing w:before="120" w:after="80"/>
        <w:rPr/>
      </w:pPr>
      <w:r>
        <w:rPr>
          <w:rFonts w:eastAsia="Arial" w:ascii="Arial" w:hAnsi="Arial"/>
          <w:b/>
          <w:sz w:val="18"/>
        </w:rPr>
        <w:t>Supplementary Table S1. Housing-market and housing-policy context by presidential administration, South Korea</w:t>
      </w:r>
    </w:p>
    <w:tbl>
      <w:tblPr>
        <w:tblpPr w:vertAnchor="text" w:horzAnchor="margin" w:leftFromText="142" w:rightFromText="142" w:tblpX="87" w:tblpY="27"/>
        <w:tblOverlap w:val="never"/>
        <w:tblW w:w="14301" w:type="dxa"/>
        <w:jc w:val="left"/>
        <w:tblInd w:w="102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noHBand="0" w:noVBand="1" w:firstColumn="1" w:lastRow="0" w:lastColumn="0" w:firstRow="1"/>
      </w:tblPr>
      <w:tblGrid>
        <w:gridCol w:w="3199"/>
        <w:gridCol w:w="3180"/>
        <w:gridCol w:w="2626"/>
        <w:gridCol w:w="2627"/>
        <w:gridCol w:w="2669"/>
      </w:tblGrid>
      <w:tr>
        <w:trPr>
          <w:tblHeader w:val="true"/>
          <w:trHeight w:val="132" w:hRule="atLeast"/>
        </w:trPr>
        <w:tc>
          <w:tcPr>
            <w:tcW w:w="3199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Indicator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Roh Moo-hyun administration</w:t>
              <w:br/>
              <w:t>(2003-2008)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Lee Myung-bak administration</w:t>
              <w:br/>
              <w:t>(2008-2013)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Park Geun-hye administration</w:t>
              <w:br/>
              <w:t>(2013-2017)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Moon Jae-in administration</w:t>
              <w:br/>
              <w:t>(2017-2022)</w:t>
            </w:r>
          </w:p>
        </w:tc>
      </w:tr>
      <w:tr>
        <w:trPr>
          <w:tblHeader w:val="true"/>
          <w:trHeight w:val="236" w:hRule="atLeast"/>
        </w:trPr>
        <w:tc>
          <w:tcPr>
            <w:tcW w:w="31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Average change in housing prices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bCs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bCs/>
                <w:color w:val="000000"/>
                <w:sz w:val="14"/>
                <w:szCs w:val="20"/>
              </w:rPr>
              <w:t>4.46%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bCs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bCs/>
                <w:color w:val="000000"/>
                <w:sz w:val="14"/>
                <w:szCs w:val="20"/>
              </w:rPr>
              <w:t>2.68%</w:t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bCs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bCs/>
                <w:color w:val="000000"/>
                <w:sz w:val="14"/>
                <w:szCs w:val="20"/>
              </w:rPr>
              <w:t>1.54%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bCs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bCs/>
                <w:color w:val="000000"/>
                <w:sz w:val="14"/>
                <w:szCs w:val="20"/>
              </w:rPr>
              <w:t>2.26%</w:t>
            </w:r>
          </w:p>
        </w:tc>
      </w:tr>
      <w:tr>
        <w:trPr>
          <w:trHeight w:val="106" w:hRule="atLeast"/>
        </w:trPr>
        <w:tc>
          <w:tcPr>
            <w:tcW w:w="31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Bank of Korea policy-rate range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3-5.25%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2-5.25%</w:t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1.25-2.5%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0.5-2.25%</w:t>
            </w:r>
          </w:p>
        </w:tc>
      </w:tr>
      <w:tr>
        <w:trPr>
          <w:trHeight w:val="391" w:hRule="atLeast"/>
        </w:trPr>
        <w:tc>
          <w:tcPr>
            <w:tcW w:w="31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Macroeconomic context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Economic stagnation and consistently low-interest rates after the IMF crisis in Korea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High uncertainty triggered by the financial crisis in the United States</w:t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Low-interest rates for recovery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Socioeconomic polarization accelerated by the COVID-19 crisis</w:t>
            </w:r>
          </w:p>
        </w:tc>
      </w:tr>
      <w:tr>
        <w:trPr>
          <w:trHeight w:val="261" w:hRule="atLeast"/>
        </w:trPr>
        <w:tc>
          <w:tcPr>
            <w:tcW w:w="31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b/>
                <w:bCs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b/>
                <w:bCs/>
                <w:color w:val="000000"/>
                <w:sz w:val="14"/>
                <w:szCs w:val="20"/>
              </w:rPr>
              <w:t>Housing policy paradigm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Regulation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Regulation → Deregulation</w:t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Deregulation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Regulation</w:t>
            </w:r>
          </w:p>
        </w:tc>
      </w:tr>
      <w:tr>
        <w:trPr>
          <w:trHeight w:val="365" w:hRule="atLeast"/>
        </w:trPr>
        <w:tc>
          <w:tcPr>
            <w:tcW w:w="31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b/>
                <w:bCs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b/>
                <w:bCs/>
                <w:color w:val="000000"/>
                <w:sz w:val="14"/>
                <w:szCs w:val="20"/>
              </w:rPr>
              <w:t>Major housing policy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Strengthening the property taxes on highly-priced housing units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함초롬바탕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Imposing strict rules for lending mortgages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함초롬바탕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Adaptation of price ceiling for newly built housing units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Transfer income tax relief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함초롬바탕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Relaxing regulations for speculative zones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함초롬바탕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Relaxing reconstruction regulation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굴림" w:cs="Times New Roman"/>
                <w:color w:val="000000"/>
                <w:szCs w:val="20"/>
              </w:rPr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Deregulating restrictions for mortgage lending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굴림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Transfer/</w:t>
            </w:r>
            <w:r>
              <w:rPr>
                <w:rFonts w:eastAsia="Arial" w:ascii="Arial" w:hAnsi="Arial"/>
                <w:sz w:val="14"/>
                <w:szCs w:val="20"/>
              </w:rPr>
              <w:t xml:space="preserve"> a</w:t>
            </w: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cquisition  income tax relief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굴림" w:cs="Times New Roman"/>
                <w:color w:val="000000"/>
                <w:szCs w:val="20"/>
              </w:rPr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Broadening speculative zones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굴림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Strengthening restrictions for mortgage lending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함초롬바탕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Imposing taxes on expensive real estate properties</w:t>
            </w:r>
          </w:p>
        </w:tc>
      </w:tr>
      <w:tr>
        <w:trPr>
          <w:trHeight w:val="285" w:hRule="atLeast"/>
        </w:trPr>
        <w:tc>
          <w:tcPr>
            <w:tcW w:w="31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Public rental housing (units)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112,375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106,421</w:t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119,527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139,935</w:t>
            </w:r>
          </w:p>
        </w:tc>
      </w:tr>
      <w:tr>
        <w:trPr>
          <w:trHeight w:val="261" w:hRule="atLeast"/>
        </w:trPr>
        <w:tc>
          <w:tcPr>
            <w:tcW w:w="3199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b/>
                <w:bCs/>
              </w:rPr>
            </w:pPr>
            <w:r>
              <w:rPr>
                <w:rFonts w:eastAsia="Arial" w:ascii="Arial" w:hAnsi="Arial"/>
                <w:b/>
                <w:bCs/>
                <w:sz w:val="14"/>
              </w:rPr>
              <w:t>Policy approach to renter households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Expansion of long-term public housing provision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Massive construction of public housing through relaxing greenbelts around Seoul</w:t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Expansion of rental units for the middle class based on public-private partnerships</w:t>
            </w:r>
          </w:p>
        </w:tc>
        <w:tc>
          <w:tcPr>
            <w:tcW w:w="26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함초롬바탕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Strengthening protection law for tenants</w:t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굴림" w:cs="Times New Roman"/>
                <w:color w:val="000000"/>
                <w:szCs w:val="20"/>
              </w:rPr>
            </w:r>
          </w:p>
          <w:p>
            <w:pPr>
              <w:pStyle w:val="Normal"/>
              <w:spacing w:lineRule="auto" w:line="240"/>
              <w:jc w:val="center"/>
              <w:textAlignment w:val="baseline"/>
              <w:rPr>
                <w:rFonts w:eastAsia="굴림" w:cs="Times New Roman"/>
                <w:color w:val="000000"/>
                <w:szCs w:val="20"/>
              </w:rPr>
            </w:pPr>
            <w:r>
              <w:rPr>
                <w:rFonts w:eastAsia="Arial" w:cs="Times New Roman" w:ascii="Arial" w:hAnsi="Arial"/>
                <w:color w:val="000000"/>
                <w:sz w:val="14"/>
                <w:szCs w:val="20"/>
              </w:rPr>
              <w:t>Expansion of rent subsidies directly for low-income renters</w:t>
            </w:r>
          </w:p>
        </w:tc>
      </w:tr>
    </w:tbl>
    <w:p>
      <w:pPr>
        <w:pStyle w:val="Normal"/>
        <w:spacing w:lineRule="auto" w:line="240" w:before="60" w:after="0"/>
        <w:rPr/>
      </w:pPr>
      <w:r/>
      <w:r>
        <w:rPr>
          <w:rFonts w:eastAsia="Arial" w:ascii="Arial" w:hAnsi="Arial"/>
          <w:sz w:val="14"/>
        </w:rPr>
        <w:t>Notes: This table provides contextual background rather than variables entered directly as administration-level effects in the HAPC models; the models estimate period-specific deviations for individual KHS survey years. Housing-policy descriptions are summarized from Lee (2015), Pae (2021), and Sohn and Lee (2007), consistent with the source notes in the original manuscript.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76" w:before="0" w:after="200"/>
        <w:rPr>
          <w:rFonts w:ascii="Arial" w:hAnsi="Arial" w:eastAsia="Arial"/>
          <w:b/>
          <w:sz w:val="18"/>
        </w:rPr>
      </w:pPr>
      <w:r>
        <w:rPr>
          <w:rFonts w:eastAsia="Arial" w:ascii="Arial" w:hAnsi="Arial"/>
          <w:b/>
          <w:sz w:val="18"/>
        </w:rPr>
      </w:r>
      <w:r>
        <w:br w:type="page"/>
      </w:r>
    </w:p>
    <w:p>
      <w:pPr>
        <w:pStyle w:val="Normal"/>
        <w:keepNext w:val="true"/>
        <w:spacing w:before="0" w:after="80"/>
        <w:rPr/>
      </w:pPr>
      <w:r>
        <w:rPr>
          <w:rFonts w:eastAsia="Arial" w:ascii="Arial" w:hAnsi="Arial"/>
          <w:b/>
          <w:sz w:val="18"/>
        </w:rPr>
        <w:t>Supplementary Table S2. Descriptive statistics for the analytic sample of renter households</w:t>
      </w:r>
    </w:p>
    <w:tbl>
      <w:tblPr>
        <w:tblW w:w="1372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63"/>
        <w:gridCol w:w="3804"/>
        <w:gridCol w:w="1566"/>
        <w:gridCol w:w="821"/>
        <w:gridCol w:w="1865"/>
        <w:gridCol w:w="821"/>
        <w:gridCol w:w="1865"/>
        <w:gridCol w:w="818"/>
      </w:tblGrid>
      <w:tr>
        <w:trPr>
          <w:tblHeader w:val="true"/>
          <w:trHeight w:val="313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Variable</w:t>
            </w:r>
          </w:p>
        </w:tc>
        <w:tc>
          <w:tcPr>
            <w:tcW w:w="3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Category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Total households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Housing-insecure households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Housing-secure households</w:t>
            </w:r>
          </w:p>
        </w:tc>
      </w:tr>
      <w:tr>
        <w:trPr>
          <w:tblHeader w:val="true"/>
          <w:trHeight w:val="287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3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Mean or proportion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S.E.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Mean or proportion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S.E.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Mean or proportion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b/>
                <w:sz w:val="14"/>
              </w:rPr>
              <w:t>S.E.</w:t>
            </w:r>
          </w:p>
        </w:tc>
      </w:tr>
      <w:tr>
        <w:trPr>
          <w:trHeight w:val="261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Age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Age/10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4.441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1.125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4.538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1.227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4.429659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1.112</w:t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(Age/10) squared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20.987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10.049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22.096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10.863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20.85815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9.942</w:t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Household-head sex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Male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78.885%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68.359%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80.108%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Household size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One person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26.334%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31.100%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25.780%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Two persons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21.182%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22.212%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21.062%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Three persons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21.773%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19.183%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22.074%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Four persons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23.932%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16.445%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24.802%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More than four persons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6.779%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11.060%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6.282%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Residential location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Seoul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21.621%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27.355%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20.955%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Capital region outside Seoul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24.627%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26.731%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24.382%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Non-capital metropolitan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25.069%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22.370%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25.383%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Non-capital non-metropolitan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28.683%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23.544%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29.280%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Educational attainment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College degree or above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43.884%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28.054%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45.723%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Employment status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Precarious employment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47.895%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68.084%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45.549%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Rental subtenure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Monthly-rent tenancy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56.070%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76.856%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53.654%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2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Household income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Log-transformed household income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14.571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1.412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13.992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1.887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14.638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1.329</w:t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b/>
                <w:sz w:val="14"/>
              </w:rPr>
            </w:pPr>
            <w:r>
              <w:rPr>
                <w:rFonts w:eastAsia="Arial" w:ascii="Arial" w:hAnsi="Arial"/>
                <w:b/>
                <w:sz w:val="14"/>
              </w:rPr>
              <w:t>Survey year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Roh administration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2006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8.288%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9.129%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8.190%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Lee administration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2008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8.116%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8.830%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8.033%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2010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10.445%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11.551%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10.317%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2012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9.150%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10.661%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8.974%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Park administration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2014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5.153%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7.165%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4.919%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2016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4.847%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6.441%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4.662%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Moon administration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2017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13.630%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13.232%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13.676%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2018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14.086%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13.216%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14.187%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2019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14.410%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10.711%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14.839%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2020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11.875%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9.063%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12.202%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b/>
                <w:sz w:val="14"/>
              </w:rPr>
            </w:pPr>
            <w:r>
              <w:rPr>
                <w:rFonts w:eastAsia="Arial" w:ascii="Arial" w:hAnsi="Arial"/>
                <w:b/>
                <w:sz w:val="14"/>
              </w:rPr>
              <w:t>Birth cohort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1940-1944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0.523%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1.040%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0.463%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Postwar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1945-1949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1.892%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3.146%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1.747%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1950-1954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5.258%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7.756%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4.967%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Baby Boom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1955-1959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12.251%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15.013%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11.930%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1960-1964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13.547%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14.664%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13.418%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Gen X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1965-1969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14.789%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14.189%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14.859%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1970-1974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15.299%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12.766%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15.593%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1975-1979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13.541%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10.103%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13.941%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Gen M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1980-1984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10.982%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7.765%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11.356%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1985-1989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6.179%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5.052%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6.310%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1990-1994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3.999%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5.551%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3.818%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>
                <w:rFonts w:ascii="Arial" w:hAnsi="Arial" w:eastAsia="Arial"/>
                <w:sz w:val="14"/>
              </w:rPr>
            </w:pPr>
            <w:r>
              <w:rPr>
                <w:rFonts w:eastAsia="Arial" w:ascii="Arial" w:hAnsi="Arial"/>
                <w:sz w:val="14"/>
              </w:rPr>
              <w:t>Gen Z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1995-1999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1.708%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2.921%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1.567%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0" w:hRule="atLeast"/>
        </w:trPr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sz w:val="14"/>
              </w:rPr>
              <w:t>2000-2004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0.032%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0.033%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0.032%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  <w:tr>
        <w:trPr>
          <w:trHeight w:val="228" w:hRule="atLeast"/>
        </w:trPr>
        <w:tc>
          <w:tcPr>
            <w:tcW w:w="5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Arial" w:ascii="Arial" w:hAnsi="Arial"/>
                <w:b/>
                <w:sz w:val="14"/>
              </w:rPr>
              <w:t>N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115,410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12,016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Arial" w:ascii="Arial" w:hAnsi="Arial"/>
                <w:sz w:val="14"/>
              </w:rPr>
              <w:t>103,394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60" w:after="0"/>
        <w:rPr/>
      </w:pPr>
      <w:r>
        <w:rPr>
          <w:rFonts w:eastAsia="Arial" w:ascii="Arial" w:hAnsi="Arial"/>
          <w:sz w:val="14"/>
        </w:rPr>
        <w:t>Notes: Means and standard errors are shown for continuous variables; proportions are shown for categorical variables. The employment-status row reports the proportion in precarious employment, with regular employment as the reference category. The rental-subtenure row reports the proportion in monthly-rent tenancy, with jeonse as the reference category. Housing insecurity is defined as experiencing at least two of the five component hardships. Administration labels contextualize survey years only; the HAPC models estimate period-specific deviations for individual survey years. Broad generation labels are contextual descriptors rather than model categories. Recent Korean studies commonly place the Baby Boom generation around 1954/1955-1964, Gen X around 1964/1965-1979/1980, Gen M (Millennials) around 1980/1981-1994/1996, and Gen Z from approximately 1995/1997 onward (Chin et al. 2023; Yoon and Lim 2023), with exact boundaries varying by study (Park et al. 2023). Because the HAPC analysis uses five-year cohort bins, Supplementary Table S2 aligns these labels as closely as possible with the classification used by Yoon and Lim (2023): Postwar (1940-1954), Baby Boom (1955-1964), Gen X (1965-1979), Gen M (1980-1994), and Gen Z (1995-2004). The Postwar label is study-specific, and the sparse 2000-2004 cohort is grouped with Gen Z for display continuity but is not substantively interpreted. Statistical cohort effects are estimated for individual five-year birth cohorts, not for the broader generation labels.</w:t>
      </w:r>
    </w:p>
    <w:p>
      <w:pPr>
        <w:pStyle w:val="Heading1"/>
        <w:rPr>
          <w:color w:val="auto"/>
        </w:rPr>
      </w:pPr>
      <w:r>
        <w:rPr>
          <w:rFonts w:eastAsia="Times New Roman" w:ascii="Times New Roman" w:hAnsi="Times New Roman"/>
          <w:color w:val="auto"/>
        </w:rPr>
        <w:t>Supplementary references</w:t>
      </w:r>
    </w:p>
    <w:p>
      <w:pPr>
        <w:pStyle w:val="Normal"/>
        <w:spacing w:lineRule="auto" w:line="240" w:before="0" w:after="100"/>
        <w:ind w:hanging="360" w:left="360"/>
        <w:rPr>
          <w:sz w:val="20"/>
        </w:rPr>
      </w:pPr>
      <w:r>
        <w:rPr>
          <w:sz w:val="20"/>
        </w:rPr>
        <w:t>Lee JI (2015) The prospect on housing policies in South Korea: emphasis needed on paradigm conversion of housing policies toward residential stability of consumers. Journal of Consumer Policy Studies 46(1):53-67. https://doi.org/10.15723/jcps.46.1.201504.53</w:t>
      </w:r>
    </w:p>
    <w:p>
      <w:pPr>
        <w:pStyle w:val="Normal"/>
        <w:spacing w:lineRule="auto" w:line="240" w:before="0" w:after="100"/>
        <w:ind w:hanging="360" w:left="360"/>
        <w:rPr>
          <w:sz w:val="20"/>
        </w:rPr>
      </w:pPr>
      <w:r>
        <w:rPr>
          <w:sz w:val="20"/>
        </w:rPr>
        <w:t>Pae KH (2021) A study on real estate policies of past governments and the Moon Jae-in administration. Master's thesis, Hanyang University, Seoul.</w:t>
      </w:r>
    </w:p>
    <w:p>
      <w:pPr>
        <w:pStyle w:val="Normal"/>
        <w:spacing w:lineRule="auto" w:line="240" w:before="0" w:after="100"/>
        <w:ind w:hanging="360" w:left="360"/>
        <w:rPr>
          <w:sz w:val="20"/>
        </w:rPr>
      </w:pPr>
      <w:r>
        <w:rPr>
          <w:sz w:val="20"/>
        </w:rPr>
        <w:t>Sohn KH, Lee SW (2007) Historical evaluation of real estate policies. Korean Journal of Applied Economics 9(2):71-91.</w:t>
      </w:r>
    </w:p>
    <w:p>
      <w:pPr>
        <w:pStyle w:val="Normal"/>
        <w:spacing w:lineRule="auto" w:line="240" w:before="0" w:after="100"/>
        <w:ind w:hanging="360" w:left="360"/>
        <w:rPr>
          <w:sz w:val="20"/>
        </w:rPr>
      </w:pPr>
      <w:r>
        <w:rPr>
          <w:sz w:val="20"/>
        </w:rPr>
        <w:t>Chin M, Sung M, Ki P (2023) Marriage perceptions according to gender and generations. Journal of Families and Better Life 41(1):93-107. https://doi.org/10.7466/JFBL.2023.41.1.93</w:t>
      </w:r>
    </w:p>
    <w:p>
      <w:pPr>
        <w:pStyle w:val="Normal"/>
        <w:spacing w:lineRule="auto" w:line="240" w:before="0" w:after="100"/>
        <w:ind w:hanging="360" w:left="360"/>
        <w:rPr/>
      </w:pPr>
      <w:r>
        <w:rPr>
          <w:sz w:val="20"/>
        </w:rPr>
        <w:t>Yoon M, Lim J (2023) A study on fairness perception and happiness in Korea: analyzing the differential relationship of fairness perception depending on generational divisions. Journal of Social Science 34(3):93-118. https://doi.org/10.16881/jss.2023.07.34.3.93</w:t>
      </w:r>
    </w:p>
    <w:sectPr>
      <w:type w:val="nextPage"/>
      <w:pgSz w:orient="landscape" w:w="15840" w:h="12240"/>
      <w:pgMar w:left="792" w:right="792" w:gutter="0" w:header="0" w:top="792" w:footer="0" w:bottom="7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360" w:before="0" w:after="0"/>
      <w:jc w:val="left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머리글 Char"/>
    <w:basedOn w:val="DefaultParagraphFont"/>
    <w:link w:val="Header"/>
    <w:uiPriority w:val="99"/>
    <w:qFormat/>
    <w:rsid w:val="00e618bf"/>
    <w:rPr/>
  </w:style>
  <w:style w:type="character" w:styleId="Char1" w:customStyle="1">
    <w:name w:val="바닥글 Char"/>
    <w:basedOn w:val="DefaultParagraphFont"/>
    <w:link w:val="Footer"/>
    <w:uiPriority w:val="99"/>
    <w:qFormat/>
    <w:rsid w:val="00e618bf"/>
    <w:rPr/>
  </w:style>
  <w:style w:type="character" w:styleId="1Char" w:customStyle="1">
    <w:name w:val="제목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2Char" w:customStyle="1">
    <w:name w:val="제목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3Char" w:customStyle="1">
    <w:name w:val="제목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Char2" w:customStyle="1">
    <w:name w:val="제목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Char3" w:customStyle="1">
    <w:name w:val="부제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har4" w:customStyle="1">
    <w:name w:val="본문 Char"/>
    <w:basedOn w:val="DefaultParagraphFont"/>
    <w:uiPriority w:val="99"/>
    <w:qFormat/>
    <w:rsid w:val="00aa1d8d"/>
    <w:rPr/>
  </w:style>
  <w:style w:type="character" w:styleId="2Char1" w:customStyle="1">
    <w:name w:val="본문 2 Char"/>
    <w:basedOn w:val="DefaultParagraphFont"/>
    <w:link w:val="BodyText2"/>
    <w:uiPriority w:val="99"/>
    <w:qFormat/>
    <w:rsid w:val="00aa1d8d"/>
    <w:rPr/>
  </w:style>
  <w:style w:type="character" w:styleId="3Char1" w:customStyle="1">
    <w:name w:val="본문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Char5" w:customStyle="1">
    <w:name w:val="매크로 텍스트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har6" w:customStyle="1">
    <w:name w:val="인용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4Char" w:customStyle="1">
    <w:name w:val="제목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5Char" w:customStyle="1">
    <w:name w:val="제목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6Char" w:customStyle="1">
    <w:name w:val="제목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7Char" w:customStyle="1">
    <w:name w:val="제목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Char" w:customStyle="1">
    <w:name w:val="제목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9Char" w:customStyle="1">
    <w:name w:val="제목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har7" w:customStyle="1">
    <w:name w:val="강한 인용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LineNumber">
    <w:name w:val="Line Number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Char4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Char1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Char2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Char3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left="720"/>
      <w:contextualSpacing/>
    </w:pPr>
    <w:rPr/>
  </w:style>
  <w:style w:type="paragraph" w:styleId="BodyText2">
    <w:name w:val="Body Text 2"/>
    <w:basedOn w:val="Normal"/>
    <w:link w:val="2Char1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3Char1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Char5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har6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har7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LibreOffice/24.2.7.2$Linux_X86_64 LibreOffice_project/420$Build-2</Application>
  <AppVersion>15.0000</AppVersion>
  <Pages>3</Pages>
  <Words>699</Words>
  <Characters>4584</Characters>
  <CharactersWithSpaces>5069</CharactersWithSpaces>
  <Paragraphs>214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2026-08-20T13:04:55Z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