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24"/>
          <w:szCs w:val="24"/>
        </w:rPr>
        <w:t xml:space="preserve">STROBE Statement — Checklist of items to be included in reports of cross-sectional studies</w:t>
      </w:r>
    </w:p>
    <w:p>
      <w:pPr>
        <w:spacing w:after="200"/>
      </w:pPr>
      <w:r>
        <w:rPr>
          <w:i/>
          <w:iCs/>
          <w:sz w:val="20"/>
          <w:szCs w:val="20"/>
        </w:rPr>
        <w:t xml:space="preserve">Cardiometabolic risk profile of women with Polyendocrine Metabolic Ovarian Syndrome in Cameroon</w:t>
      </w:r>
    </w:p>
    <w:tbl>
      <w:tblPr>
        <w:tblW w:type="dxa" w:w="9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4600"/>
        <w:gridCol w:w="3600"/>
      </w:tblGrid>
      <w:tr>
        <w:tc>
          <w:tcPr>
            <w:tcW w:type="dxa" w:w="9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shd w:fill="E8E8E8"/>
          </w:tcPr>
          <w:p>
            <w:r>
              <w:rPr>
                <w:b/>
                <w:bCs/>
                <w:sz w:val="20"/>
                <w:szCs w:val="20"/>
              </w:rPr>
              <w:t xml:space="preserve">Item No.</w:t>
            </w:r>
          </w:p>
        </w:tc>
        <w:tc>
          <w:tcPr>
            <w:tcW w:type="dxa" w:w="4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shd w:fill="E8E8E8"/>
          </w:tcPr>
          <w:p>
            <w:r>
              <w:rPr>
                <w:b/>
                <w:bCs/>
                <w:sz w:val="20"/>
                <w:szCs w:val="20"/>
              </w:rPr>
              <w:t xml:space="preserve">Recommendation (STROBE Statement)</w:t>
            </w:r>
          </w:p>
        </w:tc>
        <w:tc>
          <w:tcPr>
            <w:tcW w:type="dxa" w:w="3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shd w:fill="E8E8E8"/>
          </w:tcPr>
          <w:p>
            <w:r>
              <w:rPr>
                <w:b/>
                <w:bCs/>
                <w:sz w:val="20"/>
                <w:szCs w:val="20"/>
              </w:rPr>
              <w:t xml:space="preserve">Reported on (section of manuscript)</w:t>
            </w:r>
          </w:p>
        </w:tc>
      </w:tr>
      <w:tr>
        <w:tc>
          <w:tcPr>
            <w:tcW w:type="dxa" w:w="9100"/>
            <w:gridSpan w:val="3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shd w:fill="F5F5F5"/>
          </w:tcPr>
          <w:p>
            <w:r>
              <w:rPr>
                <w:b/>
                <w:bCs/>
                <w:i/>
                <w:iCs/>
                <w:sz w:val="20"/>
                <w:szCs w:val="20"/>
              </w:rPr>
              <w:t xml:space="preserve">Title and abstract</w:t>
            </w:r>
          </w:p>
        </w:tc>
      </w:tr>
      <w:tr>
        <w:tc>
          <w:tcPr>
            <w:tcW w:type="dxa" w:w="9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1a</w:t>
            </w:r>
          </w:p>
        </w:tc>
        <w:tc>
          <w:tcPr>
            <w:tcW w:type="dxa" w:w="4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Indicate the study's design with a commonly used term in the title or the abstract</w:t>
            </w:r>
          </w:p>
        </w:tc>
        <w:tc>
          <w:tcPr>
            <w:tcW w:type="dxa" w:w="3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Reported in both the title (“...in Cameroon: a cross-sectional study”) and the Methods subsection of the structured Abstract (“descriptive analytical cross-sectional study”).</w:t>
            </w:r>
          </w:p>
        </w:tc>
      </w:tr>
      <w:tr>
        <w:tc>
          <w:tcPr>
            <w:tcW w:type="dxa" w:w="9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1b</w:t>
            </w:r>
          </w:p>
        </w:tc>
        <w:tc>
          <w:tcPr>
            <w:tcW w:type="dxa" w:w="4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Provide in the abstract an informative and balanced summary of what was done and what was found</w:t>
            </w:r>
          </w:p>
        </w:tc>
        <w:tc>
          <w:tcPr>
            <w:tcW w:type="dxa" w:w="3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Structured Abstract (Background, Methods, Results, Conclusion)</w:t>
            </w:r>
          </w:p>
        </w:tc>
      </w:tr>
      <w:tr>
        <w:tc>
          <w:tcPr>
            <w:tcW w:type="dxa" w:w="9100"/>
            <w:gridSpan w:val="3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shd w:fill="F5F5F5"/>
          </w:tcPr>
          <w:p>
            <w:r>
              <w:rPr>
                <w:b/>
                <w:bCs/>
                <w:i/>
                <w:iCs/>
                <w:sz w:val="20"/>
                <w:szCs w:val="20"/>
              </w:rPr>
              <w:t xml:space="preserve">Introduction</w:t>
            </w:r>
          </w:p>
        </w:tc>
      </w:tr>
      <w:tr>
        <w:tc>
          <w:tcPr>
            <w:tcW w:type="dxa" w:w="9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4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Explain the scientific background and rationale for the investigation being reported</w:t>
            </w:r>
          </w:p>
        </w:tc>
        <w:tc>
          <w:tcPr>
            <w:tcW w:type="dxa" w:w="3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Introduction, paragraphs 1–3</w:t>
            </w:r>
          </w:p>
        </w:tc>
      </w:tr>
      <w:tr>
        <w:tc>
          <w:tcPr>
            <w:tcW w:type="dxa" w:w="9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4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State specific objectives, including any prespecified hypotheses</w:t>
            </w:r>
          </w:p>
        </w:tc>
        <w:tc>
          <w:tcPr>
            <w:tcW w:type="dxa" w:w="3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Introduction, final paragraph (“This study aimed to characterize…”)</w:t>
            </w:r>
          </w:p>
        </w:tc>
      </w:tr>
      <w:tr>
        <w:tc>
          <w:tcPr>
            <w:tcW w:type="dxa" w:w="9100"/>
            <w:gridSpan w:val="3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shd w:fill="F5F5F5"/>
          </w:tcPr>
          <w:p>
            <w:r>
              <w:rPr>
                <w:b/>
                <w:bCs/>
                <w:i/>
                <w:iCs/>
                <w:sz w:val="20"/>
                <w:szCs w:val="20"/>
              </w:rPr>
              <w:t xml:space="preserve">Methods</w:t>
            </w:r>
          </w:p>
        </w:tc>
      </w:tr>
      <w:tr>
        <w:tc>
          <w:tcPr>
            <w:tcW w:type="dxa" w:w="9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4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Present key elements of study design early in the paper</w:t>
            </w:r>
          </w:p>
        </w:tc>
        <w:tc>
          <w:tcPr>
            <w:tcW w:type="dxa" w:w="3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Methods — “Study type, population, and setting”</w:t>
            </w:r>
          </w:p>
        </w:tc>
      </w:tr>
      <w:tr>
        <w:tc>
          <w:tcPr>
            <w:tcW w:type="dxa" w:w="9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4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Describe the setting, locations, and relevant dates, including periods of recruitment, exposure, follow-up, and data collection</w:t>
            </w:r>
          </w:p>
        </w:tc>
        <w:tc>
          <w:tcPr>
            <w:tcW w:type="dxa" w:w="3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Methods — “Study type, population, and setting” (two referral hospitals in Yaoundé; January–June 2026)</w:t>
            </w:r>
          </w:p>
        </w:tc>
      </w:tr>
      <w:tr>
        <w:tc>
          <w:tcPr>
            <w:tcW w:type="dxa" w:w="9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4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Give the eligibility criteria, and the sources and methods of selection of participants</w:t>
            </w:r>
          </w:p>
        </w:tc>
        <w:tc>
          <w:tcPr>
            <w:tcW w:type="dxa" w:w="3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Methods — “Eligibility criteria and sampling”</w:t>
            </w:r>
          </w:p>
        </w:tc>
      </w:tr>
      <w:tr>
        <w:tc>
          <w:tcPr>
            <w:tcW w:type="dxa" w:w="9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4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Clearly define all outcomes, exposures, predictors, potential confounders, and effect modifiers; give diagnostic criteria, if applicable</w:t>
            </w:r>
          </w:p>
        </w:tc>
        <w:tc>
          <w:tcPr>
            <w:tcW w:type="dxa" w:w="3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Methods — “Data collection and laboratory procedures” and “Definitions and statistical analysis”</w:t>
            </w:r>
          </w:p>
        </w:tc>
      </w:tr>
      <w:tr>
        <w:tc>
          <w:tcPr>
            <w:tcW w:type="dxa" w:w="9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4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For each variable of interest, give sources of data and details of methods of assessment (measurement); describe comparability of assessment methods if more than one group</w:t>
            </w:r>
          </w:p>
        </w:tc>
        <w:tc>
          <w:tcPr>
            <w:tcW w:type="dxa" w:w="3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Methods — “Data collection and laboratory procedures” (assay methods, formulae for TyG, AIP, LDL/HDL ratio, non-HDL cholesterol)</w:t>
            </w:r>
          </w:p>
        </w:tc>
      </w:tr>
      <w:tr>
        <w:tc>
          <w:tcPr>
            <w:tcW w:type="dxa" w:w="9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4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Describe any efforts to address potential sources of bias</w:t>
            </w:r>
          </w:p>
        </w:tc>
        <w:tc>
          <w:tcPr>
            <w:tcW w:type="dxa" w:w="3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Addressed narratively in Discussion — “Limitations” (clinical vs. biochemical hyperandrogenism ascertainment; hospital-based sampling); not presented as a separate Methods subsection.</w:t>
            </w:r>
          </w:p>
        </w:tc>
      </w:tr>
      <w:tr>
        <w:tc>
          <w:tcPr>
            <w:tcW w:type="dxa" w:w="9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4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Explain how the study size was arrived at</w:t>
            </w:r>
          </w:p>
        </w:tc>
        <w:tc>
          <w:tcPr>
            <w:tcW w:type="dxa" w:w="3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Methods — “Eligibility criteria and sampling” (exhaustive sampling of all eligible patients during the study period, n=69); a post-hoc (not a priori) power calculation is reported in “Definitions and statistical analysis.”</w:t>
            </w:r>
          </w:p>
        </w:tc>
      </w:tr>
      <w:tr>
        <w:tc>
          <w:tcPr>
            <w:tcW w:type="dxa" w:w="9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4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Explain how quantitative variables were handled in the analyses; if applicable, describe which groupings were chosen and why</w:t>
            </w:r>
          </w:p>
        </w:tc>
        <w:tc>
          <w:tcPr>
            <w:tcW w:type="dxa" w:w="3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Methods — “Definitions and statistical analysis” (categorical thresholds for TyG, AIP, LDL/HDL ratio, non-HDL cholesterol)</w:t>
            </w:r>
          </w:p>
        </w:tc>
      </w:tr>
      <w:tr>
        <w:tc>
          <w:tcPr>
            <w:tcW w:type="dxa" w:w="9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12a</w:t>
            </w:r>
          </w:p>
        </w:tc>
        <w:tc>
          <w:tcPr>
            <w:tcW w:type="dxa" w:w="4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Describe all statistical methods, including those used to control for confounding</w:t>
            </w:r>
          </w:p>
        </w:tc>
        <w:tc>
          <w:tcPr>
            <w:tcW w:type="dxa" w:w="3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Methods — “Definitions and statistical analysis” (partial Spearman correlation adjusting for BMI)</w:t>
            </w:r>
          </w:p>
        </w:tc>
      </w:tr>
      <w:tr>
        <w:tc>
          <w:tcPr>
            <w:tcW w:type="dxa" w:w="9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12b</w:t>
            </w:r>
          </w:p>
        </w:tc>
        <w:tc>
          <w:tcPr>
            <w:tcW w:type="dxa" w:w="4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Describe any methods used to examine subgroups and interactions</w:t>
            </w:r>
          </w:p>
        </w:tc>
        <w:tc>
          <w:tcPr>
            <w:tcW w:type="dxa" w:w="3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Methods — Phenotype A vs. non-A comparison; sensitivity analysis by hyperandrogenism status reported in Discussion, paragraph 2</w:t>
            </w:r>
          </w:p>
        </w:tc>
      </w:tr>
      <w:tr>
        <w:tc>
          <w:tcPr>
            <w:tcW w:type="dxa" w:w="9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12c</w:t>
            </w:r>
          </w:p>
        </w:tc>
        <w:tc>
          <w:tcPr>
            <w:tcW w:type="dxa" w:w="4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Explain how missing data were addressed</w:t>
            </w:r>
          </w:p>
        </w:tc>
        <w:tc>
          <w:tcPr>
            <w:tcW w:type="dxa" w:w="3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Reported narratively where relevant (e.g., Results — “Hirsutism severity and cardiometabolic risk indices,” 61/69 with recorded mFG score); no dedicated Methods statement on missing-data handling.</w:t>
            </w:r>
          </w:p>
        </w:tc>
      </w:tr>
      <w:tr>
        <w:tc>
          <w:tcPr>
            <w:tcW w:type="dxa" w:w="9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12d</w:t>
            </w:r>
          </w:p>
        </w:tc>
        <w:tc>
          <w:tcPr>
            <w:tcW w:type="dxa" w:w="4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If applicable, describe analytical methods taking account of sampling strategy</w:t>
            </w:r>
          </w:p>
        </w:tc>
        <w:tc>
          <w:tcPr>
            <w:tcW w:type="dxa" w:w="3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Not applicable — exhaustive (non-probability) sampling of all eligible patients; described in “Eligibility criteria and sampling.”</w:t>
            </w:r>
          </w:p>
        </w:tc>
      </w:tr>
      <w:tr>
        <w:tc>
          <w:tcPr>
            <w:tcW w:type="dxa" w:w="9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12e</w:t>
            </w:r>
          </w:p>
        </w:tc>
        <w:tc>
          <w:tcPr>
            <w:tcW w:type="dxa" w:w="4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Describe any sensitivity analyses</w:t>
            </w:r>
          </w:p>
        </w:tc>
        <w:tc>
          <w:tcPr>
            <w:tcW w:type="dxa" w:w="3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Discussion, paragraph 2 (regrouping by hyperandrogenism status: Phenotypes A+B+C vs. D)</w:t>
            </w:r>
          </w:p>
        </w:tc>
      </w:tr>
      <w:tr>
        <w:tc>
          <w:tcPr>
            <w:tcW w:type="dxa" w:w="9100"/>
            <w:gridSpan w:val="3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shd w:fill="F5F5F5"/>
          </w:tcPr>
          <w:p>
            <w:r>
              <w:rPr>
                <w:b/>
                <w:bCs/>
                <w:i/>
                <w:iCs/>
                <w:sz w:val="20"/>
                <w:szCs w:val="20"/>
              </w:rPr>
              <w:t xml:space="preserve">Results</w:t>
            </w:r>
          </w:p>
        </w:tc>
      </w:tr>
      <w:tr>
        <w:tc>
          <w:tcPr>
            <w:tcW w:type="dxa" w:w="9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13a</w:t>
            </w:r>
          </w:p>
        </w:tc>
        <w:tc>
          <w:tcPr>
            <w:tcW w:type="dxa" w:w="4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Report the numbers of individuals at each stage of the study (e.g., numbers potentially eligible, examined for eligibility, confirmed eligible, included in the study, completing follow-up, and analysed)</w:t>
            </w:r>
          </w:p>
        </w:tc>
        <w:tc>
          <w:tcPr>
            <w:tcW w:type="dxa" w:w="3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Methods — “Eligibility criteria and sampling” (102 identified → 95 with contact information → 83 contacted → 71 enrolled → 69 analysed)</w:t>
            </w:r>
          </w:p>
        </w:tc>
      </w:tr>
      <w:tr>
        <w:tc>
          <w:tcPr>
            <w:tcW w:type="dxa" w:w="9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13b</w:t>
            </w:r>
          </w:p>
        </w:tc>
        <w:tc>
          <w:tcPr>
            <w:tcW w:type="dxa" w:w="4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Give reasons for non-participation at each stage</w:t>
            </w:r>
          </w:p>
        </w:tc>
        <w:tc>
          <w:tcPr>
            <w:tcW w:type="dxa" w:w="3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Methods — “Eligibility criteria and sampling” (4 declined, 8 unavailable, 2 excluded post-enrolment: 1 pregnancy, 1 early postpartum)</w:t>
            </w:r>
          </w:p>
        </w:tc>
      </w:tr>
      <w:tr>
        <w:tc>
          <w:tcPr>
            <w:tcW w:type="dxa" w:w="9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13c</w:t>
            </w:r>
          </w:p>
        </w:tc>
        <w:tc>
          <w:tcPr>
            <w:tcW w:type="dxa" w:w="4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Consider use of a flow diagram</w:t>
            </w:r>
          </w:p>
        </w:tc>
        <w:tc>
          <w:tcPr>
            <w:tcW w:type="dxa" w:w="3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Not currently included as a figure; reported narratively only. A CONSORT/STROBE-style flow diagram could be added as Figure 1 or a supplementary figure if the journal or reviewers request one.</w:t>
            </w:r>
          </w:p>
        </w:tc>
      </w:tr>
      <w:tr>
        <w:tc>
          <w:tcPr>
            <w:tcW w:type="dxa" w:w="9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14a</w:t>
            </w:r>
          </w:p>
        </w:tc>
        <w:tc>
          <w:tcPr>
            <w:tcW w:type="dxa" w:w="4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Give characteristics of study participants (e.g., demographic, clinical, social) and information on exposures and potential confounders</w:t>
            </w:r>
          </w:p>
        </w:tc>
        <w:tc>
          <w:tcPr>
            <w:tcW w:type="dxa" w:w="3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Results — “Sociodemographic characteristics and medical history” (Table 1)</w:t>
            </w:r>
          </w:p>
        </w:tc>
      </w:tr>
      <w:tr>
        <w:tc>
          <w:tcPr>
            <w:tcW w:type="dxa" w:w="9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14b</w:t>
            </w:r>
          </w:p>
        </w:tc>
        <w:tc>
          <w:tcPr>
            <w:tcW w:type="dxa" w:w="4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Indicate the number of participants with missing data for each variable of interest</w:t>
            </w:r>
          </w:p>
        </w:tc>
        <w:tc>
          <w:tcPr>
            <w:tcW w:type="dxa" w:w="3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Partially reported (e.g., mFG score available for 61/69 participants, noted in Results); not systematically tabulated for every variable.</w:t>
            </w:r>
          </w:p>
        </w:tc>
      </w:tr>
      <w:tr>
        <w:tc>
          <w:tcPr>
            <w:tcW w:type="dxa" w:w="9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14c</w:t>
            </w:r>
          </w:p>
        </w:tc>
        <w:tc>
          <w:tcPr>
            <w:tcW w:type="dxa" w:w="4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Not applicable to cross-sectional studies (cohort-specific item)</w:t>
            </w:r>
          </w:p>
        </w:tc>
        <w:tc>
          <w:tcPr>
            <w:tcW w:type="dxa" w:w="3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Not applicable</w:t>
            </w:r>
          </w:p>
        </w:tc>
      </w:tr>
      <w:tr>
        <w:tc>
          <w:tcPr>
            <w:tcW w:type="dxa" w:w="9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4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Report numbers of outcome events or summary measures</w:t>
            </w:r>
          </w:p>
        </w:tc>
        <w:tc>
          <w:tcPr>
            <w:tcW w:type="dxa" w:w="3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Results — “Cardiometabolic risk profile of the cohort” (Table 2) and “PMOS phenotype and metabolic syndrome”</w:t>
            </w:r>
          </w:p>
        </w:tc>
      </w:tr>
      <w:tr>
        <w:tc>
          <w:tcPr>
            <w:tcW w:type="dxa" w:w="9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16a</w:t>
            </w:r>
          </w:p>
        </w:tc>
        <w:tc>
          <w:tcPr>
            <w:tcW w:type="dxa" w:w="4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Give unadjusted estimates and, if applicable, confounder-adjusted estimates and their precision (e.g., 95% confidence interval); make clear which confounders were adjusted for and why they were included</w:t>
            </w:r>
          </w:p>
        </w:tc>
        <w:tc>
          <w:tcPr>
            <w:tcW w:type="dxa" w:w="3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Results — “PMOS phenotype and metabolic syndrome” (OR=2.50, 95% CI 0.78–8.04) and “Hirsutism severity and cardiometabolic risk indices” (unadjusted and BMI-adjusted partial correlations)</w:t>
            </w:r>
          </w:p>
        </w:tc>
      </w:tr>
      <w:tr>
        <w:tc>
          <w:tcPr>
            <w:tcW w:type="dxa" w:w="9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16b</w:t>
            </w:r>
          </w:p>
        </w:tc>
        <w:tc>
          <w:tcPr>
            <w:tcW w:type="dxa" w:w="4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Report category boundaries when continuous variables were categorized</w:t>
            </w:r>
          </w:p>
        </w:tc>
        <w:tc>
          <w:tcPr>
            <w:tcW w:type="dxa" w:w="3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Methods — “Definitions and statistical analysis” (explicit cut-offs for all four indices)</w:t>
            </w:r>
          </w:p>
        </w:tc>
      </w:tr>
      <w:tr>
        <w:tc>
          <w:tcPr>
            <w:tcW w:type="dxa" w:w="9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16c</w:t>
            </w:r>
          </w:p>
        </w:tc>
        <w:tc>
          <w:tcPr>
            <w:tcW w:type="dxa" w:w="4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If relevant, consider translating estimates of relative risk into absolute risk for a meaningful time period</w:t>
            </w:r>
          </w:p>
        </w:tc>
        <w:tc>
          <w:tcPr>
            <w:tcW w:type="dxa" w:w="3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Not applicable — cross-sectional design; prevalence estimates (percentages) are reported throughout Results instead.</w:t>
            </w:r>
          </w:p>
        </w:tc>
      </w:tr>
      <w:tr>
        <w:tc>
          <w:tcPr>
            <w:tcW w:type="dxa" w:w="9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4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Report other analyses done—e.g., analyses of subgroups and interactions, and sensitivity analyses</w:t>
            </w:r>
          </w:p>
        </w:tc>
        <w:tc>
          <w:tcPr>
            <w:tcW w:type="dxa" w:w="3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Discussion, paragraph 2 (sensitivity analysis regrouping by hyperandrogenism status); Results — individual index-by-phenotype associations (all OR 0.68–1.71)</w:t>
            </w:r>
          </w:p>
        </w:tc>
      </w:tr>
      <w:tr>
        <w:tc>
          <w:tcPr>
            <w:tcW w:type="dxa" w:w="9100"/>
            <w:gridSpan w:val="3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shd w:fill="F5F5F5"/>
          </w:tcPr>
          <w:p>
            <w:r>
              <w:rPr>
                <w:b/>
                <w:bCs/>
                <w:i/>
                <w:iCs/>
                <w:sz w:val="20"/>
                <w:szCs w:val="20"/>
              </w:rPr>
              <w:t xml:space="preserve">Discussion</w:t>
            </w:r>
          </w:p>
        </w:tc>
      </w:tr>
      <w:tr>
        <w:tc>
          <w:tcPr>
            <w:tcW w:type="dxa" w:w="9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4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Summarise key results with reference to study objectives</w:t>
            </w:r>
          </w:p>
        </w:tc>
        <w:tc>
          <w:tcPr>
            <w:tcW w:type="dxa" w:w="3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Discussion, opening paragraph; Conclusion</w:t>
            </w:r>
          </w:p>
        </w:tc>
      </w:tr>
      <w:tr>
        <w:tc>
          <w:tcPr>
            <w:tcW w:type="dxa" w:w="9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4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Discuss limitations of the study, taking into account sources of potential bias or imprecision; discuss both direction and magnitude of any potential bias</w:t>
            </w:r>
          </w:p>
        </w:tc>
        <w:tc>
          <w:tcPr>
            <w:tcW w:type="dxa" w:w="3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Discussion — “Limitations” subsection</w:t>
            </w:r>
          </w:p>
        </w:tc>
      </w:tr>
      <w:tr>
        <w:tc>
          <w:tcPr>
            <w:tcW w:type="dxa" w:w="9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4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type="dxa" w:w="3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Discussion, throughout, and Conclusion</w:t>
            </w:r>
          </w:p>
        </w:tc>
      </w:tr>
      <w:tr>
        <w:tc>
          <w:tcPr>
            <w:tcW w:type="dxa" w:w="9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4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Discuss the generalisability (external validity) of the study results</w:t>
            </w:r>
          </w:p>
        </w:tc>
        <w:tc>
          <w:tcPr>
            <w:tcW w:type="dxa" w:w="3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Discussion — “Limitations” (hospital-based sample; Framingham score developed in a non-Sub-Saharan-African population)</w:t>
            </w:r>
          </w:p>
        </w:tc>
      </w:tr>
      <w:tr>
        <w:tc>
          <w:tcPr>
            <w:tcW w:type="dxa" w:w="9100"/>
            <w:gridSpan w:val="3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shd w:fill="F5F5F5"/>
          </w:tcPr>
          <w:p>
            <w:r>
              <w:rPr>
                <w:b/>
                <w:bCs/>
                <w:i/>
                <w:iCs/>
                <w:sz w:val="20"/>
                <w:szCs w:val="20"/>
              </w:rPr>
              <w:t xml:space="preserve">Other information</w:t>
            </w:r>
          </w:p>
        </w:tc>
      </w:tr>
      <w:tr>
        <w:tc>
          <w:tcPr>
            <w:tcW w:type="dxa" w:w="9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4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Give the source of funding and the role of the funders for the present study and, if applicable, for the original study on which the present article is based</w:t>
            </w:r>
          </w:p>
        </w:tc>
        <w:tc>
          <w:tcPr>
            <w:tcW w:type="dxa" w:w="36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Declarations — “Funding” (“This research received no external funding.”).</w:t>
            </w:r>
          </w:p>
        </w:tc>
      </w:tr>
    </w:tbl>
    <w:p/>
    <w:p>
      <w:pPr>
        <w:spacing w:before="200"/>
      </w:pPr>
      <w:r>
        <w:rPr>
          <w:i/>
          <w:iCs/>
          <w:sz w:val="18"/>
          <w:szCs w:val="18"/>
        </w:rPr>
        <w:t xml:space="preserve">This checklist was completed based on the STROBE Statement checklist for cross-sectional studies (www.strobe-statement.org) and mapped to the manuscript's current section headings, since final page/line numbers are not yet available. The manuscript has been revised to include a cross-sectional-study descriptor in the title (item 1a) and a Funding statement (item 22), both previously missing. A small number of items (9, 12c, 13c, 14b) remain only partially addressed in the current draft; authors may wish to review the corresponding notes above before submission.</w:t>
      </w:r>
    </w:p>
    <w:sectPr>
      <w:pgSz w:w="15840" w:h="122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2026-08-20T21:11:36.666Z</dcterms:created>
  <dcterms:modified xsi:type="dcterms:W3CDTF">2026-08-20T21:11:36.679Z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