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C5FAFC" w14:textId="60634521" w:rsidR="00E50C3E" w:rsidRPr="00536301" w:rsidRDefault="00E50C3E">
      <w:pPr>
        <w:rPr>
          <w:rFonts w:ascii="Times New Roman" w:hAnsi="Times New Roman" w:cs="Times New Roman"/>
          <w:lang w:val="en-GB"/>
        </w:rPr>
      </w:pPr>
      <w:r w:rsidRPr="00536301">
        <w:rPr>
          <w:rFonts w:ascii="Times New Roman" w:hAnsi="Times New Roman" w:cs="Times New Roman"/>
          <w:lang w:val="en-GB"/>
        </w:rPr>
        <w:t>APPENDICES</w:t>
      </w:r>
    </w:p>
    <w:p w14:paraId="27D3903D" w14:textId="77777777" w:rsidR="00E50C3E" w:rsidRPr="00536301" w:rsidRDefault="00E50C3E" w:rsidP="00E50C3E">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Appendix A. ERI Indicator Dictionary and Construction Rules</w:t>
      </w:r>
    </w:p>
    <w:p w14:paraId="7A512D54" w14:textId="77777777" w:rsidR="00E50C3E" w:rsidRPr="00536301" w:rsidRDefault="00E50C3E" w:rsidP="00E50C3E">
      <w:pPr>
        <w:spacing w:before="100" w:beforeAutospacing="1" w:after="100" w:afterAutospacing="1" w:line="240" w:lineRule="auto"/>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Table A1. External Resilience Index Indicator Dictionary and Construction Rules</w:t>
      </w:r>
    </w:p>
    <w:tbl>
      <w:tblPr>
        <w:tblStyle w:val="TableGrid"/>
        <w:tblW w:w="0" w:type="auto"/>
        <w:tblLook w:val="04A0" w:firstRow="1" w:lastRow="0" w:firstColumn="1" w:lastColumn="0" w:noHBand="0" w:noVBand="1"/>
      </w:tblPr>
      <w:tblGrid>
        <w:gridCol w:w="629"/>
        <w:gridCol w:w="1505"/>
        <w:gridCol w:w="657"/>
        <w:gridCol w:w="1362"/>
        <w:gridCol w:w="1637"/>
        <w:gridCol w:w="1009"/>
        <w:gridCol w:w="1153"/>
        <w:gridCol w:w="1064"/>
      </w:tblGrid>
      <w:tr w:rsidR="00E50C3E" w:rsidRPr="00536301" w14:paraId="75C92B65" w14:textId="77777777" w:rsidTr="00E50C3E">
        <w:tc>
          <w:tcPr>
            <w:tcW w:w="0" w:type="auto"/>
            <w:hideMark/>
          </w:tcPr>
          <w:p w14:paraId="1744E010" w14:textId="77777777" w:rsidR="00E50C3E" w:rsidRPr="00536301" w:rsidRDefault="00E50C3E" w:rsidP="00E50C3E">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Dim.</w:t>
            </w:r>
          </w:p>
        </w:tc>
        <w:tc>
          <w:tcPr>
            <w:tcW w:w="0" w:type="auto"/>
            <w:hideMark/>
          </w:tcPr>
          <w:p w14:paraId="4854728B" w14:textId="77777777" w:rsidR="00E50C3E" w:rsidRPr="00536301" w:rsidRDefault="00E50C3E" w:rsidP="00E50C3E">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Pillar</w:t>
            </w:r>
          </w:p>
        </w:tc>
        <w:tc>
          <w:tcPr>
            <w:tcW w:w="0" w:type="auto"/>
            <w:hideMark/>
          </w:tcPr>
          <w:p w14:paraId="6ABB2931" w14:textId="77777777" w:rsidR="00E50C3E" w:rsidRPr="00536301" w:rsidRDefault="00E50C3E" w:rsidP="00E50C3E">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Code</w:t>
            </w:r>
          </w:p>
        </w:tc>
        <w:tc>
          <w:tcPr>
            <w:tcW w:w="0" w:type="auto"/>
            <w:hideMark/>
          </w:tcPr>
          <w:p w14:paraId="29282FD1" w14:textId="77777777" w:rsidR="00E50C3E" w:rsidRPr="00536301" w:rsidRDefault="00E50C3E" w:rsidP="00E50C3E">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Indicator</w:t>
            </w:r>
          </w:p>
        </w:tc>
        <w:tc>
          <w:tcPr>
            <w:tcW w:w="0" w:type="auto"/>
            <w:hideMark/>
          </w:tcPr>
          <w:p w14:paraId="05BF37CD" w14:textId="77777777" w:rsidR="00E50C3E" w:rsidRPr="00536301" w:rsidRDefault="00E50C3E" w:rsidP="00E50C3E">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Operational definition / measurement concept</w:t>
            </w:r>
          </w:p>
        </w:tc>
        <w:tc>
          <w:tcPr>
            <w:tcW w:w="0" w:type="auto"/>
            <w:hideMark/>
          </w:tcPr>
          <w:p w14:paraId="13CC62E8" w14:textId="77777777" w:rsidR="00E50C3E" w:rsidRPr="00536301" w:rsidRDefault="00E50C3E" w:rsidP="00E50C3E">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Direction</w:t>
            </w:r>
          </w:p>
        </w:tc>
        <w:tc>
          <w:tcPr>
            <w:tcW w:w="0" w:type="auto"/>
            <w:hideMark/>
          </w:tcPr>
          <w:p w14:paraId="22FB10EF" w14:textId="77777777" w:rsidR="00E50C3E" w:rsidRPr="00536301" w:rsidRDefault="00E50C3E" w:rsidP="00E50C3E">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Principal source</w:t>
            </w:r>
          </w:p>
        </w:tc>
        <w:tc>
          <w:tcPr>
            <w:tcW w:w="0" w:type="auto"/>
            <w:hideMark/>
          </w:tcPr>
          <w:p w14:paraId="14C57293" w14:textId="77777777" w:rsidR="00E50C3E" w:rsidRPr="00536301" w:rsidRDefault="00E50C3E" w:rsidP="00E50C3E">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Minimum pillar coverage</w:t>
            </w:r>
          </w:p>
        </w:tc>
      </w:tr>
      <w:tr w:rsidR="00E50C3E" w:rsidRPr="00536301" w14:paraId="5FAE82B6" w14:textId="77777777" w:rsidTr="00E50C3E">
        <w:tc>
          <w:tcPr>
            <w:tcW w:w="0" w:type="auto"/>
            <w:hideMark/>
          </w:tcPr>
          <w:p w14:paraId="4192B229"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BR</w:t>
            </w:r>
          </w:p>
        </w:tc>
        <w:tc>
          <w:tcPr>
            <w:tcW w:w="0" w:type="auto"/>
            <w:hideMark/>
          </w:tcPr>
          <w:p w14:paraId="33C99B19"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Liquidity and Reserve Adequacy</w:t>
            </w:r>
          </w:p>
        </w:tc>
        <w:tc>
          <w:tcPr>
            <w:tcW w:w="0" w:type="auto"/>
            <w:hideMark/>
          </w:tcPr>
          <w:p w14:paraId="584FDD81"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LQ1</w:t>
            </w:r>
          </w:p>
        </w:tc>
        <w:tc>
          <w:tcPr>
            <w:tcW w:w="0" w:type="auto"/>
            <w:hideMark/>
          </w:tcPr>
          <w:p w14:paraId="0AF18C63"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Import-cover adequacy</w:t>
            </w:r>
          </w:p>
        </w:tc>
        <w:tc>
          <w:tcPr>
            <w:tcW w:w="0" w:type="auto"/>
            <w:hideMark/>
          </w:tcPr>
          <w:p w14:paraId="6FA3625E"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International reserves relative to imports; measures the capacity of reserves to finance external import requirements</w:t>
            </w:r>
          </w:p>
        </w:tc>
        <w:tc>
          <w:tcPr>
            <w:tcW w:w="0" w:type="auto"/>
            <w:hideMark/>
          </w:tcPr>
          <w:p w14:paraId="6A019706"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5A0BAA27"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IMF / World Bank</w:t>
            </w:r>
          </w:p>
        </w:tc>
        <w:tc>
          <w:tcPr>
            <w:tcW w:w="0" w:type="auto"/>
            <w:hideMark/>
          </w:tcPr>
          <w:p w14:paraId="0C8B865E"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2</w:t>
            </w:r>
          </w:p>
        </w:tc>
      </w:tr>
      <w:tr w:rsidR="00E50C3E" w:rsidRPr="00536301" w14:paraId="2F0830AE" w14:textId="77777777" w:rsidTr="00E50C3E">
        <w:tc>
          <w:tcPr>
            <w:tcW w:w="0" w:type="auto"/>
            <w:hideMark/>
          </w:tcPr>
          <w:p w14:paraId="44D973A8"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BR</w:t>
            </w:r>
          </w:p>
        </w:tc>
        <w:tc>
          <w:tcPr>
            <w:tcW w:w="0" w:type="auto"/>
            <w:hideMark/>
          </w:tcPr>
          <w:p w14:paraId="6536D151"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Liquidity and Reserve Adequacy</w:t>
            </w:r>
          </w:p>
        </w:tc>
        <w:tc>
          <w:tcPr>
            <w:tcW w:w="0" w:type="auto"/>
            <w:hideMark/>
          </w:tcPr>
          <w:p w14:paraId="0308EFBD"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LQ2</w:t>
            </w:r>
          </w:p>
        </w:tc>
        <w:tc>
          <w:tcPr>
            <w:tcW w:w="0" w:type="auto"/>
            <w:hideMark/>
          </w:tcPr>
          <w:p w14:paraId="08E1DAF0"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Short-term external debt relative to reserves</w:t>
            </w:r>
          </w:p>
        </w:tc>
        <w:tc>
          <w:tcPr>
            <w:tcW w:w="0" w:type="auto"/>
            <w:hideMark/>
          </w:tcPr>
          <w:p w14:paraId="5B98E249"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Short-term external debt relative to international reserves; captures near-term external refinancing pressure relative to available liquidity</w:t>
            </w:r>
          </w:p>
        </w:tc>
        <w:tc>
          <w:tcPr>
            <w:tcW w:w="0" w:type="auto"/>
            <w:hideMark/>
          </w:tcPr>
          <w:p w14:paraId="132DE4BA"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62AC726F"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World Bank WDI/IDS; QEDS fallback</w:t>
            </w:r>
          </w:p>
        </w:tc>
        <w:tc>
          <w:tcPr>
            <w:tcW w:w="0" w:type="auto"/>
            <w:hideMark/>
          </w:tcPr>
          <w:p w14:paraId="0CAEF561"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2</w:t>
            </w:r>
          </w:p>
        </w:tc>
      </w:tr>
      <w:tr w:rsidR="00E50C3E" w:rsidRPr="00536301" w14:paraId="5981244F" w14:textId="77777777" w:rsidTr="00E50C3E">
        <w:tc>
          <w:tcPr>
            <w:tcW w:w="0" w:type="auto"/>
            <w:hideMark/>
          </w:tcPr>
          <w:p w14:paraId="68403DA7"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BR</w:t>
            </w:r>
          </w:p>
        </w:tc>
        <w:tc>
          <w:tcPr>
            <w:tcW w:w="0" w:type="auto"/>
            <w:hideMark/>
          </w:tcPr>
          <w:p w14:paraId="038A2396"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Balance-Sheet Strength</w:t>
            </w:r>
          </w:p>
        </w:tc>
        <w:tc>
          <w:tcPr>
            <w:tcW w:w="0" w:type="auto"/>
            <w:hideMark/>
          </w:tcPr>
          <w:p w14:paraId="6583E4E4"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BS1</w:t>
            </w:r>
          </w:p>
        </w:tc>
        <w:tc>
          <w:tcPr>
            <w:tcW w:w="0" w:type="auto"/>
            <w:hideMark/>
          </w:tcPr>
          <w:p w14:paraId="0FF0EFE6"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Net international investment position relative to GDP</w:t>
            </w:r>
          </w:p>
        </w:tc>
        <w:tc>
          <w:tcPr>
            <w:tcW w:w="0" w:type="auto"/>
            <w:hideMark/>
          </w:tcPr>
          <w:p w14:paraId="293001B4"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Net international investment position expressed relative to GDP; measures the economy's net external asset/liability position</w:t>
            </w:r>
          </w:p>
        </w:tc>
        <w:tc>
          <w:tcPr>
            <w:tcW w:w="0" w:type="auto"/>
            <w:hideMark/>
          </w:tcPr>
          <w:p w14:paraId="31BE243E"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66812DCC"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IMF IIP / World Bank</w:t>
            </w:r>
          </w:p>
        </w:tc>
        <w:tc>
          <w:tcPr>
            <w:tcW w:w="0" w:type="auto"/>
            <w:hideMark/>
          </w:tcPr>
          <w:p w14:paraId="04C6CBB2"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2</w:t>
            </w:r>
          </w:p>
        </w:tc>
      </w:tr>
      <w:tr w:rsidR="00E50C3E" w:rsidRPr="00536301" w14:paraId="6C72060E" w14:textId="77777777" w:rsidTr="00E50C3E">
        <w:tc>
          <w:tcPr>
            <w:tcW w:w="0" w:type="auto"/>
            <w:hideMark/>
          </w:tcPr>
          <w:p w14:paraId="4A5AD0D4"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BR</w:t>
            </w:r>
          </w:p>
        </w:tc>
        <w:tc>
          <w:tcPr>
            <w:tcW w:w="0" w:type="auto"/>
            <w:hideMark/>
          </w:tcPr>
          <w:p w14:paraId="190A1E99"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Balance-Sheet Strength</w:t>
            </w:r>
          </w:p>
        </w:tc>
        <w:tc>
          <w:tcPr>
            <w:tcW w:w="0" w:type="auto"/>
            <w:hideMark/>
          </w:tcPr>
          <w:p w14:paraId="3444954C"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BS2</w:t>
            </w:r>
          </w:p>
        </w:tc>
        <w:tc>
          <w:tcPr>
            <w:tcW w:w="0" w:type="auto"/>
            <w:hideMark/>
          </w:tcPr>
          <w:p w14:paraId="4620438D"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assets relative to GDP</w:t>
            </w:r>
          </w:p>
        </w:tc>
        <w:tc>
          <w:tcPr>
            <w:tcW w:w="0" w:type="auto"/>
            <w:hideMark/>
          </w:tcPr>
          <w:p w14:paraId="5ECC41E0"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 xml:space="preserve">Gross external assets relative to GDP; captures the external asset </w:t>
            </w:r>
            <w:r w:rsidRPr="00536301">
              <w:rPr>
                <w:rFonts w:ascii="Times New Roman" w:eastAsia="Times New Roman" w:hAnsi="Times New Roman" w:cs="Times New Roman"/>
                <w:kern w:val="0"/>
                <w:lang w:eastAsia="en-GB"/>
                <w14:ligatures w14:val="none"/>
              </w:rPr>
              <w:lastRenderedPageBreak/>
              <w:t>base potentially available to absorb external losses</w:t>
            </w:r>
          </w:p>
        </w:tc>
        <w:tc>
          <w:tcPr>
            <w:tcW w:w="0" w:type="auto"/>
            <w:hideMark/>
          </w:tcPr>
          <w:p w14:paraId="5D081D6B"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lastRenderedPageBreak/>
              <w:t>+</w:t>
            </w:r>
          </w:p>
        </w:tc>
        <w:tc>
          <w:tcPr>
            <w:tcW w:w="0" w:type="auto"/>
            <w:hideMark/>
          </w:tcPr>
          <w:p w14:paraId="1B5D730E"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IMF IIP / World Bank</w:t>
            </w:r>
          </w:p>
        </w:tc>
        <w:tc>
          <w:tcPr>
            <w:tcW w:w="0" w:type="auto"/>
            <w:hideMark/>
          </w:tcPr>
          <w:p w14:paraId="6B13AA1D"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2</w:t>
            </w:r>
          </w:p>
        </w:tc>
      </w:tr>
      <w:tr w:rsidR="00E50C3E" w:rsidRPr="00536301" w14:paraId="2883BD9B" w14:textId="77777777" w:rsidTr="00E50C3E">
        <w:tc>
          <w:tcPr>
            <w:tcW w:w="0" w:type="auto"/>
            <w:hideMark/>
          </w:tcPr>
          <w:p w14:paraId="6D5F3A19"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7944CA63"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Financing Resilience</w:t>
            </w:r>
          </w:p>
        </w:tc>
        <w:tc>
          <w:tcPr>
            <w:tcW w:w="0" w:type="auto"/>
            <w:hideMark/>
          </w:tcPr>
          <w:p w14:paraId="5F153B2A"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FN1</w:t>
            </w:r>
          </w:p>
        </w:tc>
        <w:tc>
          <w:tcPr>
            <w:tcW w:w="0" w:type="auto"/>
            <w:hideMark/>
          </w:tcPr>
          <w:p w14:paraId="4C8B9632"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FDI share of positive external inflows</w:t>
            </w:r>
          </w:p>
        </w:tc>
        <w:tc>
          <w:tcPr>
            <w:tcW w:w="0" w:type="auto"/>
            <w:hideMark/>
          </w:tcPr>
          <w:p w14:paraId="220DD123"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Foreign direct investment as a share of positive external financing inflows; captures reliance on comparatively stable financing</w:t>
            </w:r>
          </w:p>
        </w:tc>
        <w:tc>
          <w:tcPr>
            <w:tcW w:w="0" w:type="auto"/>
            <w:hideMark/>
          </w:tcPr>
          <w:p w14:paraId="071CDE72"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798E6DC3"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IMF BOP</w:t>
            </w:r>
          </w:p>
        </w:tc>
        <w:tc>
          <w:tcPr>
            <w:tcW w:w="0" w:type="auto"/>
            <w:hideMark/>
          </w:tcPr>
          <w:p w14:paraId="6815D470"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3</w:t>
            </w:r>
          </w:p>
        </w:tc>
      </w:tr>
      <w:tr w:rsidR="00E50C3E" w:rsidRPr="00536301" w14:paraId="61C5CF18" w14:textId="77777777" w:rsidTr="00E50C3E">
        <w:tc>
          <w:tcPr>
            <w:tcW w:w="0" w:type="auto"/>
            <w:hideMark/>
          </w:tcPr>
          <w:p w14:paraId="610DB2E1"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65945E31"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Financing Resilience</w:t>
            </w:r>
          </w:p>
        </w:tc>
        <w:tc>
          <w:tcPr>
            <w:tcW w:w="0" w:type="auto"/>
            <w:hideMark/>
          </w:tcPr>
          <w:p w14:paraId="07EE72B1"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FN2</w:t>
            </w:r>
          </w:p>
        </w:tc>
        <w:tc>
          <w:tcPr>
            <w:tcW w:w="0" w:type="auto"/>
            <w:hideMark/>
          </w:tcPr>
          <w:p w14:paraId="61B2B190"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Five-year volatility of unstable financing share</w:t>
            </w:r>
          </w:p>
        </w:tc>
        <w:tc>
          <w:tcPr>
            <w:tcW w:w="0" w:type="auto"/>
            <w:hideMark/>
          </w:tcPr>
          <w:p w14:paraId="1F52C32C"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Rolling five-year volatility of the share of comparatively unstable external financing flows</w:t>
            </w:r>
          </w:p>
        </w:tc>
        <w:tc>
          <w:tcPr>
            <w:tcW w:w="0" w:type="auto"/>
            <w:hideMark/>
          </w:tcPr>
          <w:p w14:paraId="45162B01"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7E7C8BCB"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IMF BOP</w:t>
            </w:r>
          </w:p>
        </w:tc>
        <w:tc>
          <w:tcPr>
            <w:tcW w:w="0" w:type="auto"/>
            <w:hideMark/>
          </w:tcPr>
          <w:p w14:paraId="0B0BE110"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3</w:t>
            </w:r>
          </w:p>
        </w:tc>
      </w:tr>
      <w:tr w:rsidR="00E50C3E" w:rsidRPr="00536301" w14:paraId="55964987" w14:textId="77777777" w:rsidTr="00E50C3E">
        <w:tc>
          <w:tcPr>
            <w:tcW w:w="0" w:type="auto"/>
            <w:hideMark/>
          </w:tcPr>
          <w:p w14:paraId="7CA6B2F7"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222CB979"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Financing Resilience</w:t>
            </w:r>
          </w:p>
        </w:tc>
        <w:tc>
          <w:tcPr>
            <w:tcW w:w="0" w:type="auto"/>
            <w:hideMark/>
          </w:tcPr>
          <w:p w14:paraId="28D427A8"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FN3</w:t>
            </w:r>
          </w:p>
        </w:tc>
        <w:tc>
          <w:tcPr>
            <w:tcW w:w="0" w:type="auto"/>
            <w:hideMark/>
          </w:tcPr>
          <w:p w14:paraId="6E02238E"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Current-account position</w:t>
            </w:r>
          </w:p>
        </w:tc>
        <w:tc>
          <w:tcPr>
            <w:tcW w:w="0" w:type="auto"/>
            <w:hideMark/>
          </w:tcPr>
          <w:p w14:paraId="631B0262"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Current-account balance relative to the scale of the economy; captures dependence on net external financing</w:t>
            </w:r>
          </w:p>
        </w:tc>
        <w:tc>
          <w:tcPr>
            <w:tcW w:w="0" w:type="auto"/>
            <w:hideMark/>
          </w:tcPr>
          <w:p w14:paraId="1E3756ED"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4C0E7619"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IMF BOP / WEO</w:t>
            </w:r>
          </w:p>
        </w:tc>
        <w:tc>
          <w:tcPr>
            <w:tcW w:w="0" w:type="auto"/>
            <w:hideMark/>
          </w:tcPr>
          <w:p w14:paraId="61D5792B"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3</w:t>
            </w:r>
          </w:p>
        </w:tc>
      </w:tr>
      <w:tr w:rsidR="00E50C3E" w:rsidRPr="00536301" w14:paraId="389BEA65" w14:textId="77777777" w:rsidTr="00E50C3E">
        <w:tc>
          <w:tcPr>
            <w:tcW w:w="0" w:type="auto"/>
            <w:hideMark/>
          </w:tcPr>
          <w:p w14:paraId="018F90E5"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7BB6544A"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Trade Resilience</w:t>
            </w:r>
          </w:p>
        </w:tc>
        <w:tc>
          <w:tcPr>
            <w:tcW w:w="0" w:type="auto"/>
            <w:hideMark/>
          </w:tcPr>
          <w:p w14:paraId="1CCC9671"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TR1</w:t>
            </w:r>
          </w:p>
        </w:tc>
        <w:tc>
          <w:tcPr>
            <w:tcW w:w="0" w:type="auto"/>
            <w:hideMark/>
          </w:tcPr>
          <w:p w14:paraId="6FB44025"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Export diversification</w:t>
            </w:r>
          </w:p>
        </w:tc>
        <w:tc>
          <w:tcPr>
            <w:tcW w:w="0" w:type="auto"/>
            <w:hideMark/>
          </w:tcPr>
          <w:p w14:paraId="710DB623"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Diversification of merchandise exports across products; higher values represent broader export composition and reduced concentration</w:t>
            </w:r>
          </w:p>
        </w:tc>
        <w:tc>
          <w:tcPr>
            <w:tcW w:w="0" w:type="auto"/>
            <w:hideMark/>
          </w:tcPr>
          <w:p w14:paraId="36114FBB"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512C8BE1"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UNCTAD</w:t>
            </w:r>
          </w:p>
        </w:tc>
        <w:tc>
          <w:tcPr>
            <w:tcW w:w="0" w:type="auto"/>
            <w:hideMark/>
          </w:tcPr>
          <w:p w14:paraId="34FF1380"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3</w:t>
            </w:r>
          </w:p>
        </w:tc>
      </w:tr>
      <w:tr w:rsidR="00E50C3E" w:rsidRPr="00536301" w14:paraId="52B022C7" w14:textId="77777777" w:rsidTr="00E50C3E">
        <w:tc>
          <w:tcPr>
            <w:tcW w:w="0" w:type="auto"/>
            <w:hideMark/>
          </w:tcPr>
          <w:p w14:paraId="507BF6D0"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3EB86666"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Trade Resilience</w:t>
            </w:r>
          </w:p>
        </w:tc>
        <w:tc>
          <w:tcPr>
            <w:tcW w:w="0" w:type="auto"/>
            <w:hideMark/>
          </w:tcPr>
          <w:p w14:paraId="433D32EB"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TR3</w:t>
            </w:r>
          </w:p>
        </w:tc>
        <w:tc>
          <w:tcPr>
            <w:tcW w:w="0" w:type="auto"/>
            <w:hideMark/>
          </w:tcPr>
          <w:p w14:paraId="1DD72F60"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Services export share</w:t>
            </w:r>
          </w:p>
        </w:tc>
        <w:tc>
          <w:tcPr>
            <w:tcW w:w="0" w:type="auto"/>
            <w:hideMark/>
          </w:tcPr>
          <w:p w14:paraId="63412CB8"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 xml:space="preserve">Services exports as a share of total </w:t>
            </w:r>
            <w:r w:rsidRPr="00536301">
              <w:rPr>
                <w:rFonts w:ascii="Times New Roman" w:eastAsia="Times New Roman" w:hAnsi="Times New Roman" w:cs="Times New Roman"/>
                <w:kern w:val="0"/>
                <w:lang w:eastAsia="en-GB"/>
                <w14:ligatures w14:val="none"/>
              </w:rPr>
              <w:lastRenderedPageBreak/>
              <w:t>exports; captures diversification of foreign-exchange earnings beyond merchandise trade</w:t>
            </w:r>
          </w:p>
        </w:tc>
        <w:tc>
          <w:tcPr>
            <w:tcW w:w="0" w:type="auto"/>
            <w:hideMark/>
          </w:tcPr>
          <w:p w14:paraId="565D8D8C"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lastRenderedPageBreak/>
              <w:t>+</w:t>
            </w:r>
          </w:p>
        </w:tc>
        <w:tc>
          <w:tcPr>
            <w:tcW w:w="0" w:type="auto"/>
            <w:hideMark/>
          </w:tcPr>
          <w:p w14:paraId="5E0C139E"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World Bank / IMF</w:t>
            </w:r>
          </w:p>
        </w:tc>
        <w:tc>
          <w:tcPr>
            <w:tcW w:w="0" w:type="auto"/>
            <w:hideMark/>
          </w:tcPr>
          <w:p w14:paraId="1059737C"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3</w:t>
            </w:r>
          </w:p>
        </w:tc>
      </w:tr>
      <w:tr w:rsidR="00E50C3E" w:rsidRPr="00536301" w14:paraId="3C37BF49" w14:textId="77777777" w:rsidTr="00E50C3E">
        <w:tc>
          <w:tcPr>
            <w:tcW w:w="0" w:type="auto"/>
            <w:hideMark/>
          </w:tcPr>
          <w:p w14:paraId="4A33181D"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2530F8FD"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Trade Resilience</w:t>
            </w:r>
          </w:p>
        </w:tc>
        <w:tc>
          <w:tcPr>
            <w:tcW w:w="0" w:type="auto"/>
            <w:hideMark/>
          </w:tcPr>
          <w:p w14:paraId="62CCBD54"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TR4</w:t>
            </w:r>
          </w:p>
        </w:tc>
        <w:tc>
          <w:tcPr>
            <w:tcW w:w="0" w:type="auto"/>
            <w:hideMark/>
          </w:tcPr>
          <w:p w14:paraId="63881AED"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Terms-of-trade stability</w:t>
            </w:r>
          </w:p>
        </w:tc>
        <w:tc>
          <w:tcPr>
            <w:tcW w:w="0" w:type="auto"/>
            <w:hideMark/>
          </w:tcPr>
          <w:p w14:paraId="777DE703"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Stability of the terms of trade over the specified measurement window; greater stability indicates lower exposure to external price volatility</w:t>
            </w:r>
          </w:p>
        </w:tc>
        <w:tc>
          <w:tcPr>
            <w:tcW w:w="0" w:type="auto"/>
            <w:hideMark/>
          </w:tcPr>
          <w:p w14:paraId="34145407"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0AE866A4"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IMF / World Bank</w:t>
            </w:r>
          </w:p>
        </w:tc>
        <w:tc>
          <w:tcPr>
            <w:tcW w:w="0" w:type="auto"/>
            <w:hideMark/>
          </w:tcPr>
          <w:p w14:paraId="10B649BE"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3</w:t>
            </w:r>
          </w:p>
        </w:tc>
      </w:tr>
      <w:tr w:rsidR="00E50C3E" w:rsidRPr="00536301" w14:paraId="2D2EF7A7" w14:textId="77777777" w:rsidTr="00E50C3E">
        <w:tc>
          <w:tcPr>
            <w:tcW w:w="0" w:type="auto"/>
            <w:hideMark/>
          </w:tcPr>
          <w:p w14:paraId="41B23560"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6CB68641"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Debt and Remittance Resilience</w:t>
            </w:r>
          </w:p>
        </w:tc>
        <w:tc>
          <w:tcPr>
            <w:tcW w:w="0" w:type="auto"/>
            <w:hideMark/>
          </w:tcPr>
          <w:p w14:paraId="31495869"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DR1</w:t>
            </w:r>
          </w:p>
        </w:tc>
        <w:tc>
          <w:tcPr>
            <w:tcW w:w="0" w:type="auto"/>
            <w:hideMark/>
          </w:tcPr>
          <w:p w14:paraId="65D18417"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debt-service burden</w:t>
            </w:r>
          </w:p>
        </w:tc>
        <w:tc>
          <w:tcPr>
            <w:tcW w:w="0" w:type="auto"/>
            <w:hideMark/>
          </w:tcPr>
          <w:p w14:paraId="31C55F4A"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debt-service payments relative to the relevant external repayment capacity measure; captures the burden of servicing external obligations</w:t>
            </w:r>
          </w:p>
        </w:tc>
        <w:tc>
          <w:tcPr>
            <w:tcW w:w="0" w:type="auto"/>
            <w:hideMark/>
          </w:tcPr>
          <w:p w14:paraId="7BE57A2A"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2D8C86C2"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World Bank IDS/WDI</w:t>
            </w:r>
          </w:p>
        </w:tc>
        <w:tc>
          <w:tcPr>
            <w:tcW w:w="0" w:type="auto"/>
            <w:hideMark/>
          </w:tcPr>
          <w:p w14:paraId="031A90BB"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3</w:t>
            </w:r>
          </w:p>
        </w:tc>
      </w:tr>
      <w:tr w:rsidR="00E50C3E" w:rsidRPr="00536301" w14:paraId="4F5417D2" w14:textId="77777777" w:rsidTr="00E50C3E">
        <w:tc>
          <w:tcPr>
            <w:tcW w:w="0" w:type="auto"/>
            <w:hideMark/>
          </w:tcPr>
          <w:p w14:paraId="7DDF9177"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04DC843C"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Debt and Remittance Resilience</w:t>
            </w:r>
          </w:p>
        </w:tc>
        <w:tc>
          <w:tcPr>
            <w:tcW w:w="0" w:type="auto"/>
            <w:hideMark/>
          </w:tcPr>
          <w:p w14:paraId="1AC9AAF8"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DR2</w:t>
            </w:r>
          </w:p>
        </w:tc>
        <w:tc>
          <w:tcPr>
            <w:tcW w:w="0" w:type="auto"/>
            <w:hideMark/>
          </w:tcPr>
          <w:p w14:paraId="45B0B646"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Short-term debt share</w:t>
            </w:r>
          </w:p>
        </w:tc>
        <w:tc>
          <w:tcPr>
            <w:tcW w:w="0" w:type="auto"/>
            <w:hideMark/>
          </w:tcPr>
          <w:p w14:paraId="274D6E87"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Short-term external debt as a share of total external debt; captures maturity and refinancing vulnerability</w:t>
            </w:r>
          </w:p>
        </w:tc>
        <w:tc>
          <w:tcPr>
            <w:tcW w:w="0" w:type="auto"/>
            <w:hideMark/>
          </w:tcPr>
          <w:p w14:paraId="6095F560"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73F356E3"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World Bank IDS/WDI; QEDS fallback</w:t>
            </w:r>
          </w:p>
        </w:tc>
        <w:tc>
          <w:tcPr>
            <w:tcW w:w="0" w:type="auto"/>
            <w:hideMark/>
          </w:tcPr>
          <w:p w14:paraId="59593BB3"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3</w:t>
            </w:r>
          </w:p>
        </w:tc>
      </w:tr>
      <w:tr w:rsidR="00E50C3E" w:rsidRPr="00536301" w14:paraId="51689E7A" w14:textId="77777777" w:rsidTr="00E50C3E">
        <w:tc>
          <w:tcPr>
            <w:tcW w:w="0" w:type="auto"/>
            <w:hideMark/>
          </w:tcPr>
          <w:p w14:paraId="6822AC4D"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1538FE16"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Debt and Remittance Resilience</w:t>
            </w:r>
          </w:p>
        </w:tc>
        <w:tc>
          <w:tcPr>
            <w:tcW w:w="0" w:type="auto"/>
            <w:hideMark/>
          </w:tcPr>
          <w:p w14:paraId="46784BFD"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DR3</w:t>
            </w:r>
          </w:p>
        </w:tc>
        <w:tc>
          <w:tcPr>
            <w:tcW w:w="0" w:type="auto"/>
            <w:hideMark/>
          </w:tcPr>
          <w:p w14:paraId="1007F304"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Remittance stability</w:t>
            </w:r>
          </w:p>
        </w:tc>
        <w:tc>
          <w:tcPr>
            <w:tcW w:w="0" w:type="auto"/>
            <w:hideMark/>
          </w:tcPr>
          <w:p w14:paraId="1C02AC95"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 xml:space="preserve">Stability of remittance inflows over the specified measurement window; </w:t>
            </w:r>
            <w:r w:rsidRPr="00536301">
              <w:rPr>
                <w:rFonts w:ascii="Times New Roman" w:eastAsia="Times New Roman" w:hAnsi="Times New Roman" w:cs="Times New Roman"/>
                <w:kern w:val="0"/>
                <w:lang w:eastAsia="en-GB"/>
                <w14:ligatures w14:val="none"/>
              </w:rPr>
              <w:lastRenderedPageBreak/>
              <w:t>captures reliability of remittances as a source of foreign exchange</w:t>
            </w:r>
          </w:p>
        </w:tc>
        <w:tc>
          <w:tcPr>
            <w:tcW w:w="0" w:type="auto"/>
            <w:hideMark/>
          </w:tcPr>
          <w:p w14:paraId="2DA39896"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lastRenderedPageBreak/>
              <w:t>+</w:t>
            </w:r>
          </w:p>
        </w:tc>
        <w:tc>
          <w:tcPr>
            <w:tcW w:w="0" w:type="auto"/>
            <w:hideMark/>
          </w:tcPr>
          <w:p w14:paraId="78217EC4"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World Bank / KNOMAD</w:t>
            </w:r>
          </w:p>
        </w:tc>
        <w:tc>
          <w:tcPr>
            <w:tcW w:w="0" w:type="auto"/>
            <w:hideMark/>
          </w:tcPr>
          <w:p w14:paraId="380921F6"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3</w:t>
            </w:r>
          </w:p>
        </w:tc>
      </w:tr>
      <w:tr w:rsidR="00E50C3E" w:rsidRPr="00536301" w14:paraId="25E317B6" w14:textId="77777777" w:rsidTr="00E50C3E">
        <w:tc>
          <w:tcPr>
            <w:tcW w:w="0" w:type="auto"/>
            <w:hideMark/>
          </w:tcPr>
          <w:p w14:paraId="35948C6E"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1EDC3732"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Macroeconomic Policy Capacity</w:t>
            </w:r>
          </w:p>
        </w:tc>
        <w:tc>
          <w:tcPr>
            <w:tcW w:w="0" w:type="auto"/>
            <w:hideMark/>
          </w:tcPr>
          <w:p w14:paraId="013E4DD6"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MP1</w:t>
            </w:r>
          </w:p>
        </w:tc>
        <w:tc>
          <w:tcPr>
            <w:tcW w:w="0" w:type="auto"/>
            <w:hideMark/>
          </w:tcPr>
          <w:p w14:paraId="4E3CC7F5"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Inflation stability</w:t>
            </w:r>
          </w:p>
        </w:tc>
        <w:tc>
          <w:tcPr>
            <w:tcW w:w="0" w:type="auto"/>
            <w:hideMark/>
          </w:tcPr>
          <w:p w14:paraId="0CCFEB35"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Stability of domestic inflation over the specified measurement window; greater stability represents stronger macroeconomic adjustment capacity</w:t>
            </w:r>
          </w:p>
        </w:tc>
        <w:tc>
          <w:tcPr>
            <w:tcW w:w="0" w:type="auto"/>
            <w:hideMark/>
          </w:tcPr>
          <w:p w14:paraId="1F7F1018"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68993944"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IMF WEO / World Bank WDI</w:t>
            </w:r>
          </w:p>
        </w:tc>
        <w:tc>
          <w:tcPr>
            <w:tcW w:w="0" w:type="auto"/>
            <w:hideMark/>
          </w:tcPr>
          <w:p w14:paraId="5936C9A8"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3 of 4</w:t>
            </w:r>
          </w:p>
        </w:tc>
      </w:tr>
      <w:tr w:rsidR="00E50C3E" w:rsidRPr="00536301" w14:paraId="2F84BBAE" w14:textId="77777777" w:rsidTr="00E50C3E">
        <w:tc>
          <w:tcPr>
            <w:tcW w:w="0" w:type="auto"/>
            <w:hideMark/>
          </w:tcPr>
          <w:p w14:paraId="14116741"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7AB2DCAF"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Macroeconomic Policy Capacity</w:t>
            </w:r>
          </w:p>
        </w:tc>
        <w:tc>
          <w:tcPr>
            <w:tcW w:w="0" w:type="auto"/>
            <w:hideMark/>
          </w:tcPr>
          <w:p w14:paraId="3AC92EFE"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MP2</w:t>
            </w:r>
          </w:p>
        </w:tc>
        <w:tc>
          <w:tcPr>
            <w:tcW w:w="0" w:type="auto"/>
            <w:hideMark/>
          </w:tcPr>
          <w:p w14:paraId="531CA50F"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Fiscal space</w:t>
            </w:r>
          </w:p>
        </w:tc>
        <w:tc>
          <w:tcPr>
            <w:tcW w:w="0" w:type="auto"/>
            <w:hideMark/>
          </w:tcPr>
          <w:p w14:paraId="0CF501AD"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Indicator of available fiscal policy space derived from the underlying fiscal position</w:t>
            </w:r>
          </w:p>
        </w:tc>
        <w:tc>
          <w:tcPr>
            <w:tcW w:w="0" w:type="auto"/>
            <w:hideMark/>
          </w:tcPr>
          <w:p w14:paraId="2E4DF96E"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0066B18E"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IMF WEO</w:t>
            </w:r>
          </w:p>
        </w:tc>
        <w:tc>
          <w:tcPr>
            <w:tcW w:w="0" w:type="auto"/>
            <w:hideMark/>
          </w:tcPr>
          <w:p w14:paraId="7EB637B9"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3 of 4</w:t>
            </w:r>
          </w:p>
        </w:tc>
      </w:tr>
      <w:tr w:rsidR="00E50C3E" w:rsidRPr="00536301" w14:paraId="79437730" w14:textId="77777777" w:rsidTr="00E50C3E">
        <w:tc>
          <w:tcPr>
            <w:tcW w:w="0" w:type="auto"/>
            <w:hideMark/>
          </w:tcPr>
          <w:p w14:paraId="1220D3A9"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1064BEE2"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Macroeconomic Policy Capacity</w:t>
            </w:r>
          </w:p>
        </w:tc>
        <w:tc>
          <w:tcPr>
            <w:tcW w:w="0" w:type="auto"/>
            <w:hideMark/>
          </w:tcPr>
          <w:p w14:paraId="03FB9855"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MP3</w:t>
            </w:r>
          </w:p>
        </w:tc>
        <w:tc>
          <w:tcPr>
            <w:tcW w:w="0" w:type="auto"/>
            <w:hideMark/>
          </w:tcPr>
          <w:p w14:paraId="660F9924"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National savings</w:t>
            </w:r>
          </w:p>
        </w:tc>
        <w:tc>
          <w:tcPr>
            <w:tcW w:w="0" w:type="auto"/>
            <w:hideMark/>
          </w:tcPr>
          <w:p w14:paraId="7F72F6FB"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Gross national savings relative to GDP; captures domestic resources available to support investment and adjustment</w:t>
            </w:r>
          </w:p>
        </w:tc>
        <w:tc>
          <w:tcPr>
            <w:tcW w:w="0" w:type="auto"/>
            <w:hideMark/>
          </w:tcPr>
          <w:p w14:paraId="7879F384"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79800436"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IMF WEO / World Bank</w:t>
            </w:r>
          </w:p>
        </w:tc>
        <w:tc>
          <w:tcPr>
            <w:tcW w:w="0" w:type="auto"/>
            <w:hideMark/>
          </w:tcPr>
          <w:p w14:paraId="3F2E9629"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3 of 4</w:t>
            </w:r>
          </w:p>
        </w:tc>
      </w:tr>
      <w:tr w:rsidR="00E50C3E" w:rsidRPr="00536301" w14:paraId="5DACC14A" w14:textId="77777777" w:rsidTr="00E50C3E">
        <w:tc>
          <w:tcPr>
            <w:tcW w:w="0" w:type="auto"/>
            <w:hideMark/>
          </w:tcPr>
          <w:p w14:paraId="2C40538A"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3AD1AC93"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Macroeconomic Policy Capacity</w:t>
            </w:r>
          </w:p>
        </w:tc>
        <w:tc>
          <w:tcPr>
            <w:tcW w:w="0" w:type="auto"/>
            <w:hideMark/>
          </w:tcPr>
          <w:p w14:paraId="18D65C45"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MP4</w:t>
            </w:r>
          </w:p>
        </w:tc>
        <w:tc>
          <w:tcPr>
            <w:tcW w:w="0" w:type="auto"/>
            <w:hideMark/>
          </w:tcPr>
          <w:p w14:paraId="729E86E0"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Growth resilience</w:t>
            </w:r>
          </w:p>
        </w:tc>
        <w:tc>
          <w:tcPr>
            <w:tcW w:w="0" w:type="auto"/>
            <w:hideMark/>
          </w:tcPr>
          <w:p w14:paraId="46A927FA"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Stability/recovery of real economic growth over the specified measurement window</w:t>
            </w:r>
          </w:p>
        </w:tc>
        <w:tc>
          <w:tcPr>
            <w:tcW w:w="0" w:type="auto"/>
            <w:hideMark/>
          </w:tcPr>
          <w:p w14:paraId="626F6B2C"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676F7084"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IMF WEO / World Bank WDI</w:t>
            </w:r>
          </w:p>
        </w:tc>
        <w:tc>
          <w:tcPr>
            <w:tcW w:w="0" w:type="auto"/>
            <w:hideMark/>
          </w:tcPr>
          <w:p w14:paraId="393C699F"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3 of 4</w:t>
            </w:r>
          </w:p>
        </w:tc>
      </w:tr>
      <w:tr w:rsidR="00E50C3E" w:rsidRPr="00536301" w14:paraId="5A1FB031" w14:textId="77777777" w:rsidTr="00E50C3E">
        <w:tc>
          <w:tcPr>
            <w:tcW w:w="0" w:type="auto"/>
            <w:hideMark/>
          </w:tcPr>
          <w:p w14:paraId="47802D7E"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1B5E0D0C"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Productive and Institutional Adaptability</w:t>
            </w:r>
          </w:p>
        </w:tc>
        <w:tc>
          <w:tcPr>
            <w:tcW w:w="0" w:type="auto"/>
            <w:hideMark/>
          </w:tcPr>
          <w:p w14:paraId="022749C6"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PA1</w:t>
            </w:r>
          </w:p>
        </w:tc>
        <w:tc>
          <w:tcPr>
            <w:tcW w:w="0" w:type="auto"/>
            <w:hideMark/>
          </w:tcPr>
          <w:p w14:paraId="3845DE30"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Economic complexity</w:t>
            </w:r>
          </w:p>
        </w:tc>
        <w:tc>
          <w:tcPr>
            <w:tcW w:w="0" w:type="auto"/>
            <w:hideMark/>
          </w:tcPr>
          <w:p w14:paraId="6B69A630"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 xml:space="preserve">Economic Complexity Index; captures the diversity and sophistication </w:t>
            </w:r>
            <w:r w:rsidRPr="00536301">
              <w:rPr>
                <w:rFonts w:ascii="Times New Roman" w:eastAsia="Times New Roman" w:hAnsi="Times New Roman" w:cs="Times New Roman"/>
                <w:kern w:val="0"/>
                <w:lang w:eastAsia="en-GB"/>
                <w14:ligatures w14:val="none"/>
              </w:rPr>
              <w:lastRenderedPageBreak/>
              <w:t>of productive capabilities embodied in exports</w:t>
            </w:r>
          </w:p>
        </w:tc>
        <w:tc>
          <w:tcPr>
            <w:tcW w:w="0" w:type="auto"/>
            <w:hideMark/>
          </w:tcPr>
          <w:p w14:paraId="4F196C9C"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lastRenderedPageBreak/>
              <w:t>+</w:t>
            </w:r>
          </w:p>
        </w:tc>
        <w:tc>
          <w:tcPr>
            <w:tcW w:w="0" w:type="auto"/>
            <w:hideMark/>
          </w:tcPr>
          <w:p w14:paraId="1D68692D"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Atlas of Economic Complexity</w:t>
            </w:r>
          </w:p>
        </w:tc>
        <w:tc>
          <w:tcPr>
            <w:tcW w:w="0" w:type="auto"/>
            <w:hideMark/>
          </w:tcPr>
          <w:p w14:paraId="4997A848"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3</w:t>
            </w:r>
          </w:p>
        </w:tc>
      </w:tr>
      <w:tr w:rsidR="00E50C3E" w:rsidRPr="00536301" w14:paraId="7FFE72CF" w14:textId="77777777" w:rsidTr="00E50C3E">
        <w:tc>
          <w:tcPr>
            <w:tcW w:w="0" w:type="auto"/>
            <w:hideMark/>
          </w:tcPr>
          <w:p w14:paraId="0CB72012"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685604F7"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Productive and Institutional Adaptability</w:t>
            </w:r>
          </w:p>
        </w:tc>
        <w:tc>
          <w:tcPr>
            <w:tcW w:w="0" w:type="auto"/>
            <w:hideMark/>
          </w:tcPr>
          <w:p w14:paraId="47095AEF"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PA2</w:t>
            </w:r>
          </w:p>
        </w:tc>
        <w:tc>
          <w:tcPr>
            <w:tcW w:w="0" w:type="auto"/>
            <w:hideMark/>
          </w:tcPr>
          <w:p w14:paraId="4CF26F8B"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Sectoral diversification</w:t>
            </w:r>
          </w:p>
        </w:tc>
        <w:tc>
          <w:tcPr>
            <w:tcW w:w="0" w:type="auto"/>
            <w:hideMark/>
          </w:tcPr>
          <w:p w14:paraId="0BAE16D8"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Diversification of economic activity across productive sectors; higher values indicate a broader productive base</w:t>
            </w:r>
          </w:p>
        </w:tc>
        <w:tc>
          <w:tcPr>
            <w:tcW w:w="0" w:type="auto"/>
            <w:hideMark/>
          </w:tcPr>
          <w:p w14:paraId="30AF0CCC"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468ACE04"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World Bank / UNCTAD</w:t>
            </w:r>
          </w:p>
        </w:tc>
        <w:tc>
          <w:tcPr>
            <w:tcW w:w="0" w:type="auto"/>
            <w:hideMark/>
          </w:tcPr>
          <w:p w14:paraId="560E5C79"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3</w:t>
            </w:r>
          </w:p>
        </w:tc>
      </w:tr>
      <w:tr w:rsidR="00E50C3E" w:rsidRPr="00536301" w14:paraId="58023A18" w14:textId="77777777" w:rsidTr="00E50C3E">
        <w:tc>
          <w:tcPr>
            <w:tcW w:w="0" w:type="auto"/>
            <w:hideMark/>
          </w:tcPr>
          <w:p w14:paraId="5F875BC5"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66D8760C"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Productive and Institutional Adaptability</w:t>
            </w:r>
          </w:p>
        </w:tc>
        <w:tc>
          <w:tcPr>
            <w:tcW w:w="0" w:type="auto"/>
            <w:hideMark/>
          </w:tcPr>
          <w:p w14:paraId="19359044"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PA3</w:t>
            </w:r>
          </w:p>
        </w:tc>
        <w:tc>
          <w:tcPr>
            <w:tcW w:w="0" w:type="auto"/>
            <w:hideMark/>
          </w:tcPr>
          <w:p w14:paraId="36EC3561"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Institutional quality</w:t>
            </w:r>
          </w:p>
        </w:tc>
        <w:tc>
          <w:tcPr>
            <w:tcW w:w="0" w:type="auto"/>
            <w:hideMark/>
          </w:tcPr>
          <w:p w14:paraId="1EC89851"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Composite measure of institutional and governance quality relevant to policy implementation and adaptation</w:t>
            </w:r>
          </w:p>
        </w:tc>
        <w:tc>
          <w:tcPr>
            <w:tcW w:w="0" w:type="auto"/>
            <w:hideMark/>
          </w:tcPr>
          <w:p w14:paraId="1088193F"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503D33BE"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World Bank WGI</w:t>
            </w:r>
          </w:p>
        </w:tc>
        <w:tc>
          <w:tcPr>
            <w:tcW w:w="0" w:type="auto"/>
            <w:hideMark/>
          </w:tcPr>
          <w:p w14:paraId="56F6E028" w14:textId="77777777" w:rsidR="00E50C3E" w:rsidRPr="00536301" w:rsidRDefault="00E50C3E" w:rsidP="00E50C3E">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 of 3</w:t>
            </w:r>
          </w:p>
        </w:tc>
      </w:tr>
    </w:tbl>
    <w:p w14:paraId="687B8335" w14:textId="149807E0" w:rsidR="00E50C3E" w:rsidRPr="00536301" w:rsidRDefault="00E50C3E" w:rsidP="00C63126">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Notes:</w:t>
      </w:r>
      <w:r w:rsidRPr="00536301">
        <w:rPr>
          <w:rFonts w:ascii="Times New Roman" w:eastAsia="Times New Roman" w:hAnsi="Times New Roman" w:cs="Times New Roman"/>
          <w:kern w:val="0"/>
          <w:lang w:eastAsia="en-GB"/>
          <w14:ligatures w14:val="none"/>
        </w:rPr>
        <w:t xml:space="preserve"> BR = Buffer Resilience; SAR = Structural-Adaptive Resilience. “+” indicates that higher raw values correspond to greater resilience; “−” indicates that higher raw values correspond to lower resilience. Negative-direction indicators are reverse-oriented during normalization. Pillar scores are equal-weight means of available normalized indicators only when the stated minimum coverage threshold is satisfied. No missing raw observations are statistically imputed or interpolated. The headline ERI is calculated only when all seven pillars are valid. All indicators are normalized to </w:t>
      </w:r>
      <w:r w:rsidR="003838F4" w:rsidRPr="00536301">
        <w:rPr>
          <w:rStyle w:val="mopen"/>
          <w:rFonts w:ascii="Times New Roman" w:hAnsi="Times New Roman" w:cs="Times New Roman"/>
        </w:rPr>
        <w:t>[</w:t>
      </w:r>
      <w:r w:rsidR="003838F4" w:rsidRPr="00536301">
        <w:rPr>
          <w:rStyle w:val="mord"/>
          <w:rFonts w:ascii="Times New Roman" w:hAnsi="Times New Roman" w:cs="Times New Roman"/>
        </w:rPr>
        <w:t>0</w:t>
      </w:r>
      <w:r w:rsidR="003838F4" w:rsidRPr="00536301">
        <w:rPr>
          <w:rStyle w:val="mpunct"/>
          <w:rFonts w:ascii="Times New Roman" w:hAnsi="Times New Roman" w:cs="Times New Roman"/>
        </w:rPr>
        <w:t>,</w:t>
      </w:r>
      <w:r w:rsidR="003838F4" w:rsidRPr="00536301">
        <w:rPr>
          <w:rStyle w:val="mord"/>
          <w:rFonts w:ascii="Times New Roman" w:hAnsi="Times New Roman" w:cs="Times New Roman"/>
        </w:rPr>
        <w:t>1</w:t>
      </w:r>
      <w:r w:rsidR="003838F4" w:rsidRPr="00536301">
        <w:rPr>
          <w:rStyle w:val="mclose"/>
          <w:rFonts w:ascii="Times New Roman" w:hAnsi="Times New Roman" w:cs="Times New Roman"/>
        </w:rPr>
        <w:t>]</w:t>
      </w:r>
      <w:r w:rsidRPr="00536301">
        <w:rPr>
          <w:rFonts w:ascii="Times New Roman" w:eastAsia="Times New Roman" w:hAnsi="Times New Roman" w:cs="Times New Roman"/>
          <w:kern w:val="0"/>
          <w:lang w:eastAsia="en-GB"/>
          <w14:ligatures w14:val="none"/>
        </w:rPr>
        <w:t xml:space="preserve">using fixed 1st- and 99th-percentile bounds estimated exclusively from the 1998–2010 calibration sample and applied unchanged through 2024. </w:t>
      </w:r>
    </w:p>
    <w:p w14:paraId="09A16BEE" w14:textId="3E0986B1" w:rsidR="000E1B9B" w:rsidRPr="00536301" w:rsidRDefault="000E1B9B">
      <w:pPr>
        <w:rPr>
          <w:rFonts w:ascii="Times New Roman" w:hAnsi="Times New Roman" w:cs="Times New Roman"/>
          <w:lang w:val="en-GB"/>
        </w:rPr>
      </w:pPr>
      <w:r w:rsidRPr="00536301">
        <w:rPr>
          <w:rFonts w:ascii="Times New Roman" w:hAnsi="Times New Roman" w:cs="Times New Roman"/>
          <w:lang w:val="en-GB"/>
        </w:rPr>
        <w:br w:type="page"/>
      </w:r>
    </w:p>
    <w:p w14:paraId="71F9FFF8" w14:textId="77777777" w:rsidR="000E1B9B" w:rsidRPr="00536301" w:rsidRDefault="000E1B9B" w:rsidP="000E1B9B">
      <w:pPr>
        <w:spacing w:before="100" w:beforeAutospacing="1" w:after="100" w:afterAutospacing="1" w:line="240" w:lineRule="auto"/>
        <w:outlineLvl w:val="0"/>
        <w:rPr>
          <w:rFonts w:ascii="Times New Roman" w:eastAsia="Times New Roman" w:hAnsi="Times New Roman" w:cs="Times New Roman"/>
          <w:b/>
          <w:bCs/>
          <w:kern w:val="36"/>
          <w:lang w:eastAsia="en-GB"/>
          <w14:ligatures w14:val="none"/>
        </w:rPr>
      </w:pPr>
      <w:r w:rsidRPr="00536301">
        <w:rPr>
          <w:rFonts w:ascii="Times New Roman" w:eastAsia="Times New Roman" w:hAnsi="Times New Roman" w:cs="Times New Roman"/>
          <w:b/>
          <w:bCs/>
          <w:kern w:val="36"/>
          <w:lang w:eastAsia="en-GB"/>
          <w14:ligatures w14:val="none"/>
        </w:rPr>
        <w:lastRenderedPageBreak/>
        <w:t>Appendix B. Fixed Normalization Parameters and Calibration Bounds</w:t>
      </w:r>
    </w:p>
    <w:p w14:paraId="1EDDB8B1" w14:textId="77777777" w:rsidR="000E1B9B" w:rsidRPr="00536301" w:rsidRDefault="000E1B9B" w:rsidP="000E1B9B">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Table B1. ERI Fixed-Reference Normalization Parameters, 1998–2010</w:t>
      </w:r>
    </w:p>
    <w:tbl>
      <w:tblPr>
        <w:tblStyle w:val="TableGrid"/>
        <w:tblW w:w="0" w:type="auto"/>
        <w:tblLook w:val="04A0" w:firstRow="1" w:lastRow="0" w:firstColumn="1" w:lastColumn="0" w:noHBand="0" w:noVBand="1"/>
      </w:tblPr>
      <w:tblGrid>
        <w:gridCol w:w="1173"/>
        <w:gridCol w:w="718"/>
        <w:gridCol w:w="683"/>
        <w:gridCol w:w="1429"/>
        <w:gridCol w:w="1056"/>
        <w:gridCol w:w="1254"/>
        <w:gridCol w:w="1332"/>
        <w:gridCol w:w="1371"/>
      </w:tblGrid>
      <w:tr w:rsidR="000E1B9B" w:rsidRPr="00536301" w14:paraId="24780C0D" w14:textId="77777777" w:rsidTr="00AC2431">
        <w:tc>
          <w:tcPr>
            <w:tcW w:w="0" w:type="auto"/>
            <w:hideMark/>
          </w:tcPr>
          <w:p w14:paraId="3B0331D9" w14:textId="77777777" w:rsidR="000E1B9B" w:rsidRPr="00536301" w:rsidRDefault="000E1B9B" w:rsidP="000E1B9B">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Dimension</w:t>
            </w:r>
          </w:p>
        </w:tc>
        <w:tc>
          <w:tcPr>
            <w:tcW w:w="0" w:type="auto"/>
            <w:hideMark/>
          </w:tcPr>
          <w:p w14:paraId="049C199E" w14:textId="77777777" w:rsidR="000E1B9B" w:rsidRPr="00536301" w:rsidRDefault="000E1B9B" w:rsidP="000E1B9B">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Pillar</w:t>
            </w:r>
          </w:p>
        </w:tc>
        <w:tc>
          <w:tcPr>
            <w:tcW w:w="0" w:type="auto"/>
            <w:hideMark/>
          </w:tcPr>
          <w:p w14:paraId="738F7652" w14:textId="77777777" w:rsidR="000E1B9B" w:rsidRPr="00536301" w:rsidRDefault="000E1B9B" w:rsidP="000E1B9B">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Code</w:t>
            </w:r>
          </w:p>
        </w:tc>
        <w:tc>
          <w:tcPr>
            <w:tcW w:w="0" w:type="auto"/>
            <w:hideMark/>
          </w:tcPr>
          <w:p w14:paraId="61BB2345" w14:textId="77777777" w:rsidR="000E1B9B" w:rsidRPr="00536301" w:rsidRDefault="000E1B9B" w:rsidP="000E1B9B">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Indicator</w:t>
            </w:r>
          </w:p>
        </w:tc>
        <w:tc>
          <w:tcPr>
            <w:tcW w:w="0" w:type="auto"/>
            <w:hideMark/>
          </w:tcPr>
          <w:p w14:paraId="6344F517" w14:textId="77777777" w:rsidR="000E1B9B" w:rsidRPr="00536301" w:rsidRDefault="000E1B9B" w:rsidP="000E1B9B">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Direction</w:t>
            </w:r>
          </w:p>
        </w:tc>
        <w:tc>
          <w:tcPr>
            <w:tcW w:w="0" w:type="auto"/>
            <w:hideMark/>
          </w:tcPr>
          <w:p w14:paraId="677B6A31" w14:textId="77777777" w:rsidR="000E1B9B" w:rsidRPr="00536301" w:rsidRDefault="000E1B9B" w:rsidP="000E1B9B">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Calibration N</w:t>
            </w:r>
          </w:p>
        </w:tc>
        <w:tc>
          <w:tcPr>
            <w:tcW w:w="0" w:type="auto"/>
            <w:hideMark/>
          </w:tcPr>
          <w:p w14:paraId="04A5B6CA" w14:textId="77777777" w:rsidR="000E1B9B" w:rsidRPr="00536301" w:rsidRDefault="000E1B9B" w:rsidP="000E1B9B">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P1 lower bound</w:t>
            </w:r>
          </w:p>
        </w:tc>
        <w:tc>
          <w:tcPr>
            <w:tcW w:w="0" w:type="auto"/>
            <w:hideMark/>
          </w:tcPr>
          <w:p w14:paraId="646226D1" w14:textId="77777777" w:rsidR="000E1B9B" w:rsidRPr="00536301" w:rsidRDefault="000E1B9B" w:rsidP="000E1B9B">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P99 upper bound</w:t>
            </w:r>
          </w:p>
        </w:tc>
      </w:tr>
      <w:tr w:rsidR="000E1B9B" w:rsidRPr="00536301" w14:paraId="22D7B4F4" w14:textId="77777777" w:rsidTr="00AC2431">
        <w:tc>
          <w:tcPr>
            <w:tcW w:w="0" w:type="auto"/>
            <w:hideMark/>
          </w:tcPr>
          <w:p w14:paraId="2C730652"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BR</w:t>
            </w:r>
          </w:p>
        </w:tc>
        <w:tc>
          <w:tcPr>
            <w:tcW w:w="0" w:type="auto"/>
            <w:hideMark/>
          </w:tcPr>
          <w:p w14:paraId="53C64916"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LQ</w:t>
            </w:r>
          </w:p>
        </w:tc>
        <w:tc>
          <w:tcPr>
            <w:tcW w:w="0" w:type="auto"/>
            <w:hideMark/>
          </w:tcPr>
          <w:p w14:paraId="78EEADE6"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LQ1</w:t>
            </w:r>
          </w:p>
        </w:tc>
        <w:tc>
          <w:tcPr>
            <w:tcW w:w="0" w:type="auto"/>
            <w:hideMark/>
          </w:tcPr>
          <w:p w14:paraId="779259BF"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Import-cover adequacy</w:t>
            </w:r>
          </w:p>
        </w:tc>
        <w:tc>
          <w:tcPr>
            <w:tcW w:w="0" w:type="auto"/>
            <w:hideMark/>
          </w:tcPr>
          <w:p w14:paraId="4489E4B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7917B20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1,978</w:t>
            </w:r>
          </w:p>
        </w:tc>
        <w:tc>
          <w:tcPr>
            <w:tcW w:w="0" w:type="auto"/>
            <w:hideMark/>
          </w:tcPr>
          <w:p w14:paraId="1D15417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0.081467</w:t>
            </w:r>
          </w:p>
        </w:tc>
        <w:tc>
          <w:tcPr>
            <w:tcW w:w="0" w:type="auto"/>
            <w:hideMark/>
          </w:tcPr>
          <w:p w14:paraId="537DF97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25.404398</w:t>
            </w:r>
          </w:p>
        </w:tc>
      </w:tr>
      <w:tr w:rsidR="000E1B9B" w:rsidRPr="00536301" w14:paraId="690F1C6E" w14:textId="77777777" w:rsidTr="00AC2431">
        <w:tc>
          <w:tcPr>
            <w:tcW w:w="0" w:type="auto"/>
            <w:hideMark/>
          </w:tcPr>
          <w:p w14:paraId="4845B800"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BR</w:t>
            </w:r>
          </w:p>
        </w:tc>
        <w:tc>
          <w:tcPr>
            <w:tcW w:w="0" w:type="auto"/>
            <w:hideMark/>
          </w:tcPr>
          <w:p w14:paraId="35B0BD27"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LQ</w:t>
            </w:r>
          </w:p>
        </w:tc>
        <w:tc>
          <w:tcPr>
            <w:tcW w:w="0" w:type="auto"/>
            <w:hideMark/>
          </w:tcPr>
          <w:p w14:paraId="5855633F"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LQ2</w:t>
            </w:r>
          </w:p>
        </w:tc>
        <w:tc>
          <w:tcPr>
            <w:tcW w:w="0" w:type="auto"/>
            <w:hideMark/>
          </w:tcPr>
          <w:p w14:paraId="5ECD5F2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Short-term external debt / reserves</w:t>
            </w:r>
          </w:p>
        </w:tc>
        <w:tc>
          <w:tcPr>
            <w:tcW w:w="0" w:type="auto"/>
            <w:hideMark/>
          </w:tcPr>
          <w:p w14:paraId="07C8FB6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446208F2"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1,341</w:t>
            </w:r>
          </w:p>
        </w:tc>
        <w:tc>
          <w:tcPr>
            <w:tcW w:w="0" w:type="auto"/>
            <w:hideMark/>
          </w:tcPr>
          <w:p w14:paraId="7FFDF3EB"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0.000000</w:t>
            </w:r>
          </w:p>
        </w:tc>
        <w:tc>
          <w:tcPr>
            <w:tcW w:w="0" w:type="auto"/>
            <w:hideMark/>
          </w:tcPr>
          <w:p w14:paraId="4C836D90"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4,310.871160</w:t>
            </w:r>
          </w:p>
        </w:tc>
      </w:tr>
      <w:tr w:rsidR="000E1B9B" w:rsidRPr="00536301" w14:paraId="7AAFAFC7" w14:textId="77777777" w:rsidTr="00AC2431">
        <w:tc>
          <w:tcPr>
            <w:tcW w:w="0" w:type="auto"/>
            <w:hideMark/>
          </w:tcPr>
          <w:p w14:paraId="03C2901E"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BR</w:t>
            </w:r>
          </w:p>
        </w:tc>
        <w:tc>
          <w:tcPr>
            <w:tcW w:w="0" w:type="auto"/>
            <w:hideMark/>
          </w:tcPr>
          <w:p w14:paraId="5A1F6E71"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BS</w:t>
            </w:r>
          </w:p>
        </w:tc>
        <w:tc>
          <w:tcPr>
            <w:tcW w:w="0" w:type="auto"/>
            <w:hideMark/>
          </w:tcPr>
          <w:p w14:paraId="02DCD0F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BS1</w:t>
            </w:r>
          </w:p>
        </w:tc>
        <w:tc>
          <w:tcPr>
            <w:tcW w:w="0" w:type="auto"/>
            <w:hideMark/>
          </w:tcPr>
          <w:p w14:paraId="6C48C35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NIIP / GDP</w:t>
            </w:r>
          </w:p>
        </w:tc>
        <w:tc>
          <w:tcPr>
            <w:tcW w:w="0" w:type="auto"/>
            <w:hideMark/>
          </w:tcPr>
          <w:p w14:paraId="3E7A718B"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7A62ADD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1,421</w:t>
            </w:r>
          </w:p>
        </w:tc>
        <w:tc>
          <w:tcPr>
            <w:tcW w:w="0" w:type="auto"/>
            <w:hideMark/>
          </w:tcPr>
          <w:p w14:paraId="36B43B32"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−164.531857</w:t>
            </w:r>
          </w:p>
        </w:tc>
        <w:tc>
          <w:tcPr>
            <w:tcW w:w="0" w:type="auto"/>
            <w:hideMark/>
          </w:tcPr>
          <w:p w14:paraId="3B4FAD1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299.314202</w:t>
            </w:r>
          </w:p>
        </w:tc>
      </w:tr>
      <w:tr w:rsidR="000E1B9B" w:rsidRPr="00536301" w14:paraId="19833E0C" w14:textId="77777777" w:rsidTr="00AC2431">
        <w:tc>
          <w:tcPr>
            <w:tcW w:w="0" w:type="auto"/>
            <w:hideMark/>
          </w:tcPr>
          <w:p w14:paraId="40F76B7D"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BR</w:t>
            </w:r>
          </w:p>
        </w:tc>
        <w:tc>
          <w:tcPr>
            <w:tcW w:w="0" w:type="auto"/>
            <w:hideMark/>
          </w:tcPr>
          <w:p w14:paraId="6EE38089"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BS</w:t>
            </w:r>
          </w:p>
        </w:tc>
        <w:tc>
          <w:tcPr>
            <w:tcW w:w="0" w:type="auto"/>
            <w:hideMark/>
          </w:tcPr>
          <w:p w14:paraId="28C6F7B7"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BS2</w:t>
            </w:r>
          </w:p>
        </w:tc>
        <w:tc>
          <w:tcPr>
            <w:tcW w:w="0" w:type="auto"/>
            <w:hideMark/>
          </w:tcPr>
          <w:p w14:paraId="7419E931"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assets / GDP</w:t>
            </w:r>
          </w:p>
        </w:tc>
        <w:tc>
          <w:tcPr>
            <w:tcW w:w="0" w:type="auto"/>
            <w:hideMark/>
          </w:tcPr>
          <w:p w14:paraId="2113E21B"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12D5EF77"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1,423</w:t>
            </w:r>
          </w:p>
        </w:tc>
        <w:tc>
          <w:tcPr>
            <w:tcW w:w="0" w:type="auto"/>
            <w:hideMark/>
          </w:tcPr>
          <w:p w14:paraId="345070E9"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5.824740</w:t>
            </w:r>
          </w:p>
        </w:tc>
        <w:tc>
          <w:tcPr>
            <w:tcW w:w="0" w:type="auto"/>
            <w:hideMark/>
          </w:tcPr>
          <w:p w14:paraId="0D087BD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1,670.484547</w:t>
            </w:r>
          </w:p>
        </w:tc>
      </w:tr>
      <w:tr w:rsidR="000E1B9B" w:rsidRPr="00536301" w14:paraId="4965D4BB" w14:textId="77777777" w:rsidTr="00AC2431">
        <w:tc>
          <w:tcPr>
            <w:tcW w:w="0" w:type="auto"/>
            <w:hideMark/>
          </w:tcPr>
          <w:p w14:paraId="5AF0178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47C315E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FN</w:t>
            </w:r>
          </w:p>
        </w:tc>
        <w:tc>
          <w:tcPr>
            <w:tcW w:w="0" w:type="auto"/>
            <w:hideMark/>
          </w:tcPr>
          <w:p w14:paraId="222BBE19"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FN1</w:t>
            </w:r>
          </w:p>
        </w:tc>
        <w:tc>
          <w:tcPr>
            <w:tcW w:w="0" w:type="auto"/>
            <w:hideMark/>
          </w:tcPr>
          <w:p w14:paraId="032878A3"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FDI share of positive external inflows</w:t>
            </w:r>
          </w:p>
        </w:tc>
        <w:tc>
          <w:tcPr>
            <w:tcW w:w="0" w:type="auto"/>
            <w:hideMark/>
          </w:tcPr>
          <w:p w14:paraId="42A8B77E"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5D94320B"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2,081</w:t>
            </w:r>
          </w:p>
        </w:tc>
        <w:tc>
          <w:tcPr>
            <w:tcW w:w="0" w:type="auto"/>
            <w:hideMark/>
          </w:tcPr>
          <w:p w14:paraId="1950B59A"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0.000000</w:t>
            </w:r>
          </w:p>
        </w:tc>
        <w:tc>
          <w:tcPr>
            <w:tcW w:w="0" w:type="auto"/>
            <w:hideMark/>
          </w:tcPr>
          <w:p w14:paraId="4853941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1.000000</w:t>
            </w:r>
          </w:p>
        </w:tc>
      </w:tr>
      <w:tr w:rsidR="000E1B9B" w:rsidRPr="00536301" w14:paraId="6C1B504B" w14:textId="77777777" w:rsidTr="00AC2431">
        <w:tc>
          <w:tcPr>
            <w:tcW w:w="0" w:type="auto"/>
            <w:hideMark/>
          </w:tcPr>
          <w:p w14:paraId="629EEC9D"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05E8255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FN</w:t>
            </w:r>
          </w:p>
        </w:tc>
        <w:tc>
          <w:tcPr>
            <w:tcW w:w="0" w:type="auto"/>
            <w:hideMark/>
          </w:tcPr>
          <w:p w14:paraId="35ED606F"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FN2</w:t>
            </w:r>
          </w:p>
        </w:tc>
        <w:tc>
          <w:tcPr>
            <w:tcW w:w="0" w:type="auto"/>
            <w:hideMark/>
          </w:tcPr>
          <w:p w14:paraId="6E99566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Five-year volatility of unstable financing share</w:t>
            </w:r>
          </w:p>
        </w:tc>
        <w:tc>
          <w:tcPr>
            <w:tcW w:w="0" w:type="auto"/>
            <w:hideMark/>
          </w:tcPr>
          <w:p w14:paraId="0B9432E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4F71125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1,730</w:t>
            </w:r>
          </w:p>
        </w:tc>
        <w:tc>
          <w:tcPr>
            <w:tcW w:w="0" w:type="auto"/>
            <w:hideMark/>
          </w:tcPr>
          <w:p w14:paraId="3FD998AE"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0.000000</w:t>
            </w:r>
          </w:p>
        </w:tc>
        <w:tc>
          <w:tcPr>
            <w:tcW w:w="0" w:type="auto"/>
            <w:hideMark/>
          </w:tcPr>
          <w:p w14:paraId="19C3157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0.463737</w:t>
            </w:r>
          </w:p>
        </w:tc>
      </w:tr>
      <w:tr w:rsidR="000E1B9B" w:rsidRPr="00536301" w14:paraId="60FCEFF8" w14:textId="77777777" w:rsidTr="00AC2431">
        <w:tc>
          <w:tcPr>
            <w:tcW w:w="0" w:type="auto"/>
            <w:hideMark/>
          </w:tcPr>
          <w:p w14:paraId="6EE433D2"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43A4F2C1"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FN</w:t>
            </w:r>
          </w:p>
        </w:tc>
        <w:tc>
          <w:tcPr>
            <w:tcW w:w="0" w:type="auto"/>
            <w:hideMark/>
          </w:tcPr>
          <w:p w14:paraId="2A01AC82"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FN3</w:t>
            </w:r>
          </w:p>
        </w:tc>
        <w:tc>
          <w:tcPr>
            <w:tcW w:w="0" w:type="auto"/>
            <w:hideMark/>
          </w:tcPr>
          <w:p w14:paraId="1D43BB4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Current-account position</w:t>
            </w:r>
          </w:p>
        </w:tc>
        <w:tc>
          <w:tcPr>
            <w:tcW w:w="0" w:type="auto"/>
            <w:hideMark/>
          </w:tcPr>
          <w:p w14:paraId="4A73D07B"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5811E20A"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2,341</w:t>
            </w:r>
          </w:p>
        </w:tc>
        <w:tc>
          <w:tcPr>
            <w:tcW w:w="0" w:type="auto"/>
            <w:hideMark/>
          </w:tcPr>
          <w:p w14:paraId="41196DED"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−29.895400</w:t>
            </w:r>
          </w:p>
        </w:tc>
        <w:tc>
          <w:tcPr>
            <w:tcW w:w="0" w:type="auto"/>
            <w:hideMark/>
          </w:tcPr>
          <w:p w14:paraId="079B043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41.035400</w:t>
            </w:r>
          </w:p>
        </w:tc>
      </w:tr>
      <w:tr w:rsidR="000E1B9B" w:rsidRPr="00536301" w14:paraId="4ADF5740" w14:textId="77777777" w:rsidTr="00AC2431">
        <w:tc>
          <w:tcPr>
            <w:tcW w:w="0" w:type="auto"/>
            <w:hideMark/>
          </w:tcPr>
          <w:p w14:paraId="628ED5F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1CB3022E"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TR</w:t>
            </w:r>
          </w:p>
        </w:tc>
        <w:tc>
          <w:tcPr>
            <w:tcW w:w="0" w:type="auto"/>
            <w:hideMark/>
          </w:tcPr>
          <w:p w14:paraId="1A6760F3"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TR1</w:t>
            </w:r>
          </w:p>
        </w:tc>
        <w:tc>
          <w:tcPr>
            <w:tcW w:w="0" w:type="auto"/>
            <w:hideMark/>
          </w:tcPr>
          <w:p w14:paraId="0AFF13A3"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Export diversification</w:t>
            </w:r>
          </w:p>
        </w:tc>
        <w:tc>
          <w:tcPr>
            <w:tcW w:w="0" w:type="auto"/>
            <w:hideMark/>
          </w:tcPr>
          <w:p w14:paraId="76A1010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19B10E7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2,477</w:t>
            </w:r>
          </w:p>
        </w:tc>
        <w:tc>
          <w:tcPr>
            <w:tcW w:w="0" w:type="auto"/>
            <w:hideMark/>
          </w:tcPr>
          <w:p w14:paraId="388573A7"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0.072941</w:t>
            </w:r>
          </w:p>
        </w:tc>
        <w:tc>
          <w:tcPr>
            <w:tcW w:w="0" w:type="auto"/>
            <w:hideMark/>
          </w:tcPr>
          <w:p w14:paraId="72B2A7E1"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0.930857</w:t>
            </w:r>
          </w:p>
        </w:tc>
      </w:tr>
      <w:tr w:rsidR="000E1B9B" w:rsidRPr="00536301" w14:paraId="3C7807FC" w14:textId="77777777" w:rsidTr="00AC2431">
        <w:tc>
          <w:tcPr>
            <w:tcW w:w="0" w:type="auto"/>
            <w:hideMark/>
          </w:tcPr>
          <w:p w14:paraId="75231D7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5F2E8206"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TR</w:t>
            </w:r>
          </w:p>
        </w:tc>
        <w:tc>
          <w:tcPr>
            <w:tcW w:w="0" w:type="auto"/>
            <w:hideMark/>
          </w:tcPr>
          <w:p w14:paraId="163EFC92"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TR3</w:t>
            </w:r>
          </w:p>
        </w:tc>
        <w:tc>
          <w:tcPr>
            <w:tcW w:w="0" w:type="auto"/>
            <w:hideMark/>
          </w:tcPr>
          <w:p w14:paraId="096C1F1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Services export share</w:t>
            </w:r>
          </w:p>
        </w:tc>
        <w:tc>
          <w:tcPr>
            <w:tcW w:w="0" w:type="auto"/>
            <w:hideMark/>
          </w:tcPr>
          <w:p w14:paraId="13F19C16"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36FDAC9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2,149</w:t>
            </w:r>
          </w:p>
        </w:tc>
        <w:tc>
          <w:tcPr>
            <w:tcW w:w="0" w:type="auto"/>
            <w:hideMark/>
          </w:tcPr>
          <w:p w14:paraId="3CD30A5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1.939142</w:t>
            </w:r>
          </w:p>
        </w:tc>
        <w:tc>
          <w:tcPr>
            <w:tcW w:w="0" w:type="auto"/>
            <w:hideMark/>
          </w:tcPr>
          <w:p w14:paraId="073FFA7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92.053695</w:t>
            </w:r>
          </w:p>
        </w:tc>
      </w:tr>
      <w:tr w:rsidR="000E1B9B" w:rsidRPr="00536301" w14:paraId="41634A34" w14:textId="77777777" w:rsidTr="00AC2431">
        <w:tc>
          <w:tcPr>
            <w:tcW w:w="0" w:type="auto"/>
            <w:hideMark/>
          </w:tcPr>
          <w:p w14:paraId="63D73233"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51ADBEB2"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TR</w:t>
            </w:r>
          </w:p>
        </w:tc>
        <w:tc>
          <w:tcPr>
            <w:tcW w:w="0" w:type="auto"/>
            <w:hideMark/>
          </w:tcPr>
          <w:p w14:paraId="11798949"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TR4</w:t>
            </w:r>
          </w:p>
        </w:tc>
        <w:tc>
          <w:tcPr>
            <w:tcW w:w="0" w:type="auto"/>
            <w:hideMark/>
          </w:tcPr>
          <w:p w14:paraId="7E94681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Terms-of-trade stability</w:t>
            </w:r>
          </w:p>
        </w:tc>
        <w:tc>
          <w:tcPr>
            <w:tcW w:w="0" w:type="auto"/>
            <w:hideMark/>
          </w:tcPr>
          <w:p w14:paraId="1E6A51DD"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6FD34966"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603</w:t>
            </w:r>
          </w:p>
        </w:tc>
        <w:tc>
          <w:tcPr>
            <w:tcW w:w="0" w:type="auto"/>
            <w:hideMark/>
          </w:tcPr>
          <w:p w14:paraId="17B3BE26"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−0.399731</w:t>
            </w:r>
          </w:p>
        </w:tc>
        <w:tc>
          <w:tcPr>
            <w:tcW w:w="0" w:type="auto"/>
            <w:hideMark/>
          </w:tcPr>
          <w:p w14:paraId="6592877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−0.003856</w:t>
            </w:r>
          </w:p>
        </w:tc>
      </w:tr>
      <w:tr w:rsidR="000E1B9B" w:rsidRPr="00536301" w14:paraId="314417C6" w14:textId="77777777" w:rsidTr="00AC2431">
        <w:tc>
          <w:tcPr>
            <w:tcW w:w="0" w:type="auto"/>
            <w:hideMark/>
          </w:tcPr>
          <w:p w14:paraId="1922774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5A47603F"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DR</w:t>
            </w:r>
          </w:p>
        </w:tc>
        <w:tc>
          <w:tcPr>
            <w:tcW w:w="0" w:type="auto"/>
            <w:hideMark/>
          </w:tcPr>
          <w:p w14:paraId="7F442F3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DR1</w:t>
            </w:r>
          </w:p>
        </w:tc>
        <w:tc>
          <w:tcPr>
            <w:tcW w:w="0" w:type="auto"/>
            <w:hideMark/>
          </w:tcPr>
          <w:p w14:paraId="75D46B7B"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debt-service burden</w:t>
            </w:r>
          </w:p>
        </w:tc>
        <w:tc>
          <w:tcPr>
            <w:tcW w:w="0" w:type="auto"/>
            <w:hideMark/>
          </w:tcPr>
          <w:p w14:paraId="712C3C5A"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49142D79"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1,329</w:t>
            </w:r>
          </w:p>
        </w:tc>
        <w:tc>
          <w:tcPr>
            <w:tcW w:w="0" w:type="auto"/>
            <w:hideMark/>
          </w:tcPr>
          <w:p w14:paraId="262160A3"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0.652348</w:t>
            </w:r>
          </w:p>
        </w:tc>
        <w:tc>
          <w:tcPr>
            <w:tcW w:w="0" w:type="auto"/>
            <w:hideMark/>
          </w:tcPr>
          <w:p w14:paraId="6985135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66.727721</w:t>
            </w:r>
          </w:p>
        </w:tc>
      </w:tr>
      <w:tr w:rsidR="000E1B9B" w:rsidRPr="00536301" w14:paraId="74E228F6" w14:textId="77777777" w:rsidTr="00AC2431">
        <w:tc>
          <w:tcPr>
            <w:tcW w:w="0" w:type="auto"/>
            <w:hideMark/>
          </w:tcPr>
          <w:p w14:paraId="1C50C3A0"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616D898B"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DR</w:t>
            </w:r>
          </w:p>
        </w:tc>
        <w:tc>
          <w:tcPr>
            <w:tcW w:w="0" w:type="auto"/>
            <w:hideMark/>
          </w:tcPr>
          <w:p w14:paraId="4242911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DR2</w:t>
            </w:r>
          </w:p>
        </w:tc>
        <w:tc>
          <w:tcPr>
            <w:tcW w:w="0" w:type="auto"/>
            <w:hideMark/>
          </w:tcPr>
          <w:p w14:paraId="0EC4A893"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Short-term debt share</w:t>
            </w:r>
          </w:p>
        </w:tc>
        <w:tc>
          <w:tcPr>
            <w:tcW w:w="0" w:type="auto"/>
            <w:hideMark/>
          </w:tcPr>
          <w:p w14:paraId="2983CFFE"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40CF0CC7"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1,520</w:t>
            </w:r>
          </w:p>
        </w:tc>
        <w:tc>
          <w:tcPr>
            <w:tcW w:w="0" w:type="auto"/>
            <w:hideMark/>
          </w:tcPr>
          <w:p w14:paraId="622A0F66"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0.000000</w:t>
            </w:r>
          </w:p>
        </w:tc>
        <w:tc>
          <w:tcPr>
            <w:tcW w:w="0" w:type="auto"/>
            <w:hideMark/>
          </w:tcPr>
          <w:p w14:paraId="029DA57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55.394939</w:t>
            </w:r>
          </w:p>
        </w:tc>
      </w:tr>
      <w:tr w:rsidR="000E1B9B" w:rsidRPr="00536301" w14:paraId="150AD583" w14:textId="77777777" w:rsidTr="00AC2431">
        <w:tc>
          <w:tcPr>
            <w:tcW w:w="0" w:type="auto"/>
            <w:hideMark/>
          </w:tcPr>
          <w:p w14:paraId="234A57F0"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761C5240"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DR</w:t>
            </w:r>
          </w:p>
        </w:tc>
        <w:tc>
          <w:tcPr>
            <w:tcW w:w="0" w:type="auto"/>
            <w:hideMark/>
          </w:tcPr>
          <w:p w14:paraId="378C46B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DR3</w:t>
            </w:r>
          </w:p>
        </w:tc>
        <w:tc>
          <w:tcPr>
            <w:tcW w:w="0" w:type="auto"/>
            <w:hideMark/>
          </w:tcPr>
          <w:p w14:paraId="1B813EF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Remittance stability</w:t>
            </w:r>
          </w:p>
        </w:tc>
        <w:tc>
          <w:tcPr>
            <w:tcW w:w="0" w:type="auto"/>
            <w:hideMark/>
          </w:tcPr>
          <w:p w14:paraId="485A09F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413DEA7A"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1,758</w:t>
            </w:r>
          </w:p>
        </w:tc>
        <w:tc>
          <w:tcPr>
            <w:tcW w:w="0" w:type="auto"/>
            <w:hideMark/>
          </w:tcPr>
          <w:p w14:paraId="7F5933AA"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0.015675</w:t>
            </w:r>
          </w:p>
        </w:tc>
        <w:tc>
          <w:tcPr>
            <w:tcW w:w="0" w:type="auto"/>
            <w:hideMark/>
          </w:tcPr>
          <w:p w14:paraId="1C200FC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27.969502</w:t>
            </w:r>
          </w:p>
        </w:tc>
      </w:tr>
      <w:tr w:rsidR="000E1B9B" w:rsidRPr="00536301" w14:paraId="16991F31" w14:textId="77777777" w:rsidTr="00AC2431">
        <w:tc>
          <w:tcPr>
            <w:tcW w:w="0" w:type="auto"/>
            <w:hideMark/>
          </w:tcPr>
          <w:p w14:paraId="5BADB23E"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319BE272"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MP</w:t>
            </w:r>
          </w:p>
        </w:tc>
        <w:tc>
          <w:tcPr>
            <w:tcW w:w="0" w:type="auto"/>
            <w:hideMark/>
          </w:tcPr>
          <w:p w14:paraId="444AF4C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MP1</w:t>
            </w:r>
          </w:p>
        </w:tc>
        <w:tc>
          <w:tcPr>
            <w:tcW w:w="0" w:type="auto"/>
            <w:hideMark/>
          </w:tcPr>
          <w:p w14:paraId="0A9E179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Inflation stability</w:t>
            </w:r>
          </w:p>
        </w:tc>
        <w:tc>
          <w:tcPr>
            <w:tcW w:w="0" w:type="auto"/>
            <w:hideMark/>
          </w:tcPr>
          <w:p w14:paraId="6DFBE1C1"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7310AA83"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2,040</w:t>
            </w:r>
          </w:p>
        </w:tc>
        <w:tc>
          <w:tcPr>
            <w:tcW w:w="0" w:type="auto"/>
            <w:hideMark/>
          </w:tcPr>
          <w:p w14:paraId="616A581A"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−29.743706</w:t>
            </w:r>
          </w:p>
        </w:tc>
        <w:tc>
          <w:tcPr>
            <w:tcW w:w="0" w:type="auto"/>
            <w:hideMark/>
          </w:tcPr>
          <w:p w14:paraId="47C2C8AB"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−0.464549</w:t>
            </w:r>
          </w:p>
        </w:tc>
      </w:tr>
      <w:tr w:rsidR="000E1B9B" w:rsidRPr="00536301" w14:paraId="285B6C34" w14:textId="77777777" w:rsidTr="00AC2431">
        <w:tc>
          <w:tcPr>
            <w:tcW w:w="0" w:type="auto"/>
            <w:hideMark/>
          </w:tcPr>
          <w:p w14:paraId="0B4E50D4"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567F8711"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MP</w:t>
            </w:r>
          </w:p>
        </w:tc>
        <w:tc>
          <w:tcPr>
            <w:tcW w:w="0" w:type="auto"/>
            <w:hideMark/>
          </w:tcPr>
          <w:p w14:paraId="756D7DE6"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MP2</w:t>
            </w:r>
          </w:p>
        </w:tc>
        <w:tc>
          <w:tcPr>
            <w:tcW w:w="0" w:type="auto"/>
            <w:hideMark/>
          </w:tcPr>
          <w:p w14:paraId="0483E1E3"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Fiscal space</w:t>
            </w:r>
          </w:p>
        </w:tc>
        <w:tc>
          <w:tcPr>
            <w:tcW w:w="0" w:type="auto"/>
            <w:hideMark/>
          </w:tcPr>
          <w:p w14:paraId="527D623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2F2D738E"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2,375</w:t>
            </w:r>
          </w:p>
        </w:tc>
        <w:tc>
          <w:tcPr>
            <w:tcW w:w="0" w:type="auto"/>
            <w:hideMark/>
          </w:tcPr>
          <w:p w14:paraId="7DB6E26D"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0.029014</w:t>
            </w:r>
          </w:p>
        </w:tc>
        <w:tc>
          <w:tcPr>
            <w:tcW w:w="0" w:type="auto"/>
            <w:hideMark/>
          </w:tcPr>
          <w:p w14:paraId="6C19799D"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0.975225</w:t>
            </w:r>
          </w:p>
        </w:tc>
      </w:tr>
      <w:tr w:rsidR="000E1B9B" w:rsidRPr="00536301" w14:paraId="6C900E64" w14:textId="77777777" w:rsidTr="00AC2431">
        <w:tc>
          <w:tcPr>
            <w:tcW w:w="0" w:type="auto"/>
            <w:hideMark/>
          </w:tcPr>
          <w:p w14:paraId="5652DD9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lastRenderedPageBreak/>
              <w:t>SAR</w:t>
            </w:r>
          </w:p>
        </w:tc>
        <w:tc>
          <w:tcPr>
            <w:tcW w:w="0" w:type="auto"/>
            <w:hideMark/>
          </w:tcPr>
          <w:p w14:paraId="440B7D0A"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MP</w:t>
            </w:r>
          </w:p>
        </w:tc>
        <w:tc>
          <w:tcPr>
            <w:tcW w:w="0" w:type="auto"/>
            <w:hideMark/>
          </w:tcPr>
          <w:p w14:paraId="07C8AF4B"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MP3</w:t>
            </w:r>
          </w:p>
        </w:tc>
        <w:tc>
          <w:tcPr>
            <w:tcW w:w="0" w:type="auto"/>
            <w:hideMark/>
          </w:tcPr>
          <w:p w14:paraId="38F98EBD"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National savings</w:t>
            </w:r>
          </w:p>
        </w:tc>
        <w:tc>
          <w:tcPr>
            <w:tcW w:w="0" w:type="auto"/>
            <w:hideMark/>
          </w:tcPr>
          <w:p w14:paraId="58E5AEDE"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7E725C0D"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2,155</w:t>
            </w:r>
          </w:p>
        </w:tc>
        <w:tc>
          <w:tcPr>
            <w:tcW w:w="0" w:type="auto"/>
            <w:hideMark/>
          </w:tcPr>
          <w:p w14:paraId="04426406"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−41.211357</w:t>
            </w:r>
          </w:p>
        </w:tc>
        <w:tc>
          <w:tcPr>
            <w:tcW w:w="0" w:type="auto"/>
            <w:hideMark/>
          </w:tcPr>
          <w:p w14:paraId="0203F30E"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71.075606</w:t>
            </w:r>
          </w:p>
        </w:tc>
      </w:tr>
      <w:tr w:rsidR="000E1B9B" w:rsidRPr="00536301" w14:paraId="23E864BC" w14:textId="77777777" w:rsidTr="00AC2431">
        <w:tc>
          <w:tcPr>
            <w:tcW w:w="0" w:type="auto"/>
            <w:hideMark/>
          </w:tcPr>
          <w:p w14:paraId="6D84F5E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20DAC57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MP</w:t>
            </w:r>
          </w:p>
        </w:tc>
        <w:tc>
          <w:tcPr>
            <w:tcW w:w="0" w:type="auto"/>
            <w:hideMark/>
          </w:tcPr>
          <w:p w14:paraId="03D6F7C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MP4</w:t>
            </w:r>
          </w:p>
        </w:tc>
        <w:tc>
          <w:tcPr>
            <w:tcW w:w="0" w:type="auto"/>
            <w:hideMark/>
          </w:tcPr>
          <w:p w14:paraId="68ED071A"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Growth resilience</w:t>
            </w:r>
          </w:p>
        </w:tc>
        <w:tc>
          <w:tcPr>
            <w:tcW w:w="0" w:type="auto"/>
            <w:hideMark/>
          </w:tcPr>
          <w:p w14:paraId="683660E9"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0930BD23"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2,058</w:t>
            </w:r>
          </w:p>
        </w:tc>
        <w:tc>
          <w:tcPr>
            <w:tcW w:w="0" w:type="auto"/>
            <w:hideMark/>
          </w:tcPr>
          <w:p w14:paraId="2DD4B02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−12.085779</w:t>
            </w:r>
          </w:p>
        </w:tc>
        <w:tc>
          <w:tcPr>
            <w:tcW w:w="0" w:type="auto"/>
            <w:hideMark/>
          </w:tcPr>
          <w:p w14:paraId="53775443"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11.047288</w:t>
            </w:r>
          </w:p>
        </w:tc>
      </w:tr>
      <w:tr w:rsidR="000E1B9B" w:rsidRPr="00536301" w14:paraId="1D6FC558" w14:textId="77777777" w:rsidTr="00AC2431">
        <w:tc>
          <w:tcPr>
            <w:tcW w:w="0" w:type="auto"/>
            <w:hideMark/>
          </w:tcPr>
          <w:p w14:paraId="256D445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6BE3480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PA</w:t>
            </w:r>
          </w:p>
        </w:tc>
        <w:tc>
          <w:tcPr>
            <w:tcW w:w="0" w:type="auto"/>
            <w:hideMark/>
          </w:tcPr>
          <w:p w14:paraId="094ECB2D"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PA1</w:t>
            </w:r>
          </w:p>
        </w:tc>
        <w:tc>
          <w:tcPr>
            <w:tcW w:w="0" w:type="auto"/>
            <w:hideMark/>
          </w:tcPr>
          <w:p w14:paraId="2ED52B4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Economic complexity</w:t>
            </w:r>
          </w:p>
        </w:tc>
        <w:tc>
          <w:tcPr>
            <w:tcW w:w="0" w:type="auto"/>
            <w:hideMark/>
          </w:tcPr>
          <w:p w14:paraId="42EA29E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2C560DA2"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1,162</w:t>
            </w:r>
          </w:p>
        </w:tc>
        <w:tc>
          <w:tcPr>
            <w:tcW w:w="0" w:type="auto"/>
            <w:hideMark/>
          </w:tcPr>
          <w:p w14:paraId="7C55D8B7"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−1.986294</w:t>
            </w:r>
          </w:p>
        </w:tc>
        <w:tc>
          <w:tcPr>
            <w:tcW w:w="0" w:type="auto"/>
            <w:hideMark/>
          </w:tcPr>
          <w:p w14:paraId="0467CEA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1.977644</w:t>
            </w:r>
          </w:p>
        </w:tc>
      </w:tr>
      <w:tr w:rsidR="000E1B9B" w:rsidRPr="00536301" w14:paraId="491DC849" w14:textId="77777777" w:rsidTr="00AC2431">
        <w:tc>
          <w:tcPr>
            <w:tcW w:w="0" w:type="auto"/>
            <w:hideMark/>
          </w:tcPr>
          <w:p w14:paraId="63F2914A"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6BBCB94B"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PA</w:t>
            </w:r>
          </w:p>
        </w:tc>
        <w:tc>
          <w:tcPr>
            <w:tcW w:w="0" w:type="auto"/>
            <w:hideMark/>
          </w:tcPr>
          <w:p w14:paraId="421D644A"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PA2</w:t>
            </w:r>
          </w:p>
        </w:tc>
        <w:tc>
          <w:tcPr>
            <w:tcW w:w="0" w:type="auto"/>
            <w:hideMark/>
          </w:tcPr>
          <w:p w14:paraId="7C9D2FE3"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Sectoral diversification</w:t>
            </w:r>
          </w:p>
        </w:tc>
        <w:tc>
          <w:tcPr>
            <w:tcW w:w="0" w:type="auto"/>
            <w:hideMark/>
          </w:tcPr>
          <w:p w14:paraId="354322D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6B9C198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2,339</w:t>
            </w:r>
          </w:p>
        </w:tc>
        <w:tc>
          <w:tcPr>
            <w:tcW w:w="0" w:type="auto"/>
            <w:hideMark/>
          </w:tcPr>
          <w:p w14:paraId="5E8C02D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0.222304</w:t>
            </w:r>
          </w:p>
        </w:tc>
        <w:tc>
          <w:tcPr>
            <w:tcW w:w="0" w:type="auto"/>
            <w:hideMark/>
          </w:tcPr>
          <w:p w14:paraId="3C55F827"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0.658227</w:t>
            </w:r>
          </w:p>
        </w:tc>
      </w:tr>
      <w:tr w:rsidR="000E1B9B" w:rsidRPr="00536301" w14:paraId="7A71D65A" w14:textId="77777777" w:rsidTr="00AC2431">
        <w:tc>
          <w:tcPr>
            <w:tcW w:w="0" w:type="auto"/>
            <w:hideMark/>
          </w:tcPr>
          <w:p w14:paraId="16996360"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w:t>
            </w:r>
          </w:p>
        </w:tc>
        <w:tc>
          <w:tcPr>
            <w:tcW w:w="0" w:type="auto"/>
            <w:hideMark/>
          </w:tcPr>
          <w:p w14:paraId="15861EF6"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PA</w:t>
            </w:r>
          </w:p>
        </w:tc>
        <w:tc>
          <w:tcPr>
            <w:tcW w:w="0" w:type="auto"/>
            <w:hideMark/>
          </w:tcPr>
          <w:p w14:paraId="555E88F9"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PA3</w:t>
            </w:r>
          </w:p>
        </w:tc>
        <w:tc>
          <w:tcPr>
            <w:tcW w:w="0" w:type="auto"/>
            <w:hideMark/>
          </w:tcPr>
          <w:p w14:paraId="26B9AED8"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Institutional quality</w:t>
            </w:r>
          </w:p>
        </w:tc>
        <w:tc>
          <w:tcPr>
            <w:tcW w:w="0" w:type="auto"/>
            <w:hideMark/>
          </w:tcPr>
          <w:p w14:paraId="3C756E02"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c>
          <w:tcPr>
            <w:tcW w:w="0" w:type="auto"/>
            <w:hideMark/>
          </w:tcPr>
          <w:p w14:paraId="000A1EE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2,127</w:t>
            </w:r>
          </w:p>
        </w:tc>
        <w:tc>
          <w:tcPr>
            <w:tcW w:w="0" w:type="auto"/>
            <w:hideMark/>
          </w:tcPr>
          <w:p w14:paraId="1F4FD457"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−0.272543</w:t>
            </w:r>
          </w:p>
        </w:tc>
        <w:tc>
          <w:tcPr>
            <w:tcW w:w="0" w:type="auto"/>
            <w:hideMark/>
          </w:tcPr>
          <w:p w14:paraId="5491DA5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86.466294</w:t>
            </w:r>
          </w:p>
        </w:tc>
      </w:tr>
    </w:tbl>
    <w:p w14:paraId="7C3934FA" w14:textId="77777777" w:rsidR="000E1B9B" w:rsidRPr="00536301" w:rsidRDefault="000E1B9B" w:rsidP="008F3476">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 xml:space="preserve">Notes: BR = Buffer Resilience; SAR = Structural-Adaptive Resilience; P1 = 1st percentile; P99 = 99th percentile. Calibration denotes the number of valid country-year observations used to estimate the indicator-specific normalization bounds during 1998–2010. The P1 and P99 bounds are estimated exclusively from the 1998–2010 calibration sample, frozen, and applied unchanged to all observations from 1998 through 2024. “+” denotes a resilience-positive indicator and “−” a resilience-negative indicator. Values outside the fixed reference interval are capped at 0 or 1 after normalization. Annual percentile ranks and full-panel 1998–2024 bounds are not used in the headline ERI. </w:t>
      </w:r>
    </w:p>
    <w:p w14:paraId="39B24572" w14:textId="77777777" w:rsidR="000E1B9B" w:rsidRPr="00536301" w:rsidRDefault="000E1B9B" w:rsidP="000E1B9B">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Table B2. Fixed ERI Normalization Rules</w:t>
      </w:r>
    </w:p>
    <w:tbl>
      <w:tblPr>
        <w:tblStyle w:val="TableGrid"/>
        <w:tblW w:w="0" w:type="auto"/>
        <w:tblLook w:val="04A0" w:firstRow="1" w:lastRow="0" w:firstColumn="1" w:lastColumn="0" w:noHBand="0" w:noVBand="1"/>
      </w:tblPr>
      <w:tblGrid>
        <w:gridCol w:w="1660"/>
        <w:gridCol w:w="4514"/>
        <w:gridCol w:w="2842"/>
      </w:tblGrid>
      <w:tr w:rsidR="000E1B9B" w:rsidRPr="00536301" w14:paraId="7FAA0E86" w14:textId="77777777" w:rsidTr="00F74FDA">
        <w:tc>
          <w:tcPr>
            <w:tcW w:w="0" w:type="auto"/>
            <w:hideMark/>
          </w:tcPr>
          <w:p w14:paraId="071EEC2D" w14:textId="77777777" w:rsidR="000E1B9B" w:rsidRPr="00536301" w:rsidRDefault="000E1B9B" w:rsidP="000E1B9B">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Indicator orientation</w:t>
            </w:r>
          </w:p>
        </w:tc>
        <w:tc>
          <w:tcPr>
            <w:tcW w:w="0" w:type="auto"/>
            <w:hideMark/>
          </w:tcPr>
          <w:p w14:paraId="485731F2" w14:textId="77777777" w:rsidR="000E1B9B" w:rsidRPr="00536301" w:rsidRDefault="000E1B9B" w:rsidP="000E1B9B">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Normalization rule</w:t>
            </w:r>
          </w:p>
        </w:tc>
        <w:tc>
          <w:tcPr>
            <w:tcW w:w="0" w:type="auto"/>
            <w:hideMark/>
          </w:tcPr>
          <w:p w14:paraId="5423E236" w14:textId="77777777" w:rsidR="000E1B9B" w:rsidRPr="00536301" w:rsidRDefault="000E1B9B" w:rsidP="000E1B9B">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Interpretation</w:t>
            </w:r>
          </w:p>
        </w:tc>
      </w:tr>
      <w:tr w:rsidR="000E1B9B" w:rsidRPr="00536301" w14:paraId="63ECA43C" w14:textId="77777777" w:rsidTr="00F74FDA">
        <w:tc>
          <w:tcPr>
            <w:tcW w:w="0" w:type="auto"/>
            <w:hideMark/>
          </w:tcPr>
          <w:p w14:paraId="39FC33E0"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Resilience-positive (+)</w:t>
            </w:r>
          </w:p>
        </w:tc>
        <w:tc>
          <w:tcPr>
            <w:tcW w:w="0" w:type="auto"/>
            <w:hideMark/>
          </w:tcPr>
          <w:p w14:paraId="1B5EE25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z_(ijt)=min[1,max(0,(x_(ijt)-P_(1,j)^(98-10))/(P_(99,j)^(98-10)-P_(1,j)^(98-10)))]</w:t>
            </w:r>
          </w:p>
        </w:tc>
        <w:tc>
          <w:tcPr>
            <w:tcW w:w="0" w:type="auto"/>
            <w:hideMark/>
          </w:tcPr>
          <w:p w14:paraId="221D9512"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Higher raw values produce higher resilience scores</w:t>
            </w:r>
          </w:p>
        </w:tc>
      </w:tr>
      <w:tr w:rsidR="000E1B9B" w:rsidRPr="00536301" w14:paraId="3A493EDF" w14:textId="77777777" w:rsidTr="00F74FDA">
        <w:tc>
          <w:tcPr>
            <w:tcW w:w="0" w:type="auto"/>
            <w:hideMark/>
          </w:tcPr>
          <w:p w14:paraId="086583B1"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Resilience-negative (−)</w:t>
            </w:r>
          </w:p>
        </w:tc>
        <w:tc>
          <w:tcPr>
            <w:tcW w:w="0" w:type="auto"/>
            <w:hideMark/>
          </w:tcPr>
          <w:p w14:paraId="3979D460"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z_(ijt)=min[1,max(0,(P_(99,j)^(98-10)-x_(ijt))/(P_(99,j)^(98-10)-P_(1,j)^(98-10)))]</w:t>
            </w:r>
          </w:p>
        </w:tc>
        <w:tc>
          <w:tcPr>
            <w:tcW w:w="0" w:type="auto"/>
            <w:hideMark/>
          </w:tcPr>
          <w:p w14:paraId="11D52DC3"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Higher raw values produce lower resilience scores</w:t>
            </w:r>
          </w:p>
        </w:tc>
      </w:tr>
      <w:tr w:rsidR="000E1B9B" w:rsidRPr="00536301" w14:paraId="61A12317" w14:textId="77777777" w:rsidTr="00F74FDA">
        <w:tc>
          <w:tcPr>
            <w:tcW w:w="0" w:type="auto"/>
            <w:hideMark/>
          </w:tcPr>
          <w:p w14:paraId="26FDD139"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Below fixed reference range</w:t>
            </w:r>
          </w:p>
        </w:tc>
        <w:tc>
          <w:tcPr>
            <w:tcW w:w="0" w:type="auto"/>
            <w:hideMark/>
          </w:tcPr>
          <w:p w14:paraId="725033DF"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z_(ijt)=0 or 1, according to direction</w:t>
            </w:r>
          </w:p>
        </w:tc>
        <w:tc>
          <w:tcPr>
            <w:tcW w:w="0" w:type="auto"/>
            <w:hideMark/>
          </w:tcPr>
          <w:p w14:paraId="09E2ECBF"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Capped at the resilience-minimum endpoint</w:t>
            </w:r>
          </w:p>
        </w:tc>
      </w:tr>
      <w:tr w:rsidR="000E1B9B" w:rsidRPr="00536301" w14:paraId="219261A0" w14:textId="77777777" w:rsidTr="00F74FDA">
        <w:tc>
          <w:tcPr>
            <w:tcW w:w="0" w:type="auto"/>
            <w:hideMark/>
          </w:tcPr>
          <w:p w14:paraId="7DCC2309"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Above fixed reference range</w:t>
            </w:r>
          </w:p>
        </w:tc>
        <w:tc>
          <w:tcPr>
            <w:tcW w:w="0" w:type="auto"/>
            <w:hideMark/>
          </w:tcPr>
          <w:p w14:paraId="1B690FE0"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z_(ijt)=1 or 0, according to direction</w:t>
            </w:r>
          </w:p>
        </w:tc>
        <w:tc>
          <w:tcPr>
            <w:tcW w:w="0" w:type="auto"/>
            <w:hideMark/>
          </w:tcPr>
          <w:p w14:paraId="2892C4BD"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Capped at the resilience-maximum endpoint</w:t>
            </w:r>
          </w:p>
        </w:tc>
      </w:tr>
      <w:tr w:rsidR="000E1B9B" w:rsidRPr="00536301" w14:paraId="211535BC" w14:textId="77777777" w:rsidTr="00F74FDA">
        <w:tc>
          <w:tcPr>
            <w:tcW w:w="0" w:type="auto"/>
            <w:hideMark/>
          </w:tcPr>
          <w:p w14:paraId="07B7FE3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Calibration period</w:t>
            </w:r>
          </w:p>
        </w:tc>
        <w:tc>
          <w:tcPr>
            <w:tcW w:w="0" w:type="auto"/>
            <w:hideMark/>
          </w:tcPr>
          <w:p w14:paraId="38A105BC"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1998–2010</w:t>
            </w:r>
          </w:p>
        </w:tc>
        <w:tc>
          <w:tcPr>
            <w:tcW w:w="0" w:type="auto"/>
            <w:hideMark/>
          </w:tcPr>
          <w:p w14:paraId="1465D125"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Used only to estimate fixed P1/P99 bounds</w:t>
            </w:r>
          </w:p>
        </w:tc>
      </w:tr>
      <w:tr w:rsidR="000E1B9B" w:rsidRPr="00536301" w14:paraId="0676EBE5" w14:textId="77777777" w:rsidTr="00F74FDA">
        <w:tc>
          <w:tcPr>
            <w:tcW w:w="0" w:type="auto"/>
            <w:hideMark/>
          </w:tcPr>
          <w:p w14:paraId="45BB371A"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Application period</w:t>
            </w:r>
          </w:p>
        </w:tc>
        <w:tc>
          <w:tcPr>
            <w:tcW w:w="0" w:type="auto"/>
            <w:hideMark/>
          </w:tcPr>
          <w:p w14:paraId="3A3DB710"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1998–2024</w:t>
            </w:r>
          </w:p>
        </w:tc>
        <w:tc>
          <w:tcPr>
            <w:tcW w:w="0" w:type="auto"/>
            <w:hideMark/>
          </w:tcPr>
          <w:p w14:paraId="6CA4B9C0"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Same frozen bounds applied to every year</w:t>
            </w:r>
          </w:p>
        </w:tc>
      </w:tr>
      <w:tr w:rsidR="000E1B9B" w:rsidRPr="00536301" w14:paraId="4AA642BC" w14:textId="77777777" w:rsidTr="00F74FDA">
        <w:tc>
          <w:tcPr>
            <w:tcW w:w="0" w:type="auto"/>
            <w:hideMark/>
          </w:tcPr>
          <w:p w14:paraId="1B446E4F"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Formal predictive validation</w:t>
            </w:r>
          </w:p>
        </w:tc>
        <w:tc>
          <w:tcPr>
            <w:tcW w:w="0" w:type="auto"/>
            <w:hideMark/>
          </w:tcPr>
          <w:p w14:paraId="2B48966E"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2011 onward</w:t>
            </w:r>
          </w:p>
        </w:tc>
        <w:tc>
          <w:tcPr>
            <w:tcW w:w="0" w:type="auto"/>
            <w:hideMark/>
          </w:tcPr>
          <w:p w14:paraId="1ABFC99D" w14:textId="77777777" w:rsidR="000E1B9B" w:rsidRPr="00536301" w:rsidRDefault="000E1B9B" w:rsidP="000E1B9B">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Prevents post-calibration information from determining normalization bounds</w:t>
            </w:r>
          </w:p>
        </w:tc>
      </w:tr>
    </w:tbl>
    <w:p w14:paraId="675AF0B3" w14:textId="6B65588D" w:rsidR="000E1B9B" w:rsidRPr="00536301" w:rsidRDefault="000E1B9B" w:rsidP="00047962">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Notes:</w:t>
      </w:r>
      <w:r w:rsidRPr="00536301">
        <w:rPr>
          <w:rFonts w:ascii="Times New Roman" w:eastAsia="Times New Roman" w:hAnsi="Times New Roman" w:cs="Times New Roman"/>
          <w:kern w:val="0"/>
          <w:lang w:eastAsia="en-GB"/>
          <w14:ligatures w14:val="none"/>
        </w:rPr>
        <w:t xml:space="preserve"> </w:t>
      </w:r>
      <m:oMath>
        <m:sSub>
          <m:sSubPr>
            <m:ctrlPr>
              <w:rPr>
                <w:rFonts w:ascii="Cambria Math" w:eastAsia="Times New Roman" w:hAnsi="Cambria Math" w:cs="Times New Roman"/>
                <w:i/>
                <w:kern w:val="0"/>
                <w:lang w:eastAsia="en-GB"/>
                <w14:ligatures w14:val="none"/>
              </w:rPr>
            </m:ctrlPr>
          </m:sSubPr>
          <m:e>
            <m:r>
              <w:rPr>
                <w:rFonts w:ascii="Cambria Math" w:eastAsia="Times New Roman" w:hAnsi="Cambria Math" w:cs="Times New Roman"/>
                <w:kern w:val="0"/>
                <w:lang w:eastAsia="en-GB"/>
                <w14:ligatures w14:val="none"/>
              </w:rPr>
              <m:t>x</m:t>
            </m:r>
          </m:e>
          <m:sub>
            <m:r>
              <w:rPr>
                <w:rFonts w:ascii="Cambria Math" w:eastAsia="Times New Roman" w:hAnsi="Cambria Math" w:cs="Times New Roman"/>
                <w:kern w:val="0"/>
                <w:lang w:eastAsia="en-GB"/>
                <w14:ligatures w14:val="none"/>
              </w:rPr>
              <m:t>ijt</m:t>
            </m:r>
          </m:sub>
        </m:sSub>
        <m:r>
          <w:rPr>
            <w:rFonts w:ascii="Cambria Math" w:eastAsia="Times New Roman" w:hAnsi="Cambria Math" w:cs="Times New Roman"/>
            <w:kern w:val="0"/>
            <w:lang w:eastAsia="en-GB"/>
            <w14:ligatures w14:val="none"/>
          </w:rPr>
          <m:t xml:space="preserve"> </m:t>
        </m:r>
      </m:oMath>
      <w:r w:rsidRPr="00536301">
        <w:rPr>
          <w:rFonts w:ascii="Times New Roman" w:eastAsia="Times New Roman" w:hAnsi="Times New Roman" w:cs="Times New Roman"/>
          <w:kern w:val="0"/>
          <w:lang w:eastAsia="en-GB"/>
          <w14:ligatures w14:val="none"/>
        </w:rPr>
        <w:t>is the raw value of indicator</w:t>
      </w:r>
      <w:r w:rsidRPr="00536301">
        <w:rPr>
          <w:rFonts w:ascii="Times New Roman" w:eastAsia="Times New Roman" w:hAnsi="Times New Roman" w:cs="Times New Roman"/>
          <w:i/>
          <w:iCs/>
          <w:kern w:val="0"/>
          <w:lang w:eastAsia="en-GB"/>
          <w14:ligatures w14:val="none"/>
        </w:rPr>
        <w:t xml:space="preserve"> </w:t>
      </w:r>
      <w:r w:rsidR="00BA7FAE" w:rsidRPr="00536301">
        <w:rPr>
          <w:rFonts w:ascii="Times New Roman" w:eastAsia="Times New Roman" w:hAnsi="Times New Roman" w:cs="Times New Roman"/>
          <w:i/>
          <w:iCs/>
          <w:kern w:val="0"/>
          <w:lang w:eastAsia="en-GB"/>
          <w14:ligatures w14:val="none"/>
        </w:rPr>
        <w:t>j</w:t>
      </w:r>
      <w:r w:rsidR="00BA7FAE" w:rsidRPr="00536301">
        <w:rPr>
          <w:rFonts w:ascii="Times New Roman" w:eastAsia="Times New Roman" w:hAnsi="Times New Roman" w:cs="Times New Roman"/>
          <w:kern w:val="0"/>
          <w:lang w:eastAsia="en-GB"/>
          <w14:ligatures w14:val="none"/>
        </w:rPr>
        <w:t xml:space="preserve"> </w:t>
      </w:r>
      <w:r w:rsidRPr="00536301">
        <w:rPr>
          <w:rFonts w:ascii="Times New Roman" w:eastAsia="Times New Roman" w:hAnsi="Times New Roman" w:cs="Times New Roman"/>
          <w:kern w:val="0"/>
          <w:lang w:eastAsia="en-GB"/>
          <w14:ligatures w14:val="none"/>
        </w:rPr>
        <w:t xml:space="preserve">for economy </w:t>
      </w:r>
      <w:r w:rsidR="004F27BE" w:rsidRPr="00536301">
        <w:rPr>
          <w:rFonts w:ascii="Times New Roman" w:eastAsia="Times New Roman" w:hAnsi="Times New Roman" w:cs="Times New Roman"/>
          <w:i/>
          <w:iCs/>
          <w:kern w:val="0"/>
          <w:lang w:eastAsia="en-GB"/>
          <w14:ligatures w14:val="none"/>
        </w:rPr>
        <w:t xml:space="preserve">i </w:t>
      </w:r>
      <w:r w:rsidRPr="00536301">
        <w:rPr>
          <w:rFonts w:ascii="Times New Roman" w:eastAsia="Times New Roman" w:hAnsi="Times New Roman" w:cs="Times New Roman"/>
          <w:kern w:val="0"/>
          <w:lang w:eastAsia="en-GB"/>
          <w14:ligatures w14:val="none"/>
        </w:rPr>
        <w:t>in year</w:t>
      </w:r>
      <w:r w:rsidR="006125CC" w:rsidRPr="00536301">
        <w:rPr>
          <w:rFonts w:ascii="Times New Roman" w:eastAsia="Times New Roman" w:hAnsi="Times New Roman" w:cs="Times New Roman"/>
          <w:kern w:val="0"/>
          <w:lang w:eastAsia="en-GB"/>
          <w14:ligatures w14:val="none"/>
        </w:rPr>
        <w:t xml:space="preserve"> </w:t>
      </w:r>
      <w:r w:rsidR="006125CC" w:rsidRPr="00536301">
        <w:rPr>
          <w:rFonts w:ascii="Times New Roman" w:eastAsia="Times New Roman" w:hAnsi="Times New Roman" w:cs="Times New Roman"/>
          <w:i/>
          <w:iCs/>
          <w:kern w:val="0"/>
          <w:lang w:eastAsia="en-GB"/>
          <w14:ligatures w14:val="none"/>
        </w:rPr>
        <w:t>t</w:t>
      </w:r>
      <w:r w:rsidRPr="00536301">
        <w:rPr>
          <w:rFonts w:ascii="Times New Roman" w:eastAsia="Times New Roman" w:hAnsi="Times New Roman" w:cs="Times New Roman"/>
          <w:kern w:val="0"/>
          <w:lang w:eastAsia="en-GB"/>
          <w14:ligatures w14:val="none"/>
        </w:rPr>
        <w:t xml:space="preserve"> ; </w:t>
      </w:r>
      <m:oMath>
        <m:sSub>
          <m:sSubPr>
            <m:ctrlPr>
              <w:rPr>
                <w:rFonts w:ascii="Cambria Math" w:eastAsia="Times New Roman" w:hAnsi="Cambria Math" w:cs="Times New Roman"/>
                <w:i/>
                <w:kern w:val="0"/>
                <w:lang w:eastAsia="en-GB"/>
                <w14:ligatures w14:val="none"/>
              </w:rPr>
            </m:ctrlPr>
          </m:sSubPr>
          <m:e>
            <m:r>
              <w:rPr>
                <w:rFonts w:ascii="Cambria Math" w:eastAsia="Times New Roman" w:hAnsi="Cambria Math" w:cs="Times New Roman"/>
                <w:kern w:val="0"/>
                <w:lang w:eastAsia="en-GB"/>
                <w14:ligatures w14:val="none"/>
              </w:rPr>
              <m:t>z</m:t>
            </m:r>
          </m:e>
          <m:sub>
            <m:r>
              <w:rPr>
                <w:rFonts w:ascii="Cambria Math" w:eastAsia="Times New Roman" w:hAnsi="Cambria Math" w:cs="Times New Roman"/>
                <w:kern w:val="0"/>
                <w:lang w:eastAsia="en-GB"/>
                <w14:ligatures w14:val="none"/>
              </w:rPr>
              <m:t>ijt</m:t>
            </m:r>
          </m:sub>
        </m:sSub>
        <m:r>
          <w:rPr>
            <w:rFonts w:ascii="Cambria Math" w:eastAsia="Times New Roman" w:hAnsi="Cambria Math" w:cs="Times New Roman"/>
            <w:kern w:val="0"/>
            <w:lang w:eastAsia="en-GB"/>
            <w14:ligatures w14:val="none"/>
          </w:rPr>
          <m:t xml:space="preserve"> </m:t>
        </m:r>
      </m:oMath>
      <w:r w:rsidRPr="00536301">
        <w:rPr>
          <w:rFonts w:ascii="Times New Roman" w:eastAsia="Times New Roman" w:hAnsi="Times New Roman" w:cs="Times New Roman"/>
          <w:kern w:val="0"/>
          <w:lang w:eastAsia="en-GB"/>
          <w14:ligatures w14:val="none"/>
        </w:rPr>
        <w:t>is its normalized ERI score; and</w:t>
      </w:r>
      <w:r w:rsidR="006A4EA1" w:rsidRPr="00536301">
        <w:rPr>
          <w:rFonts w:ascii="Times New Roman" w:eastAsia="Times New Roman" w:hAnsi="Times New Roman" w:cs="Times New Roman"/>
          <w:kern w:val="0"/>
          <w:lang w:eastAsia="en-GB"/>
          <w14:ligatures w14:val="none"/>
        </w:rPr>
        <w:t xml:space="preserve"> </w:t>
      </w:r>
      <m:oMath>
        <m:sSubSup>
          <m:sSubSupPr>
            <m:ctrlPr>
              <w:rPr>
                <w:rFonts w:ascii="Cambria Math" w:eastAsia="Times New Roman" w:hAnsi="Cambria Math" w:cs="Times New Roman"/>
                <w:i/>
                <w:kern w:val="0"/>
                <w:lang w:eastAsia="en-GB"/>
                <w14:ligatures w14:val="none"/>
              </w:rPr>
            </m:ctrlPr>
          </m:sSubSupPr>
          <m:e>
            <m:r>
              <w:rPr>
                <w:rFonts w:ascii="Cambria Math" w:eastAsia="Times New Roman" w:hAnsi="Cambria Math" w:cs="Times New Roman"/>
                <w:kern w:val="0"/>
                <w:lang w:eastAsia="en-GB"/>
                <w14:ligatures w14:val="none"/>
              </w:rPr>
              <m:t>P</m:t>
            </m:r>
          </m:e>
          <m:sub>
            <m:r>
              <w:rPr>
                <w:rFonts w:ascii="Cambria Math" w:eastAsia="Times New Roman" w:hAnsi="Cambria Math" w:cs="Times New Roman"/>
                <w:kern w:val="0"/>
                <w:lang w:eastAsia="en-GB"/>
                <w14:ligatures w14:val="none"/>
              </w:rPr>
              <m:t>1,j</m:t>
            </m:r>
          </m:sub>
          <m:sup>
            <m:r>
              <w:rPr>
                <w:rFonts w:ascii="Cambria Math" w:eastAsia="Times New Roman" w:hAnsi="Cambria Math" w:cs="Times New Roman"/>
                <w:kern w:val="0"/>
                <w:lang w:eastAsia="en-GB"/>
                <w14:ligatures w14:val="none"/>
              </w:rPr>
              <m:t>98-10</m:t>
            </m:r>
          </m:sup>
        </m:sSubSup>
        <m:r>
          <w:rPr>
            <w:rFonts w:ascii="Cambria Math" w:eastAsia="Times New Roman" w:hAnsi="Cambria Math" w:cs="Times New Roman"/>
            <w:kern w:val="0"/>
            <w:lang w:eastAsia="en-GB"/>
            <w14:ligatures w14:val="none"/>
          </w:rPr>
          <m:t xml:space="preserve"> and </m:t>
        </m:r>
        <m:sSubSup>
          <m:sSubSupPr>
            <m:ctrlPr>
              <w:rPr>
                <w:rFonts w:ascii="Cambria Math" w:eastAsia="Times New Roman" w:hAnsi="Cambria Math" w:cs="Times New Roman"/>
                <w:i/>
                <w:kern w:val="0"/>
                <w:lang w:eastAsia="en-GB"/>
                <w14:ligatures w14:val="none"/>
              </w:rPr>
            </m:ctrlPr>
          </m:sSubSupPr>
          <m:e>
            <m:r>
              <w:rPr>
                <w:rFonts w:ascii="Cambria Math" w:eastAsia="Times New Roman" w:hAnsi="Cambria Math" w:cs="Times New Roman"/>
                <w:kern w:val="0"/>
                <w:lang w:eastAsia="en-GB"/>
                <w14:ligatures w14:val="none"/>
              </w:rPr>
              <m:t>P</m:t>
            </m:r>
          </m:e>
          <m:sub>
            <m:r>
              <w:rPr>
                <w:rFonts w:ascii="Cambria Math" w:eastAsia="Times New Roman" w:hAnsi="Cambria Math" w:cs="Times New Roman"/>
                <w:kern w:val="0"/>
                <w:lang w:eastAsia="en-GB"/>
                <w14:ligatures w14:val="none"/>
              </w:rPr>
              <m:t>99,j</m:t>
            </m:r>
          </m:sub>
          <m:sup>
            <m:r>
              <w:rPr>
                <w:rFonts w:ascii="Cambria Math" w:eastAsia="Times New Roman" w:hAnsi="Cambria Math" w:cs="Times New Roman"/>
                <w:kern w:val="0"/>
                <w:lang w:eastAsia="en-GB"/>
                <w14:ligatures w14:val="none"/>
              </w:rPr>
              <m:t>98-10</m:t>
            </m:r>
          </m:sup>
        </m:sSubSup>
      </m:oMath>
      <w:r w:rsidRPr="00536301">
        <w:rPr>
          <w:rFonts w:ascii="Times New Roman" w:eastAsia="Times New Roman" w:hAnsi="Times New Roman" w:cs="Times New Roman"/>
          <w:kern w:val="0"/>
          <w:lang w:eastAsia="en-GB"/>
          <w14:ligatures w14:val="none"/>
        </w:rPr>
        <w:t xml:space="preserve">are the fixed 1st- and 99th-percentile calibration bounds for indicator </w:t>
      </w:r>
      <w:r w:rsidR="004D60C5" w:rsidRPr="00536301">
        <w:rPr>
          <w:rFonts w:ascii="Times New Roman" w:eastAsia="Times New Roman" w:hAnsi="Times New Roman" w:cs="Times New Roman"/>
          <w:i/>
          <w:iCs/>
          <w:kern w:val="0"/>
          <w:lang w:eastAsia="en-GB"/>
          <w14:ligatures w14:val="none"/>
        </w:rPr>
        <w:t>j</w:t>
      </w:r>
      <w:r w:rsidRPr="00536301">
        <w:rPr>
          <w:rFonts w:ascii="Times New Roman" w:eastAsia="Times New Roman" w:hAnsi="Times New Roman" w:cs="Times New Roman"/>
          <w:kern w:val="0"/>
          <w:lang w:eastAsia="en-GB"/>
          <w14:ligatures w14:val="none"/>
        </w:rPr>
        <w:t>. All normalized indicators lie on the</w:t>
      </w:r>
      <w:r w:rsidR="00273620" w:rsidRPr="00536301">
        <w:rPr>
          <w:rFonts w:ascii="Times New Roman" w:eastAsia="Times New Roman" w:hAnsi="Times New Roman" w:cs="Times New Roman"/>
          <w:kern w:val="0"/>
          <w:lang w:eastAsia="en-GB"/>
          <w14:ligatures w14:val="none"/>
        </w:rPr>
        <w:t xml:space="preserve"> </w:t>
      </w:r>
      <w:r w:rsidR="00273620" w:rsidRPr="00536301">
        <w:rPr>
          <w:rFonts w:ascii="Times New Roman" w:hAnsi="Times New Roman" w:cs="Times New Roman"/>
        </w:rPr>
        <w:t>[0,1]</w:t>
      </w:r>
      <w:r w:rsidRPr="00536301">
        <w:rPr>
          <w:rFonts w:ascii="Times New Roman" w:eastAsia="Times New Roman" w:hAnsi="Times New Roman" w:cs="Times New Roman"/>
          <w:kern w:val="0"/>
          <w:lang w:eastAsia="en-GB"/>
          <w14:ligatures w14:val="none"/>
        </w:rPr>
        <w:t xml:space="preserve"> interval, with higher values consistently representing greater external resilience. </w:t>
      </w:r>
    </w:p>
    <w:p w14:paraId="60E59CE3" w14:textId="77777777" w:rsidR="006B2D6A" w:rsidRPr="00536301" w:rsidRDefault="006B2D6A" w:rsidP="006B2D6A">
      <w:pPr>
        <w:spacing w:before="100" w:beforeAutospacing="1" w:after="100" w:afterAutospacing="1" w:line="240" w:lineRule="auto"/>
        <w:outlineLvl w:val="0"/>
        <w:rPr>
          <w:rFonts w:ascii="Times New Roman" w:eastAsia="Times New Roman" w:hAnsi="Times New Roman" w:cs="Times New Roman"/>
          <w:b/>
          <w:bCs/>
          <w:kern w:val="36"/>
          <w:lang w:eastAsia="en-GB"/>
          <w14:ligatures w14:val="none"/>
        </w:rPr>
      </w:pPr>
      <w:r w:rsidRPr="00536301">
        <w:rPr>
          <w:rFonts w:ascii="Times New Roman" w:eastAsia="Times New Roman" w:hAnsi="Times New Roman" w:cs="Times New Roman"/>
          <w:b/>
          <w:bCs/>
          <w:kern w:val="36"/>
          <w:lang w:eastAsia="en-GB"/>
          <w14:ligatures w14:val="none"/>
        </w:rPr>
        <w:lastRenderedPageBreak/>
        <w:t>Appendix C. Missing-Data, Coverage and ERI Eligibility Protocol</w:t>
      </w:r>
    </w:p>
    <w:p w14:paraId="63C09684" w14:textId="77777777" w:rsidR="006B2D6A" w:rsidRPr="00536301" w:rsidRDefault="006B2D6A" w:rsidP="006B2D6A">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Table C1. ERI Pillar-Level Coverage and Eligibility Requirements</w:t>
      </w:r>
    </w:p>
    <w:tbl>
      <w:tblPr>
        <w:tblStyle w:val="TableGrid"/>
        <w:tblW w:w="0" w:type="auto"/>
        <w:tblLook w:val="04A0" w:firstRow="1" w:lastRow="0" w:firstColumn="1" w:lastColumn="0" w:noHBand="0" w:noVBand="1"/>
      </w:tblPr>
      <w:tblGrid>
        <w:gridCol w:w="1346"/>
        <w:gridCol w:w="1823"/>
        <w:gridCol w:w="750"/>
        <w:gridCol w:w="1292"/>
        <w:gridCol w:w="1289"/>
        <w:gridCol w:w="1261"/>
        <w:gridCol w:w="1255"/>
      </w:tblGrid>
      <w:tr w:rsidR="006B2D6A" w:rsidRPr="00536301" w14:paraId="2AD11CB6" w14:textId="77777777" w:rsidTr="00710CEF">
        <w:tc>
          <w:tcPr>
            <w:tcW w:w="0" w:type="auto"/>
            <w:hideMark/>
          </w:tcPr>
          <w:p w14:paraId="6E5B2EED"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Dimension</w:t>
            </w:r>
          </w:p>
        </w:tc>
        <w:tc>
          <w:tcPr>
            <w:tcW w:w="0" w:type="auto"/>
            <w:hideMark/>
          </w:tcPr>
          <w:p w14:paraId="3B24264B"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Pillar</w:t>
            </w:r>
          </w:p>
        </w:tc>
        <w:tc>
          <w:tcPr>
            <w:tcW w:w="0" w:type="auto"/>
            <w:hideMark/>
          </w:tcPr>
          <w:p w14:paraId="74DDF02C"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Code</w:t>
            </w:r>
          </w:p>
        </w:tc>
        <w:tc>
          <w:tcPr>
            <w:tcW w:w="0" w:type="auto"/>
            <w:hideMark/>
          </w:tcPr>
          <w:p w14:paraId="0153BB87"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Indicators</w:t>
            </w:r>
          </w:p>
        </w:tc>
        <w:tc>
          <w:tcPr>
            <w:tcW w:w="0" w:type="auto"/>
            <w:hideMark/>
          </w:tcPr>
          <w:p w14:paraId="044DE0F8"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Indicators available</w:t>
            </w:r>
          </w:p>
        </w:tc>
        <w:tc>
          <w:tcPr>
            <w:tcW w:w="0" w:type="auto"/>
            <w:hideMark/>
          </w:tcPr>
          <w:p w14:paraId="3ABC430B"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Minimum required</w:t>
            </w:r>
          </w:p>
        </w:tc>
        <w:tc>
          <w:tcPr>
            <w:tcW w:w="0" w:type="auto"/>
            <w:hideMark/>
          </w:tcPr>
          <w:p w14:paraId="6364BDC5"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Eligibility rule</w:t>
            </w:r>
          </w:p>
        </w:tc>
      </w:tr>
      <w:tr w:rsidR="006B2D6A" w:rsidRPr="00536301" w14:paraId="0918110C" w14:textId="77777777" w:rsidTr="00710CEF">
        <w:tc>
          <w:tcPr>
            <w:tcW w:w="0" w:type="auto"/>
            <w:hideMark/>
          </w:tcPr>
          <w:p w14:paraId="33474C68"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Buffer Resilience</w:t>
            </w:r>
          </w:p>
        </w:tc>
        <w:tc>
          <w:tcPr>
            <w:tcW w:w="0" w:type="auto"/>
            <w:hideMark/>
          </w:tcPr>
          <w:p w14:paraId="514B06E6"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Liquidity and Reserve Adequacy</w:t>
            </w:r>
          </w:p>
        </w:tc>
        <w:tc>
          <w:tcPr>
            <w:tcW w:w="0" w:type="auto"/>
            <w:hideMark/>
          </w:tcPr>
          <w:p w14:paraId="46548C9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LQ</w:t>
            </w:r>
          </w:p>
        </w:tc>
        <w:tc>
          <w:tcPr>
            <w:tcW w:w="0" w:type="auto"/>
            <w:hideMark/>
          </w:tcPr>
          <w:p w14:paraId="34A2009A"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LQ1, LQ2</w:t>
            </w:r>
          </w:p>
        </w:tc>
        <w:tc>
          <w:tcPr>
            <w:tcW w:w="0" w:type="auto"/>
            <w:hideMark/>
          </w:tcPr>
          <w:p w14:paraId="45FDF0EE"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w:t>
            </w:r>
          </w:p>
        </w:tc>
        <w:tc>
          <w:tcPr>
            <w:tcW w:w="0" w:type="auto"/>
            <w:hideMark/>
          </w:tcPr>
          <w:p w14:paraId="3A10C443"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w:t>
            </w:r>
          </w:p>
        </w:tc>
        <w:tc>
          <w:tcPr>
            <w:tcW w:w="0" w:type="auto"/>
            <w:hideMark/>
          </w:tcPr>
          <w:p w14:paraId="3046041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Both indicators required</w:t>
            </w:r>
          </w:p>
        </w:tc>
      </w:tr>
      <w:tr w:rsidR="006B2D6A" w:rsidRPr="00536301" w14:paraId="3F1363BA" w14:textId="77777777" w:rsidTr="00710CEF">
        <w:tc>
          <w:tcPr>
            <w:tcW w:w="0" w:type="auto"/>
            <w:hideMark/>
          </w:tcPr>
          <w:p w14:paraId="7B52A44A"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Buffer Resilience</w:t>
            </w:r>
          </w:p>
        </w:tc>
        <w:tc>
          <w:tcPr>
            <w:tcW w:w="0" w:type="auto"/>
            <w:hideMark/>
          </w:tcPr>
          <w:p w14:paraId="2C75AE2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Balance-Sheet Strength</w:t>
            </w:r>
          </w:p>
        </w:tc>
        <w:tc>
          <w:tcPr>
            <w:tcW w:w="0" w:type="auto"/>
            <w:hideMark/>
          </w:tcPr>
          <w:p w14:paraId="39A7175D"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BS</w:t>
            </w:r>
          </w:p>
        </w:tc>
        <w:tc>
          <w:tcPr>
            <w:tcW w:w="0" w:type="auto"/>
            <w:hideMark/>
          </w:tcPr>
          <w:p w14:paraId="5A3814AA"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BS1, BS2</w:t>
            </w:r>
          </w:p>
        </w:tc>
        <w:tc>
          <w:tcPr>
            <w:tcW w:w="0" w:type="auto"/>
            <w:hideMark/>
          </w:tcPr>
          <w:p w14:paraId="347D9B58"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w:t>
            </w:r>
          </w:p>
        </w:tc>
        <w:tc>
          <w:tcPr>
            <w:tcW w:w="0" w:type="auto"/>
            <w:hideMark/>
          </w:tcPr>
          <w:p w14:paraId="51BD53C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w:t>
            </w:r>
          </w:p>
        </w:tc>
        <w:tc>
          <w:tcPr>
            <w:tcW w:w="0" w:type="auto"/>
            <w:hideMark/>
          </w:tcPr>
          <w:p w14:paraId="6744378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Both indicators required</w:t>
            </w:r>
          </w:p>
        </w:tc>
      </w:tr>
      <w:tr w:rsidR="006B2D6A" w:rsidRPr="00536301" w14:paraId="1010E955" w14:textId="77777777" w:rsidTr="00710CEF">
        <w:tc>
          <w:tcPr>
            <w:tcW w:w="0" w:type="auto"/>
            <w:hideMark/>
          </w:tcPr>
          <w:p w14:paraId="65E5B20E"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Structural-Adaptive Resilience</w:t>
            </w:r>
          </w:p>
        </w:tc>
        <w:tc>
          <w:tcPr>
            <w:tcW w:w="0" w:type="auto"/>
            <w:hideMark/>
          </w:tcPr>
          <w:p w14:paraId="37ECBAF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Financing Resilience</w:t>
            </w:r>
          </w:p>
        </w:tc>
        <w:tc>
          <w:tcPr>
            <w:tcW w:w="0" w:type="auto"/>
            <w:hideMark/>
          </w:tcPr>
          <w:p w14:paraId="0FCDADEA"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FN</w:t>
            </w:r>
          </w:p>
        </w:tc>
        <w:tc>
          <w:tcPr>
            <w:tcW w:w="0" w:type="auto"/>
            <w:hideMark/>
          </w:tcPr>
          <w:p w14:paraId="60959A1C"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FN1, FN2, FN3</w:t>
            </w:r>
          </w:p>
        </w:tc>
        <w:tc>
          <w:tcPr>
            <w:tcW w:w="0" w:type="auto"/>
            <w:hideMark/>
          </w:tcPr>
          <w:p w14:paraId="6646158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3</w:t>
            </w:r>
          </w:p>
        </w:tc>
        <w:tc>
          <w:tcPr>
            <w:tcW w:w="0" w:type="auto"/>
            <w:hideMark/>
          </w:tcPr>
          <w:p w14:paraId="29B52228"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w:t>
            </w:r>
          </w:p>
        </w:tc>
        <w:tc>
          <w:tcPr>
            <w:tcW w:w="0" w:type="auto"/>
            <w:hideMark/>
          </w:tcPr>
          <w:p w14:paraId="24EC15E6"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At least 2 of 3</w:t>
            </w:r>
          </w:p>
        </w:tc>
      </w:tr>
      <w:tr w:rsidR="006B2D6A" w:rsidRPr="00536301" w14:paraId="516CD068" w14:textId="77777777" w:rsidTr="00710CEF">
        <w:tc>
          <w:tcPr>
            <w:tcW w:w="0" w:type="auto"/>
            <w:hideMark/>
          </w:tcPr>
          <w:p w14:paraId="73D40E02"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Structural-Adaptive Resilience</w:t>
            </w:r>
          </w:p>
        </w:tc>
        <w:tc>
          <w:tcPr>
            <w:tcW w:w="0" w:type="auto"/>
            <w:hideMark/>
          </w:tcPr>
          <w:p w14:paraId="292A6268"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Trade Resilience</w:t>
            </w:r>
          </w:p>
        </w:tc>
        <w:tc>
          <w:tcPr>
            <w:tcW w:w="0" w:type="auto"/>
            <w:hideMark/>
          </w:tcPr>
          <w:p w14:paraId="5A0DF70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TR</w:t>
            </w:r>
          </w:p>
        </w:tc>
        <w:tc>
          <w:tcPr>
            <w:tcW w:w="0" w:type="auto"/>
            <w:hideMark/>
          </w:tcPr>
          <w:p w14:paraId="64CB0A81"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TR1, TR3, TR4</w:t>
            </w:r>
          </w:p>
        </w:tc>
        <w:tc>
          <w:tcPr>
            <w:tcW w:w="0" w:type="auto"/>
            <w:hideMark/>
          </w:tcPr>
          <w:p w14:paraId="5C5EE8D4"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3</w:t>
            </w:r>
          </w:p>
        </w:tc>
        <w:tc>
          <w:tcPr>
            <w:tcW w:w="0" w:type="auto"/>
            <w:hideMark/>
          </w:tcPr>
          <w:p w14:paraId="4016F16B"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w:t>
            </w:r>
          </w:p>
        </w:tc>
        <w:tc>
          <w:tcPr>
            <w:tcW w:w="0" w:type="auto"/>
            <w:hideMark/>
          </w:tcPr>
          <w:p w14:paraId="4B387EFF"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At least 2 of 3</w:t>
            </w:r>
          </w:p>
        </w:tc>
      </w:tr>
      <w:tr w:rsidR="006B2D6A" w:rsidRPr="00536301" w14:paraId="1979E188" w14:textId="77777777" w:rsidTr="00710CEF">
        <w:tc>
          <w:tcPr>
            <w:tcW w:w="0" w:type="auto"/>
            <w:hideMark/>
          </w:tcPr>
          <w:p w14:paraId="56840277"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Structural-Adaptive Resilience</w:t>
            </w:r>
          </w:p>
        </w:tc>
        <w:tc>
          <w:tcPr>
            <w:tcW w:w="0" w:type="auto"/>
            <w:hideMark/>
          </w:tcPr>
          <w:p w14:paraId="215F838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Debt and Remittance Resilience</w:t>
            </w:r>
          </w:p>
        </w:tc>
        <w:tc>
          <w:tcPr>
            <w:tcW w:w="0" w:type="auto"/>
            <w:hideMark/>
          </w:tcPr>
          <w:p w14:paraId="68455B8F"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DR</w:t>
            </w:r>
          </w:p>
        </w:tc>
        <w:tc>
          <w:tcPr>
            <w:tcW w:w="0" w:type="auto"/>
            <w:hideMark/>
          </w:tcPr>
          <w:p w14:paraId="47D6596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DR1, DR2, DR3</w:t>
            </w:r>
          </w:p>
        </w:tc>
        <w:tc>
          <w:tcPr>
            <w:tcW w:w="0" w:type="auto"/>
            <w:hideMark/>
          </w:tcPr>
          <w:p w14:paraId="0530F088"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3</w:t>
            </w:r>
          </w:p>
        </w:tc>
        <w:tc>
          <w:tcPr>
            <w:tcW w:w="0" w:type="auto"/>
            <w:hideMark/>
          </w:tcPr>
          <w:p w14:paraId="41884DA6"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w:t>
            </w:r>
          </w:p>
        </w:tc>
        <w:tc>
          <w:tcPr>
            <w:tcW w:w="0" w:type="auto"/>
            <w:hideMark/>
          </w:tcPr>
          <w:p w14:paraId="2517B4A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At least 2 of 3</w:t>
            </w:r>
          </w:p>
        </w:tc>
      </w:tr>
      <w:tr w:rsidR="006B2D6A" w:rsidRPr="00536301" w14:paraId="63D82924" w14:textId="77777777" w:rsidTr="00710CEF">
        <w:tc>
          <w:tcPr>
            <w:tcW w:w="0" w:type="auto"/>
            <w:hideMark/>
          </w:tcPr>
          <w:p w14:paraId="73CDCBBC"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Structural-Adaptive Resilience</w:t>
            </w:r>
          </w:p>
        </w:tc>
        <w:tc>
          <w:tcPr>
            <w:tcW w:w="0" w:type="auto"/>
            <w:hideMark/>
          </w:tcPr>
          <w:p w14:paraId="390DE761"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Macroeconomic Policy Capacity</w:t>
            </w:r>
          </w:p>
        </w:tc>
        <w:tc>
          <w:tcPr>
            <w:tcW w:w="0" w:type="auto"/>
            <w:hideMark/>
          </w:tcPr>
          <w:p w14:paraId="65724648"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MP</w:t>
            </w:r>
          </w:p>
        </w:tc>
        <w:tc>
          <w:tcPr>
            <w:tcW w:w="0" w:type="auto"/>
            <w:hideMark/>
          </w:tcPr>
          <w:p w14:paraId="6BFF3463"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MP1, MP2, MP3, MP4</w:t>
            </w:r>
          </w:p>
        </w:tc>
        <w:tc>
          <w:tcPr>
            <w:tcW w:w="0" w:type="auto"/>
            <w:hideMark/>
          </w:tcPr>
          <w:p w14:paraId="388999F3"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4</w:t>
            </w:r>
          </w:p>
        </w:tc>
        <w:tc>
          <w:tcPr>
            <w:tcW w:w="0" w:type="auto"/>
            <w:hideMark/>
          </w:tcPr>
          <w:p w14:paraId="11E3CCFB"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3</w:t>
            </w:r>
          </w:p>
        </w:tc>
        <w:tc>
          <w:tcPr>
            <w:tcW w:w="0" w:type="auto"/>
            <w:hideMark/>
          </w:tcPr>
          <w:p w14:paraId="6B3B7A8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At least 3 of 4</w:t>
            </w:r>
          </w:p>
        </w:tc>
      </w:tr>
      <w:tr w:rsidR="006B2D6A" w:rsidRPr="00536301" w14:paraId="52902C12" w14:textId="77777777" w:rsidTr="00710CEF">
        <w:tc>
          <w:tcPr>
            <w:tcW w:w="0" w:type="auto"/>
            <w:hideMark/>
          </w:tcPr>
          <w:p w14:paraId="76AF286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Structural-Adaptive Resilience</w:t>
            </w:r>
          </w:p>
        </w:tc>
        <w:tc>
          <w:tcPr>
            <w:tcW w:w="0" w:type="auto"/>
            <w:hideMark/>
          </w:tcPr>
          <w:p w14:paraId="38AE384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Productive and Institutional Adaptability</w:t>
            </w:r>
          </w:p>
        </w:tc>
        <w:tc>
          <w:tcPr>
            <w:tcW w:w="0" w:type="auto"/>
            <w:hideMark/>
          </w:tcPr>
          <w:p w14:paraId="0EB210D4"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PA</w:t>
            </w:r>
          </w:p>
        </w:tc>
        <w:tc>
          <w:tcPr>
            <w:tcW w:w="0" w:type="auto"/>
            <w:hideMark/>
          </w:tcPr>
          <w:p w14:paraId="603C535B"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PA1, PA2, PA3</w:t>
            </w:r>
          </w:p>
        </w:tc>
        <w:tc>
          <w:tcPr>
            <w:tcW w:w="0" w:type="auto"/>
            <w:hideMark/>
          </w:tcPr>
          <w:p w14:paraId="0556A8B2"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3</w:t>
            </w:r>
          </w:p>
        </w:tc>
        <w:tc>
          <w:tcPr>
            <w:tcW w:w="0" w:type="auto"/>
            <w:hideMark/>
          </w:tcPr>
          <w:p w14:paraId="689277F3"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w:t>
            </w:r>
          </w:p>
        </w:tc>
        <w:tc>
          <w:tcPr>
            <w:tcW w:w="0" w:type="auto"/>
            <w:hideMark/>
          </w:tcPr>
          <w:p w14:paraId="56108376"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At least 2 of 3</w:t>
            </w:r>
          </w:p>
        </w:tc>
      </w:tr>
    </w:tbl>
    <w:p w14:paraId="7FF77F15" w14:textId="77777777" w:rsidR="006B2D6A" w:rsidRPr="00536301" w:rsidRDefault="006B2D6A" w:rsidP="00C635A7">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Notes:</w:t>
      </w:r>
      <w:r w:rsidRPr="00536301">
        <w:rPr>
          <w:rFonts w:ascii="Times New Roman" w:eastAsia="Times New Roman" w:hAnsi="Times New Roman" w:cs="Times New Roman"/>
          <w:kern w:val="0"/>
          <w:lang w:eastAsia="en-GB"/>
          <w14:ligatures w14:val="none"/>
        </w:rPr>
        <w:t xml:space="preserve"> A pillar score is calculated only when its stated minimum indicator-coverage requirement is satisfied. Where partial coverage is permitted, qualifying normalized indicators are equally weighted within the pillar. Missing indicators are not assigned zero and are not statistically imputed or interpolated. The identity and number of indicators contributing to each pillar are retained as audit fields. </w:t>
      </w:r>
    </w:p>
    <w:p w14:paraId="54D352F2" w14:textId="77777777" w:rsidR="006B2D6A" w:rsidRPr="00536301" w:rsidRDefault="001C42B3" w:rsidP="006B2D6A">
      <w:pPr>
        <w:spacing w:after="0" w:line="240" w:lineRule="auto"/>
        <w:rPr>
          <w:rFonts w:ascii="Times New Roman" w:eastAsia="Times New Roman" w:hAnsi="Times New Roman" w:cs="Times New Roman"/>
          <w:kern w:val="0"/>
          <w:lang w:eastAsia="en-GB"/>
          <w14:ligatures w14:val="none"/>
        </w:rPr>
      </w:pPr>
      <w:r>
        <w:pict w14:anchorId="7266B40D">
          <v:rect id="Rectangle 1" o:spid="_x0000_s1026" alt="" style="width:451.3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4A21F397" w14:textId="77777777" w:rsidR="006B2D6A" w:rsidRPr="00536301" w:rsidRDefault="006B2D6A" w:rsidP="006B2D6A">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Table C2. Missing-Data and Aggregation Protocol</w:t>
      </w:r>
    </w:p>
    <w:tbl>
      <w:tblPr>
        <w:tblStyle w:val="TableGrid"/>
        <w:tblW w:w="0" w:type="auto"/>
        <w:tblLook w:val="04A0" w:firstRow="1" w:lastRow="0" w:firstColumn="1" w:lastColumn="0" w:noHBand="0" w:noVBand="1"/>
      </w:tblPr>
      <w:tblGrid>
        <w:gridCol w:w="1700"/>
        <w:gridCol w:w="2699"/>
        <w:gridCol w:w="2259"/>
        <w:gridCol w:w="2358"/>
      </w:tblGrid>
      <w:tr w:rsidR="006B2D6A" w:rsidRPr="00536301" w14:paraId="1A3C89E7" w14:textId="77777777" w:rsidTr="00496D02">
        <w:tc>
          <w:tcPr>
            <w:tcW w:w="0" w:type="auto"/>
            <w:hideMark/>
          </w:tcPr>
          <w:p w14:paraId="138AD45B"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Level</w:t>
            </w:r>
          </w:p>
        </w:tc>
        <w:tc>
          <w:tcPr>
            <w:tcW w:w="0" w:type="auto"/>
            <w:hideMark/>
          </w:tcPr>
          <w:p w14:paraId="50015B22"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Missing-data rule</w:t>
            </w:r>
          </w:p>
        </w:tc>
        <w:tc>
          <w:tcPr>
            <w:tcW w:w="0" w:type="auto"/>
            <w:hideMark/>
          </w:tcPr>
          <w:p w14:paraId="5F120A68"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Eligibility requirement</w:t>
            </w:r>
          </w:p>
        </w:tc>
        <w:tc>
          <w:tcPr>
            <w:tcW w:w="0" w:type="auto"/>
            <w:hideMark/>
          </w:tcPr>
          <w:p w14:paraId="52261691"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Treatment when requirement fails</w:t>
            </w:r>
          </w:p>
        </w:tc>
      </w:tr>
      <w:tr w:rsidR="006B2D6A" w:rsidRPr="00536301" w14:paraId="36D091F9" w14:textId="77777777" w:rsidTr="00496D02">
        <w:tc>
          <w:tcPr>
            <w:tcW w:w="0" w:type="auto"/>
            <w:hideMark/>
          </w:tcPr>
          <w:p w14:paraId="1F831280"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Raw indicator</w:t>
            </w:r>
          </w:p>
        </w:tc>
        <w:tc>
          <w:tcPr>
            <w:tcW w:w="0" w:type="auto"/>
            <w:hideMark/>
          </w:tcPr>
          <w:p w14:paraId="02697918"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Observed source data only</w:t>
            </w:r>
          </w:p>
        </w:tc>
        <w:tc>
          <w:tcPr>
            <w:tcW w:w="0" w:type="auto"/>
            <w:hideMark/>
          </w:tcPr>
          <w:p w14:paraId="235730DD"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Valid source observation</w:t>
            </w:r>
          </w:p>
        </w:tc>
        <w:tc>
          <w:tcPr>
            <w:tcW w:w="0" w:type="auto"/>
            <w:hideMark/>
          </w:tcPr>
          <w:p w14:paraId="62FA4908"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Indicator remains missing</w:t>
            </w:r>
          </w:p>
        </w:tc>
      </w:tr>
      <w:tr w:rsidR="006B2D6A" w:rsidRPr="00536301" w14:paraId="2F7FEF8D" w14:textId="77777777" w:rsidTr="00496D02">
        <w:tc>
          <w:tcPr>
            <w:tcW w:w="0" w:type="auto"/>
            <w:hideMark/>
          </w:tcPr>
          <w:p w14:paraId="7A7CBDAB"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Normalized indicator</w:t>
            </w:r>
          </w:p>
        </w:tc>
        <w:tc>
          <w:tcPr>
            <w:tcW w:w="0" w:type="auto"/>
            <w:hideMark/>
          </w:tcPr>
          <w:p w14:paraId="1E853C83"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Normalize only valid raw/derived observations</w:t>
            </w:r>
          </w:p>
        </w:tc>
        <w:tc>
          <w:tcPr>
            <w:tcW w:w="0" w:type="auto"/>
            <w:hideMark/>
          </w:tcPr>
          <w:p w14:paraId="786F3CF0"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Raw indicator available</w:t>
            </w:r>
          </w:p>
        </w:tc>
        <w:tc>
          <w:tcPr>
            <w:tcW w:w="0" w:type="auto"/>
            <w:hideMark/>
          </w:tcPr>
          <w:p w14:paraId="5E81AABD"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Normalized value remains missing</w:t>
            </w:r>
          </w:p>
        </w:tc>
      </w:tr>
      <w:tr w:rsidR="006B2D6A" w:rsidRPr="00536301" w14:paraId="5A896A45" w14:textId="77777777" w:rsidTr="00496D02">
        <w:tc>
          <w:tcPr>
            <w:tcW w:w="0" w:type="auto"/>
            <w:hideMark/>
          </w:tcPr>
          <w:p w14:paraId="5A15B45C"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LQ pillar</w:t>
            </w:r>
          </w:p>
        </w:tc>
        <w:tc>
          <w:tcPr>
            <w:tcW w:w="0" w:type="auto"/>
            <w:hideMark/>
          </w:tcPr>
          <w:p w14:paraId="0DB519D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No missing-value substitution</w:t>
            </w:r>
          </w:p>
        </w:tc>
        <w:tc>
          <w:tcPr>
            <w:tcW w:w="0" w:type="auto"/>
            <w:hideMark/>
          </w:tcPr>
          <w:p w14:paraId="77AD46F0"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 of 2</w:t>
            </w:r>
          </w:p>
        </w:tc>
        <w:tc>
          <w:tcPr>
            <w:tcW w:w="0" w:type="auto"/>
            <w:hideMark/>
          </w:tcPr>
          <w:p w14:paraId="4D874C5D"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LQ not calculated</w:t>
            </w:r>
          </w:p>
        </w:tc>
      </w:tr>
      <w:tr w:rsidR="006B2D6A" w:rsidRPr="00536301" w14:paraId="50B4D553" w14:textId="77777777" w:rsidTr="00496D02">
        <w:tc>
          <w:tcPr>
            <w:tcW w:w="0" w:type="auto"/>
            <w:hideMark/>
          </w:tcPr>
          <w:p w14:paraId="64BEB4C7"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BS pillar</w:t>
            </w:r>
          </w:p>
        </w:tc>
        <w:tc>
          <w:tcPr>
            <w:tcW w:w="0" w:type="auto"/>
            <w:hideMark/>
          </w:tcPr>
          <w:p w14:paraId="032A1CB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No missing-value substitution</w:t>
            </w:r>
          </w:p>
        </w:tc>
        <w:tc>
          <w:tcPr>
            <w:tcW w:w="0" w:type="auto"/>
            <w:hideMark/>
          </w:tcPr>
          <w:p w14:paraId="019CA44D"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 of 2</w:t>
            </w:r>
          </w:p>
        </w:tc>
        <w:tc>
          <w:tcPr>
            <w:tcW w:w="0" w:type="auto"/>
            <w:hideMark/>
          </w:tcPr>
          <w:p w14:paraId="7157CF33"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BS not calculated</w:t>
            </w:r>
          </w:p>
        </w:tc>
      </w:tr>
      <w:tr w:rsidR="006B2D6A" w:rsidRPr="00536301" w14:paraId="16A16BA4" w14:textId="77777777" w:rsidTr="00496D02">
        <w:tc>
          <w:tcPr>
            <w:tcW w:w="0" w:type="auto"/>
            <w:hideMark/>
          </w:tcPr>
          <w:p w14:paraId="4468BD46"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lastRenderedPageBreak/>
              <w:t>FN pillar</w:t>
            </w:r>
          </w:p>
        </w:tc>
        <w:tc>
          <w:tcPr>
            <w:tcW w:w="0" w:type="auto"/>
            <w:hideMark/>
          </w:tcPr>
          <w:p w14:paraId="0132046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Available-case mean within threshold</w:t>
            </w:r>
          </w:p>
        </w:tc>
        <w:tc>
          <w:tcPr>
            <w:tcW w:w="0" w:type="auto"/>
            <w:hideMark/>
          </w:tcPr>
          <w:p w14:paraId="76DF419F"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 of 3</w:t>
            </w:r>
          </w:p>
        </w:tc>
        <w:tc>
          <w:tcPr>
            <w:tcW w:w="0" w:type="auto"/>
            <w:hideMark/>
          </w:tcPr>
          <w:p w14:paraId="6DE5740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FN not calculated</w:t>
            </w:r>
          </w:p>
        </w:tc>
      </w:tr>
      <w:tr w:rsidR="006B2D6A" w:rsidRPr="00536301" w14:paraId="21CE9DAA" w14:textId="77777777" w:rsidTr="00496D02">
        <w:tc>
          <w:tcPr>
            <w:tcW w:w="0" w:type="auto"/>
            <w:hideMark/>
          </w:tcPr>
          <w:p w14:paraId="49AB3B7C"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TR pillar</w:t>
            </w:r>
          </w:p>
        </w:tc>
        <w:tc>
          <w:tcPr>
            <w:tcW w:w="0" w:type="auto"/>
            <w:hideMark/>
          </w:tcPr>
          <w:p w14:paraId="4915D3C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Available-case mean within threshold</w:t>
            </w:r>
          </w:p>
        </w:tc>
        <w:tc>
          <w:tcPr>
            <w:tcW w:w="0" w:type="auto"/>
            <w:hideMark/>
          </w:tcPr>
          <w:p w14:paraId="656A1098"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 of 3</w:t>
            </w:r>
          </w:p>
        </w:tc>
        <w:tc>
          <w:tcPr>
            <w:tcW w:w="0" w:type="auto"/>
            <w:hideMark/>
          </w:tcPr>
          <w:p w14:paraId="310B83DE"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TR not calculated</w:t>
            </w:r>
          </w:p>
        </w:tc>
      </w:tr>
      <w:tr w:rsidR="006B2D6A" w:rsidRPr="00536301" w14:paraId="1FF0A97B" w14:textId="77777777" w:rsidTr="00496D02">
        <w:tc>
          <w:tcPr>
            <w:tcW w:w="0" w:type="auto"/>
            <w:hideMark/>
          </w:tcPr>
          <w:p w14:paraId="0E833736"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DR pillar</w:t>
            </w:r>
          </w:p>
        </w:tc>
        <w:tc>
          <w:tcPr>
            <w:tcW w:w="0" w:type="auto"/>
            <w:hideMark/>
          </w:tcPr>
          <w:p w14:paraId="5AE9CBC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Available-case mean within threshold</w:t>
            </w:r>
          </w:p>
        </w:tc>
        <w:tc>
          <w:tcPr>
            <w:tcW w:w="0" w:type="auto"/>
            <w:hideMark/>
          </w:tcPr>
          <w:p w14:paraId="563BCE90"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 of 3</w:t>
            </w:r>
          </w:p>
        </w:tc>
        <w:tc>
          <w:tcPr>
            <w:tcW w:w="0" w:type="auto"/>
            <w:hideMark/>
          </w:tcPr>
          <w:p w14:paraId="4F703D68"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DR not calculated</w:t>
            </w:r>
          </w:p>
        </w:tc>
      </w:tr>
      <w:tr w:rsidR="006B2D6A" w:rsidRPr="00536301" w14:paraId="5C23B206" w14:textId="77777777" w:rsidTr="00496D02">
        <w:tc>
          <w:tcPr>
            <w:tcW w:w="0" w:type="auto"/>
            <w:hideMark/>
          </w:tcPr>
          <w:p w14:paraId="6EA2A05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MP pillar</w:t>
            </w:r>
          </w:p>
        </w:tc>
        <w:tc>
          <w:tcPr>
            <w:tcW w:w="0" w:type="auto"/>
            <w:hideMark/>
          </w:tcPr>
          <w:p w14:paraId="6FEDD61C"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Available-case mean within threshold</w:t>
            </w:r>
          </w:p>
        </w:tc>
        <w:tc>
          <w:tcPr>
            <w:tcW w:w="0" w:type="auto"/>
            <w:hideMark/>
          </w:tcPr>
          <w:p w14:paraId="123BEC5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≥3 of 4</w:t>
            </w:r>
          </w:p>
        </w:tc>
        <w:tc>
          <w:tcPr>
            <w:tcW w:w="0" w:type="auto"/>
            <w:hideMark/>
          </w:tcPr>
          <w:p w14:paraId="1FE62B9C"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MP not calculated</w:t>
            </w:r>
          </w:p>
        </w:tc>
      </w:tr>
      <w:tr w:rsidR="006B2D6A" w:rsidRPr="00536301" w14:paraId="0DD1AB76" w14:textId="77777777" w:rsidTr="00496D02">
        <w:tc>
          <w:tcPr>
            <w:tcW w:w="0" w:type="auto"/>
            <w:hideMark/>
          </w:tcPr>
          <w:p w14:paraId="60716C6A"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PA pillar</w:t>
            </w:r>
          </w:p>
        </w:tc>
        <w:tc>
          <w:tcPr>
            <w:tcW w:w="0" w:type="auto"/>
            <w:hideMark/>
          </w:tcPr>
          <w:p w14:paraId="7A590F5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Available-case mean within threshold</w:t>
            </w:r>
          </w:p>
        </w:tc>
        <w:tc>
          <w:tcPr>
            <w:tcW w:w="0" w:type="auto"/>
            <w:hideMark/>
          </w:tcPr>
          <w:p w14:paraId="45AEB84D"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≥2 of 3</w:t>
            </w:r>
          </w:p>
        </w:tc>
        <w:tc>
          <w:tcPr>
            <w:tcW w:w="0" w:type="auto"/>
            <w:hideMark/>
          </w:tcPr>
          <w:p w14:paraId="5AE13C43"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PA not calculated</w:t>
            </w:r>
          </w:p>
        </w:tc>
      </w:tr>
      <w:tr w:rsidR="006B2D6A" w:rsidRPr="00536301" w14:paraId="41F7607C" w14:textId="77777777" w:rsidTr="00496D02">
        <w:tc>
          <w:tcPr>
            <w:tcW w:w="0" w:type="auto"/>
            <w:hideMark/>
          </w:tcPr>
          <w:p w14:paraId="3FAB8E88"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BR dimension</w:t>
            </w:r>
          </w:p>
        </w:tc>
        <w:tc>
          <w:tcPr>
            <w:tcW w:w="0" w:type="auto"/>
            <w:hideMark/>
          </w:tcPr>
          <w:p w14:paraId="3387C7E1"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No dimension-level reweighting</w:t>
            </w:r>
          </w:p>
        </w:tc>
        <w:tc>
          <w:tcPr>
            <w:tcW w:w="0" w:type="auto"/>
            <w:hideMark/>
          </w:tcPr>
          <w:p w14:paraId="7B0BDFB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LQ and BS both valid</w:t>
            </w:r>
          </w:p>
        </w:tc>
        <w:tc>
          <w:tcPr>
            <w:tcW w:w="0" w:type="auto"/>
            <w:hideMark/>
          </w:tcPr>
          <w:p w14:paraId="1192A602"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BR not calculated</w:t>
            </w:r>
          </w:p>
        </w:tc>
      </w:tr>
      <w:tr w:rsidR="006B2D6A" w:rsidRPr="00536301" w14:paraId="698D5051" w14:textId="77777777" w:rsidTr="00496D02">
        <w:tc>
          <w:tcPr>
            <w:tcW w:w="0" w:type="auto"/>
            <w:hideMark/>
          </w:tcPr>
          <w:p w14:paraId="4A3D5302"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 dimension</w:t>
            </w:r>
          </w:p>
        </w:tc>
        <w:tc>
          <w:tcPr>
            <w:tcW w:w="0" w:type="auto"/>
            <w:hideMark/>
          </w:tcPr>
          <w:p w14:paraId="2DA64506"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No dimension-level reweighting</w:t>
            </w:r>
          </w:p>
        </w:tc>
        <w:tc>
          <w:tcPr>
            <w:tcW w:w="0" w:type="auto"/>
            <w:hideMark/>
          </w:tcPr>
          <w:p w14:paraId="5EB2D417"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FN, TR, DR, MP and PA all valid</w:t>
            </w:r>
          </w:p>
        </w:tc>
        <w:tc>
          <w:tcPr>
            <w:tcW w:w="0" w:type="auto"/>
            <w:hideMark/>
          </w:tcPr>
          <w:p w14:paraId="0D7F5930"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SAR not calculated</w:t>
            </w:r>
          </w:p>
        </w:tc>
      </w:tr>
      <w:tr w:rsidR="006B2D6A" w:rsidRPr="00536301" w14:paraId="221E8FAA" w14:textId="77777777" w:rsidTr="00496D02">
        <w:tc>
          <w:tcPr>
            <w:tcW w:w="0" w:type="auto"/>
            <w:hideMark/>
          </w:tcPr>
          <w:p w14:paraId="6D4F1102"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Headline ERI</w:t>
            </w:r>
          </w:p>
        </w:tc>
        <w:tc>
          <w:tcPr>
            <w:tcW w:w="0" w:type="auto"/>
            <w:hideMark/>
          </w:tcPr>
          <w:p w14:paraId="0D4C74E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No missing-pillar reweighting</w:t>
            </w:r>
          </w:p>
        </w:tc>
        <w:tc>
          <w:tcPr>
            <w:tcW w:w="0" w:type="auto"/>
            <w:hideMark/>
          </w:tcPr>
          <w:p w14:paraId="492DD9CC"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All seven pillars valid</w:t>
            </w:r>
          </w:p>
        </w:tc>
        <w:tc>
          <w:tcPr>
            <w:tcW w:w="0" w:type="auto"/>
            <w:hideMark/>
          </w:tcPr>
          <w:p w14:paraId="7F094810"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 headline ERI reported</w:t>
            </w:r>
          </w:p>
        </w:tc>
      </w:tr>
    </w:tbl>
    <w:p w14:paraId="097A3E5C" w14:textId="77777777" w:rsidR="006B2D6A" w:rsidRPr="00536301" w:rsidRDefault="006B2D6A" w:rsidP="00975501">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Notes:</w:t>
      </w:r>
      <w:r w:rsidRPr="00536301">
        <w:rPr>
          <w:rFonts w:ascii="Times New Roman" w:eastAsia="Times New Roman" w:hAnsi="Times New Roman" w:cs="Times New Roman"/>
          <w:kern w:val="0"/>
          <w:lang w:eastAsia="en-GB"/>
          <w14:ligatures w14:val="none"/>
        </w:rPr>
        <w:t xml:space="preserve"> ERI-Strict prioritizes comparability over maximum country coverage. Missing pillars are never reweighted away. Consequently, every published headline ERI observation is based on the same seven-pillar conceptual architecture even where permitted within-pillar indicator availability differs. </w:t>
      </w:r>
    </w:p>
    <w:p w14:paraId="53DA7007" w14:textId="10544D71" w:rsidR="006B2D6A" w:rsidRPr="00536301" w:rsidRDefault="006B2D6A" w:rsidP="0090435D">
      <w:pPr>
        <w:spacing w:after="0" w:line="240" w:lineRule="auto"/>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Table C3. Final ERI-Strict Coverage Summary Following Source-Coverage Repair</w:t>
      </w:r>
    </w:p>
    <w:tbl>
      <w:tblPr>
        <w:tblStyle w:val="TableGrid"/>
        <w:tblW w:w="0" w:type="auto"/>
        <w:tblLook w:val="04A0" w:firstRow="1" w:lastRow="0" w:firstColumn="1" w:lastColumn="0" w:noHBand="0" w:noVBand="1"/>
      </w:tblPr>
      <w:tblGrid>
        <w:gridCol w:w="5621"/>
        <w:gridCol w:w="1690"/>
      </w:tblGrid>
      <w:tr w:rsidR="006B2D6A" w:rsidRPr="00536301" w14:paraId="2874ED04" w14:textId="77777777" w:rsidTr="00CD2044">
        <w:tc>
          <w:tcPr>
            <w:tcW w:w="0" w:type="auto"/>
            <w:hideMark/>
          </w:tcPr>
          <w:p w14:paraId="7E08AE48"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Coverage measure</w:t>
            </w:r>
          </w:p>
        </w:tc>
        <w:tc>
          <w:tcPr>
            <w:tcW w:w="0" w:type="auto"/>
            <w:hideMark/>
          </w:tcPr>
          <w:p w14:paraId="2E12F605"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Final result</w:t>
            </w:r>
          </w:p>
        </w:tc>
      </w:tr>
      <w:tr w:rsidR="006B2D6A" w:rsidRPr="00536301" w14:paraId="2D14D517" w14:textId="77777777" w:rsidTr="00CD2044">
        <w:tc>
          <w:tcPr>
            <w:tcW w:w="0" w:type="auto"/>
            <w:hideMark/>
          </w:tcPr>
          <w:p w14:paraId="28B58C12"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Study period</w:t>
            </w:r>
          </w:p>
        </w:tc>
        <w:tc>
          <w:tcPr>
            <w:tcW w:w="0" w:type="auto"/>
            <w:hideMark/>
          </w:tcPr>
          <w:p w14:paraId="57CB4B4E"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1998–2024</w:t>
            </w:r>
          </w:p>
        </w:tc>
      </w:tr>
      <w:tr w:rsidR="006B2D6A" w:rsidRPr="00536301" w14:paraId="6D3D21B7" w14:textId="77777777" w:rsidTr="00CD2044">
        <w:tc>
          <w:tcPr>
            <w:tcW w:w="0" w:type="auto"/>
            <w:hideMark/>
          </w:tcPr>
          <w:p w14:paraId="133FA076"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Underlying country universe</w:t>
            </w:r>
          </w:p>
        </w:tc>
        <w:tc>
          <w:tcPr>
            <w:tcW w:w="0" w:type="auto"/>
            <w:hideMark/>
          </w:tcPr>
          <w:p w14:paraId="0AFB7ED3"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196 economies</w:t>
            </w:r>
          </w:p>
        </w:tc>
      </w:tr>
      <w:tr w:rsidR="006B2D6A" w:rsidRPr="00536301" w14:paraId="48939633" w14:textId="77777777" w:rsidTr="00CD2044">
        <w:tc>
          <w:tcPr>
            <w:tcW w:w="0" w:type="auto"/>
            <w:hideMark/>
          </w:tcPr>
          <w:p w14:paraId="5D436B1B"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Potential country-year universe</w:t>
            </w:r>
          </w:p>
        </w:tc>
        <w:tc>
          <w:tcPr>
            <w:tcW w:w="0" w:type="auto"/>
            <w:hideMark/>
          </w:tcPr>
          <w:p w14:paraId="7E70CDC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5,292</w:t>
            </w:r>
          </w:p>
        </w:tc>
      </w:tr>
      <w:tr w:rsidR="006B2D6A" w:rsidRPr="00536301" w14:paraId="59EA473D" w14:textId="77777777" w:rsidTr="00CD2044">
        <w:tc>
          <w:tcPr>
            <w:tcW w:w="0" w:type="auto"/>
            <w:hideMark/>
          </w:tcPr>
          <w:p w14:paraId="60F5F7DE"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ERI-Strict country-year observations</w:t>
            </w:r>
          </w:p>
        </w:tc>
        <w:tc>
          <w:tcPr>
            <w:tcW w:w="0" w:type="auto"/>
            <w:hideMark/>
          </w:tcPr>
          <w:p w14:paraId="5732FB94"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2,581</w:t>
            </w:r>
          </w:p>
        </w:tc>
      </w:tr>
      <w:tr w:rsidR="006B2D6A" w:rsidRPr="00536301" w14:paraId="3457F1A5" w14:textId="77777777" w:rsidTr="00CD2044">
        <w:tc>
          <w:tcPr>
            <w:tcW w:w="0" w:type="auto"/>
            <w:hideMark/>
          </w:tcPr>
          <w:p w14:paraId="0BBBCD46"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ERI-Strict share of potential universe</w:t>
            </w:r>
          </w:p>
        </w:tc>
        <w:tc>
          <w:tcPr>
            <w:tcW w:w="0" w:type="auto"/>
            <w:hideMark/>
          </w:tcPr>
          <w:p w14:paraId="3EBEAF4D"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48.8%</w:t>
            </w:r>
          </w:p>
        </w:tc>
      </w:tr>
      <w:tr w:rsidR="006B2D6A" w:rsidRPr="00536301" w14:paraId="5E95EFAC" w14:textId="77777777" w:rsidTr="00CD2044">
        <w:tc>
          <w:tcPr>
            <w:tcW w:w="0" w:type="auto"/>
            <w:hideMark/>
          </w:tcPr>
          <w:p w14:paraId="2CDE042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Economies with ≥1 valid ERI-Strict observation</w:t>
            </w:r>
          </w:p>
        </w:tc>
        <w:tc>
          <w:tcPr>
            <w:tcW w:w="0" w:type="auto"/>
            <w:hideMark/>
          </w:tcPr>
          <w:p w14:paraId="5C525BBB"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141</w:t>
            </w:r>
          </w:p>
        </w:tc>
      </w:tr>
      <w:tr w:rsidR="006B2D6A" w:rsidRPr="00536301" w14:paraId="0E6B57E7" w14:textId="77777777" w:rsidTr="00CD2044">
        <w:tc>
          <w:tcPr>
            <w:tcW w:w="0" w:type="auto"/>
            <w:hideMark/>
          </w:tcPr>
          <w:p w14:paraId="3918720D"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Share of underlying economies represented at least once</w:t>
            </w:r>
          </w:p>
        </w:tc>
        <w:tc>
          <w:tcPr>
            <w:tcW w:w="0" w:type="auto"/>
            <w:hideMark/>
          </w:tcPr>
          <w:p w14:paraId="79DC2B0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71.9%</w:t>
            </w:r>
          </w:p>
        </w:tc>
      </w:tr>
      <w:tr w:rsidR="006B2D6A" w:rsidRPr="00536301" w14:paraId="544F3B6F" w14:textId="77777777" w:rsidTr="00CD2044">
        <w:tc>
          <w:tcPr>
            <w:tcW w:w="0" w:type="auto"/>
            <w:hideMark/>
          </w:tcPr>
          <w:p w14:paraId="471800C6"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Economies satisfying all seven pillars in 2024</w:t>
            </w:r>
          </w:p>
        </w:tc>
        <w:tc>
          <w:tcPr>
            <w:tcW w:w="0" w:type="auto"/>
            <w:hideMark/>
          </w:tcPr>
          <w:p w14:paraId="7EE28D2F"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82</w:t>
            </w:r>
          </w:p>
        </w:tc>
      </w:tr>
      <w:tr w:rsidR="006B2D6A" w:rsidRPr="00536301" w14:paraId="6CAF7AF3" w14:textId="77777777" w:rsidTr="00CD2044">
        <w:tc>
          <w:tcPr>
            <w:tcW w:w="0" w:type="auto"/>
            <w:hideMark/>
          </w:tcPr>
          <w:p w14:paraId="7EA7F8CC"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Post-calibration validation period</w:t>
            </w:r>
          </w:p>
        </w:tc>
        <w:tc>
          <w:tcPr>
            <w:tcW w:w="0" w:type="auto"/>
            <w:hideMark/>
          </w:tcPr>
          <w:p w14:paraId="0D00A46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2011–2024</w:t>
            </w:r>
          </w:p>
        </w:tc>
      </w:tr>
      <w:tr w:rsidR="006B2D6A" w:rsidRPr="00536301" w14:paraId="68C313DC" w14:textId="77777777" w:rsidTr="00CD2044">
        <w:tc>
          <w:tcPr>
            <w:tcW w:w="0" w:type="auto"/>
            <w:hideMark/>
          </w:tcPr>
          <w:p w14:paraId="230CA853"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Post-calibration ERI-Strict observations</w:t>
            </w:r>
          </w:p>
        </w:tc>
        <w:tc>
          <w:tcPr>
            <w:tcW w:w="0" w:type="auto"/>
            <w:hideMark/>
          </w:tcPr>
          <w:p w14:paraId="37A24F2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1,588</w:t>
            </w:r>
          </w:p>
        </w:tc>
      </w:tr>
      <w:tr w:rsidR="006B2D6A" w:rsidRPr="00536301" w14:paraId="6DB6790A" w14:textId="77777777" w:rsidTr="00CD2044">
        <w:tc>
          <w:tcPr>
            <w:tcW w:w="0" w:type="auto"/>
            <w:hideMark/>
          </w:tcPr>
          <w:p w14:paraId="1EDDBB76"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Calibration period</w:t>
            </w:r>
          </w:p>
        </w:tc>
        <w:tc>
          <w:tcPr>
            <w:tcW w:w="0" w:type="auto"/>
            <w:hideMark/>
          </w:tcPr>
          <w:p w14:paraId="3B6D5DDB"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1998–2010</w:t>
            </w:r>
          </w:p>
        </w:tc>
      </w:tr>
      <w:tr w:rsidR="006B2D6A" w:rsidRPr="00536301" w14:paraId="0A3A9E2B" w14:textId="77777777" w:rsidTr="00CD2044">
        <w:tc>
          <w:tcPr>
            <w:tcW w:w="0" w:type="auto"/>
            <w:hideMark/>
          </w:tcPr>
          <w:p w14:paraId="0C4E76B6"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Statistical interpolation/imputation</w:t>
            </w:r>
          </w:p>
        </w:tc>
        <w:tc>
          <w:tcPr>
            <w:tcW w:w="0" w:type="auto"/>
            <w:hideMark/>
          </w:tcPr>
          <w:p w14:paraId="392CE42E"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None</w:t>
            </w:r>
          </w:p>
        </w:tc>
      </w:tr>
      <w:tr w:rsidR="006B2D6A" w:rsidRPr="00536301" w14:paraId="313BCFC9" w14:textId="77777777" w:rsidTr="00CD2044">
        <w:tc>
          <w:tcPr>
            <w:tcW w:w="0" w:type="auto"/>
            <w:hideMark/>
          </w:tcPr>
          <w:p w14:paraId="05D288DA"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Required valid pillars for headline ERI</w:t>
            </w:r>
          </w:p>
        </w:tc>
        <w:tc>
          <w:tcPr>
            <w:tcW w:w="0" w:type="auto"/>
            <w:hideMark/>
          </w:tcPr>
          <w:p w14:paraId="78D8D3A1"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7 of 7</w:t>
            </w:r>
          </w:p>
        </w:tc>
      </w:tr>
    </w:tbl>
    <w:p w14:paraId="17F88FE9" w14:textId="78E7CC41" w:rsidR="006B2D6A" w:rsidRPr="00536301" w:rsidRDefault="006B2D6A" w:rsidP="00280789">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Notes:</w:t>
      </w:r>
      <w:r w:rsidRPr="00536301">
        <w:rPr>
          <w:rFonts w:ascii="Times New Roman" w:eastAsia="Times New Roman" w:hAnsi="Times New Roman" w:cs="Times New Roman"/>
          <w:kern w:val="0"/>
          <w:lang w:eastAsia="en-GB"/>
          <w14:ligatures w14:val="none"/>
        </w:rPr>
        <w:t xml:space="preserve"> The underlying universe comprises 196 economies observed potentially over 27 years, yielding 5,292 possible economy-year combinations. ERI-Strict observations are reported only when all seven pillar requirements are satisfied. The resulting unbalanced panel therefore reflects documented source availability and the frozen eligibility protocol rather than statistical filling of missing observations. The 1998–2010 period establishes fixed normalization bounds; formal predictive validation begins in 2011.</w:t>
      </w:r>
    </w:p>
    <w:p w14:paraId="35B5A9D9" w14:textId="77777777" w:rsidR="006B2D6A" w:rsidRPr="00536301" w:rsidRDefault="006B2D6A" w:rsidP="006B2D6A">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Table C4. ERI Eligibility and Audit Fields</w:t>
      </w:r>
    </w:p>
    <w:tbl>
      <w:tblPr>
        <w:tblStyle w:val="TableGrid"/>
        <w:tblW w:w="0" w:type="auto"/>
        <w:tblLook w:val="04A0" w:firstRow="1" w:lastRow="0" w:firstColumn="1" w:lastColumn="0" w:noHBand="0" w:noVBand="1"/>
      </w:tblPr>
      <w:tblGrid>
        <w:gridCol w:w="2527"/>
        <w:gridCol w:w="3144"/>
        <w:gridCol w:w="3345"/>
      </w:tblGrid>
      <w:tr w:rsidR="006B2D6A" w:rsidRPr="00536301" w14:paraId="2DA8E1C7" w14:textId="77777777" w:rsidTr="005F3DB8">
        <w:tc>
          <w:tcPr>
            <w:tcW w:w="0" w:type="auto"/>
            <w:hideMark/>
          </w:tcPr>
          <w:p w14:paraId="1541B942"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Audit field</w:t>
            </w:r>
          </w:p>
        </w:tc>
        <w:tc>
          <w:tcPr>
            <w:tcW w:w="0" w:type="auto"/>
            <w:hideMark/>
          </w:tcPr>
          <w:p w14:paraId="156CE123"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Definition</w:t>
            </w:r>
          </w:p>
        </w:tc>
        <w:tc>
          <w:tcPr>
            <w:tcW w:w="0" w:type="auto"/>
            <w:hideMark/>
          </w:tcPr>
          <w:p w14:paraId="0D05AC1F"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Eligibility interpretation</w:t>
            </w:r>
          </w:p>
        </w:tc>
      </w:tr>
      <w:tr w:rsidR="006B2D6A" w:rsidRPr="00536301" w14:paraId="04346A35" w14:textId="77777777" w:rsidTr="005F3DB8">
        <w:tc>
          <w:tcPr>
            <w:tcW w:w="0" w:type="auto"/>
            <w:hideMark/>
          </w:tcPr>
          <w:p w14:paraId="42EA51D4"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lastRenderedPageBreak/>
              <w:t>n_LQ</w:t>
            </w:r>
          </w:p>
        </w:tc>
        <w:tc>
          <w:tcPr>
            <w:tcW w:w="0" w:type="auto"/>
            <w:hideMark/>
          </w:tcPr>
          <w:p w14:paraId="3252173F"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Number of valid normalized LQ indicators</w:t>
            </w:r>
          </w:p>
        </w:tc>
        <w:tc>
          <w:tcPr>
            <w:tcW w:w="0" w:type="auto"/>
            <w:hideMark/>
          </w:tcPr>
          <w:p w14:paraId="12528E93"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Eligible if = 2</w:t>
            </w:r>
          </w:p>
        </w:tc>
      </w:tr>
      <w:tr w:rsidR="006B2D6A" w:rsidRPr="00536301" w14:paraId="0091381D" w14:textId="77777777" w:rsidTr="005F3DB8">
        <w:tc>
          <w:tcPr>
            <w:tcW w:w="0" w:type="auto"/>
            <w:hideMark/>
          </w:tcPr>
          <w:p w14:paraId="69DB2DB2"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n_BS</w:t>
            </w:r>
          </w:p>
        </w:tc>
        <w:tc>
          <w:tcPr>
            <w:tcW w:w="0" w:type="auto"/>
            <w:hideMark/>
          </w:tcPr>
          <w:p w14:paraId="1874F99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Number of valid normalized BS indicators</w:t>
            </w:r>
          </w:p>
        </w:tc>
        <w:tc>
          <w:tcPr>
            <w:tcW w:w="0" w:type="auto"/>
            <w:hideMark/>
          </w:tcPr>
          <w:p w14:paraId="5A977C87"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Eligible if = 2</w:t>
            </w:r>
          </w:p>
        </w:tc>
      </w:tr>
      <w:tr w:rsidR="006B2D6A" w:rsidRPr="00536301" w14:paraId="40C7ADCF" w14:textId="77777777" w:rsidTr="005F3DB8">
        <w:tc>
          <w:tcPr>
            <w:tcW w:w="0" w:type="auto"/>
            <w:hideMark/>
          </w:tcPr>
          <w:p w14:paraId="5E2267AE"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n_FN</w:t>
            </w:r>
          </w:p>
        </w:tc>
        <w:tc>
          <w:tcPr>
            <w:tcW w:w="0" w:type="auto"/>
            <w:hideMark/>
          </w:tcPr>
          <w:p w14:paraId="68F0726C"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Number of valid normalized FN indicators</w:t>
            </w:r>
          </w:p>
        </w:tc>
        <w:tc>
          <w:tcPr>
            <w:tcW w:w="0" w:type="auto"/>
            <w:hideMark/>
          </w:tcPr>
          <w:p w14:paraId="6B629A5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Eligible if ≥ 2</w:t>
            </w:r>
          </w:p>
        </w:tc>
      </w:tr>
      <w:tr w:rsidR="006B2D6A" w:rsidRPr="00536301" w14:paraId="4F3D6492" w14:textId="77777777" w:rsidTr="005F3DB8">
        <w:tc>
          <w:tcPr>
            <w:tcW w:w="0" w:type="auto"/>
            <w:hideMark/>
          </w:tcPr>
          <w:p w14:paraId="4763AC80"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n_TR</w:t>
            </w:r>
          </w:p>
        </w:tc>
        <w:tc>
          <w:tcPr>
            <w:tcW w:w="0" w:type="auto"/>
            <w:hideMark/>
          </w:tcPr>
          <w:p w14:paraId="55DD7D38"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Number of valid normalized TR indicators</w:t>
            </w:r>
          </w:p>
        </w:tc>
        <w:tc>
          <w:tcPr>
            <w:tcW w:w="0" w:type="auto"/>
            <w:hideMark/>
          </w:tcPr>
          <w:p w14:paraId="2D19BB91"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Eligible if ≥ 2</w:t>
            </w:r>
          </w:p>
        </w:tc>
      </w:tr>
      <w:tr w:rsidR="006B2D6A" w:rsidRPr="00536301" w14:paraId="727B6188" w14:textId="77777777" w:rsidTr="005F3DB8">
        <w:tc>
          <w:tcPr>
            <w:tcW w:w="0" w:type="auto"/>
            <w:hideMark/>
          </w:tcPr>
          <w:p w14:paraId="0148060A"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n_DR</w:t>
            </w:r>
          </w:p>
        </w:tc>
        <w:tc>
          <w:tcPr>
            <w:tcW w:w="0" w:type="auto"/>
            <w:hideMark/>
          </w:tcPr>
          <w:p w14:paraId="431C6EAC"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Number of valid normalized DR indicators</w:t>
            </w:r>
          </w:p>
        </w:tc>
        <w:tc>
          <w:tcPr>
            <w:tcW w:w="0" w:type="auto"/>
            <w:hideMark/>
          </w:tcPr>
          <w:p w14:paraId="34CE8970"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Eligible if ≥ 2</w:t>
            </w:r>
          </w:p>
        </w:tc>
      </w:tr>
      <w:tr w:rsidR="006B2D6A" w:rsidRPr="00536301" w14:paraId="07D7EE66" w14:textId="77777777" w:rsidTr="005F3DB8">
        <w:tc>
          <w:tcPr>
            <w:tcW w:w="0" w:type="auto"/>
            <w:hideMark/>
          </w:tcPr>
          <w:p w14:paraId="02598211"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n_MP</w:t>
            </w:r>
          </w:p>
        </w:tc>
        <w:tc>
          <w:tcPr>
            <w:tcW w:w="0" w:type="auto"/>
            <w:hideMark/>
          </w:tcPr>
          <w:p w14:paraId="3EDF699E"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Number of valid normalized MP indicators</w:t>
            </w:r>
          </w:p>
        </w:tc>
        <w:tc>
          <w:tcPr>
            <w:tcW w:w="0" w:type="auto"/>
            <w:hideMark/>
          </w:tcPr>
          <w:p w14:paraId="1BE3A90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Eligible if ≥ 3</w:t>
            </w:r>
          </w:p>
        </w:tc>
      </w:tr>
      <w:tr w:rsidR="006B2D6A" w:rsidRPr="00536301" w14:paraId="39CA55C9" w14:textId="77777777" w:rsidTr="005F3DB8">
        <w:tc>
          <w:tcPr>
            <w:tcW w:w="0" w:type="auto"/>
            <w:hideMark/>
          </w:tcPr>
          <w:p w14:paraId="01E180C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n_PA</w:t>
            </w:r>
          </w:p>
        </w:tc>
        <w:tc>
          <w:tcPr>
            <w:tcW w:w="0" w:type="auto"/>
            <w:hideMark/>
          </w:tcPr>
          <w:p w14:paraId="4315C482"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Number of valid normalized PA indicators</w:t>
            </w:r>
          </w:p>
        </w:tc>
        <w:tc>
          <w:tcPr>
            <w:tcW w:w="0" w:type="auto"/>
            <w:hideMark/>
          </w:tcPr>
          <w:p w14:paraId="352078E2"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Eligible if ≥ 2</w:t>
            </w:r>
          </w:p>
        </w:tc>
      </w:tr>
      <w:tr w:rsidR="006B2D6A" w:rsidRPr="00536301" w14:paraId="484B283C" w14:textId="77777777" w:rsidTr="005F3DB8">
        <w:tc>
          <w:tcPr>
            <w:tcW w:w="0" w:type="auto"/>
            <w:hideMark/>
          </w:tcPr>
          <w:p w14:paraId="2249D823"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eligible_LQ–eligible_PA</w:t>
            </w:r>
          </w:p>
        </w:tc>
        <w:tc>
          <w:tcPr>
            <w:tcW w:w="0" w:type="auto"/>
            <w:hideMark/>
          </w:tcPr>
          <w:p w14:paraId="05F58192"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Pillar-specific eligibility indicators</w:t>
            </w:r>
          </w:p>
        </w:tc>
        <w:tc>
          <w:tcPr>
            <w:tcW w:w="0" w:type="auto"/>
            <w:hideMark/>
          </w:tcPr>
          <w:p w14:paraId="36788320"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 when corresponding threshold is satisfied</w:t>
            </w:r>
          </w:p>
        </w:tc>
      </w:tr>
      <w:tr w:rsidR="006B2D6A" w:rsidRPr="00536301" w14:paraId="5FD16738" w14:textId="77777777" w:rsidTr="005F3DB8">
        <w:tc>
          <w:tcPr>
            <w:tcW w:w="0" w:type="auto"/>
            <w:hideMark/>
          </w:tcPr>
          <w:p w14:paraId="065355D3"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eligible_BR</w:t>
            </w:r>
          </w:p>
        </w:tc>
        <w:tc>
          <w:tcPr>
            <w:tcW w:w="0" w:type="auto"/>
            <w:hideMark/>
          </w:tcPr>
          <w:p w14:paraId="461032D4"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Buffer Resilience eligibility</w:t>
            </w:r>
          </w:p>
        </w:tc>
        <w:tc>
          <w:tcPr>
            <w:tcW w:w="0" w:type="auto"/>
            <w:hideMark/>
          </w:tcPr>
          <w:p w14:paraId="767ACB2D"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 when LQ and BS are both valid</w:t>
            </w:r>
          </w:p>
        </w:tc>
      </w:tr>
      <w:tr w:rsidR="006B2D6A" w:rsidRPr="00536301" w14:paraId="2011260E" w14:textId="77777777" w:rsidTr="005F3DB8">
        <w:tc>
          <w:tcPr>
            <w:tcW w:w="0" w:type="auto"/>
            <w:hideMark/>
          </w:tcPr>
          <w:p w14:paraId="7F71C281"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eligible_SAR</w:t>
            </w:r>
          </w:p>
        </w:tc>
        <w:tc>
          <w:tcPr>
            <w:tcW w:w="0" w:type="auto"/>
            <w:hideMark/>
          </w:tcPr>
          <w:p w14:paraId="4A3FD60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Structural-Adaptive Resilience eligibility</w:t>
            </w:r>
          </w:p>
        </w:tc>
        <w:tc>
          <w:tcPr>
            <w:tcW w:w="0" w:type="auto"/>
            <w:hideMark/>
          </w:tcPr>
          <w:p w14:paraId="0E02E4D3"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 when FN, TR, DR, MP and PA are all valid</w:t>
            </w:r>
          </w:p>
        </w:tc>
      </w:tr>
      <w:tr w:rsidR="006B2D6A" w:rsidRPr="00536301" w14:paraId="1AAADF46" w14:textId="77777777" w:rsidTr="005F3DB8">
        <w:tc>
          <w:tcPr>
            <w:tcW w:w="0" w:type="auto"/>
            <w:hideMark/>
          </w:tcPr>
          <w:p w14:paraId="4CEDB1CA"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eligible_ERI_strict</w:t>
            </w:r>
          </w:p>
        </w:tc>
        <w:tc>
          <w:tcPr>
            <w:tcW w:w="0" w:type="auto"/>
            <w:hideMark/>
          </w:tcPr>
          <w:p w14:paraId="55CA6FE4"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Headline ERI eligibility</w:t>
            </w:r>
          </w:p>
        </w:tc>
        <w:tc>
          <w:tcPr>
            <w:tcW w:w="0" w:type="auto"/>
            <w:hideMark/>
          </w:tcPr>
          <w:p w14:paraId="5233720B"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1 only when all seven pillars are valid</w:t>
            </w:r>
          </w:p>
        </w:tc>
      </w:tr>
      <w:tr w:rsidR="006B2D6A" w:rsidRPr="00536301" w14:paraId="391BB162" w14:textId="77777777" w:rsidTr="005F3DB8">
        <w:tc>
          <w:tcPr>
            <w:tcW w:w="0" w:type="auto"/>
            <w:hideMark/>
          </w:tcPr>
          <w:p w14:paraId="28443AA7"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coverage_indicators</w:t>
            </w:r>
          </w:p>
        </w:tc>
        <w:tc>
          <w:tcPr>
            <w:tcW w:w="0" w:type="auto"/>
            <w:hideMark/>
          </w:tcPr>
          <w:p w14:paraId="5C8AD150"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Number of observed ERI indicators / 20</w:t>
            </w:r>
          </w:p>
        </w:tc>
        <w:tc>
          <w:tcPr>
            <w:tcW w:w="0" w:type="auto"/>
            <w:hideMark/>
          </w:tcPr>
          <w:p w14:paraId="548CD030"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Diagnostic only; does not override pillar rules</w:t>
            </w:r>
          </w:p>
        </w:tc>
      </w:tr>
      <w:tr w:rsidR="006B2D6A" w:rsidRPr="00536301" w14:paraId="330FD284" w14:textId="77777777" w:rsidTr="005F3DB8">
        <w:tc>
          <w:tcPr>
            <w:tcW w:w="0" w:type="auto"/>
            <w:hideMark/>
          </w:tcPr>
          <w:p w14:paraId="7670BE50"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coverage_pillars</w:t>
            </w:r>
          </w:p>
        </w:tc>
        <w:tc>
          <w:tcPr>
            <w:tcW w:w="0" w:type="auto"/>
            <w:hideMark/>
          </w:tcPr>
          <w:p w14:paraId="5E41E85D"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Number of valid pillars / 7</w:t>
            </w:r>
          </w:p>
        </w:tc>
        <w:tc>
          <w:tcPr>
            <w:tcW w:w="0" w:type="auto"/>
            <w:hideMark/>
          </w:tcPr>
          <w:p w14:paraId="217C27CE"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Must equal 1.00 for ERI-Strict</w:t>
            </w:r>
          </w:p>
        </w:tc>
      </w:tr>
      <w:tr w:rsidR="006B2D6A" w:rsidRPr="00536301" w14:paraId="4B272DE6" w14:textId="77777777" w:rsidTr="005F3DB8">
        <w:tc>
          <w:tcPr>
            <w:tcW w:w="0" w:type="auto"/>
            <w:hideMark/>
          </w:tcPr>
          <w:p w14:paraId="010BF324"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calibration_period</w:t>
            </w:r>
          </w:p>
        </w:tc>
        <w:tc>
          <w:tcPr>
            <w:tcW w:w="0" w:type="auto"/>
            <w:hideMark/>
          </w:tcPr>
          <w:p w14:paraId="427B4FBF"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Calibration-period indicator</w:t>
            </w:r>
          </w:p>
        </w:tc>
        <w:tc>
          <w:tcPr>
            <w:tcW w:w="0" w:type="auto"/>
            <w:hideMark/>
          </w:tcPr>
          <w:p w14:paraId="0FAF178D"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 for 1998–2010; 0 thereafter</w:t>
            </w:r>
          </w:p>
        </w:tc>
      </w:tr>
      <w:tr w:rsidR="006B2D6A" w:rsidRPr="00536301" w14:paraId="384F13FB" w14:textId="77777777" w:rsidTr="005F3DB8">
        <w:tc>
          <w:tcPr>
            <w:tcW w:w="0" w:type="auto"/>
            <w:hideMark/>
          </w:tcPr>
          <w:p w14:paraId="3918BACE"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normalization_version</w:t>
            </w:r>
          </w:p>
        </w:tc>
        <w:tc>
          <w:tcPr>
            <w:tcW w:w="0" w:type="auto"/>
            <w:hideMark/>
          </w:tcPr>
          <w:p w14:paraId="04C33A0B"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Identifier for frozen normalization bounds</w:t>
            </w:r>
          </w:p>
        </w:tc>
        <w:tc>
          <w:tcPr>
            <w:tcW w:w="0" w:type="auto"/>
            <w:hideMark/>
          </w:tcPr>
          <w:p w14:paraId="50967D3B"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Ensures consistent normalization vintage</w:t>
            </w:r>
          </w:p>
        </w:tc>
      </w:tr>
    </w:tbl>
    <w:p w14:paraId="6554D99B" w14:textId="1B32CBC1" w:rsidR="004D4A03" w:rsidRPr="00536301" w:rsidRDefault="006B2D6A" w:rsidP="00CE3D0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Notes:</w:t>
      </w:r>
      <w:r w:rsidRPr="00536301">
        <w:rPr>
          <w:rFonts w:ascii="Times New Roman" w:eastAsia="Times New Roman" w:hAnsi="Times New Roman" w:cs="Times New Roman"/>
          <w:kern w:val="0"/>
          <w:lang w:eastAsia="en-GB"/>
          <w14:ligatures w14:val="none"/>
        </w:rPr>
        <w:t xml:space="preserve"> Overall indicator coverage is retained as a diagnostic rather than as an alternative eligibility criterion. A country-year with high aggregate indicator coverage can therefore remain ineligible if a mandatory pillar threshold is not satisfied. This prevents a high number of observations in one part of the architecture from compensating for the absence of another resilience mechanism. </w:t>
      </w:r>
    </w:p>
    <w:p w14:paraId="6EDC12BF" w14:textId="77777777" w:rsidR="004D4A03" w:rsidRPr="00536301" w:rsidRDefault="004D4A03" w:rsidP="006B2D6A">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p>
    <w:p w14:paraId="722DD9EC" w14:textId="77777777" w:rsidR="00F932AB" w:rsidRPr="00536301" w:rsidRDefault="00F932AB" w:rsidP="006B2D6A">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p>
    <w:p w14:paraId="0C80787F" w14:textId="77777777" w:rsidR="00F932AB" w:rsidRPr="00536301" w:rsidRDefault="00F932AB" w:rsidP="006B2D6A">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p>
    <w:p w14:paraId="6CA51EC3" w14:textId="77777777" w:rsidR="00AF5D82" w:rsidRPr="00536301" w:rsidRDefault="00AF5D82" w:rsidP="006B2D6A">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p>
    <w:p w14:paraId="5067428E" w14:textId="77777777" w:rsidR="00AF5D82" w:rsidRPr="00536301" w:rsidRDefault="00AF5D82" w:rsidP="006B2D6A">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p>
    <w:p w14:paraId="16E71DF0" w14:textId="159A02B9" w:rsidR="006B2D6A" w:rsidRPr="00536301" w:rsidRDefault="006B2D6A" w:rsidP="006B2D6A">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Table C5. Coverage-Repair Effect on the ERI-Strict Panel</w:t>
      </w:r>
    </w:p>
    <w:tbl>
      <w:tblPr>
        <w:tblStyle w:val="TableGrid"/>
        <w:tblW w:w="0" w:type="auto"/>
        <w:tblLook w:val="04A0" w:firstRow="1" w:lastRow="0" w:firstColumn="1" w:lastColumn="0" w:noHBand="0" w:noVBand="1"/>
      </w:tblPr>
      <w:tblGrid>
        <w:gridCol w:w="1874"/>
        <w:gridCol w:w="1506"/>
        <w:gridCol w:w="1713"/>
        <w:gridCol w:w="1401"/>
        <w:gridCol w:w="2522"/>
      </w:tblGrid>
      <w:tr w:rsidR="006B2D6A" w:rsidRPr="00536301" w14:paraId="3A03EAAF" w14:textId="77777777" w:rsidTr="004C2549">
        <w:tc>
          <w:tcPr>
            <w:tcW w:w="0" w:type="auto"/>
            <w:hideMark/>
          </w:tcPr>
          <w:p w14:paraId="3B7440DA"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lastRenderedPageBreak/>
              <w:t>Coverage stage</w:t>
            </w:r>
          </w:p>
        </w:tc>
        <w:tc>
          <w:tcPr>
            <w:tcW w:w="0" w:type="auto"/>
            <w:hideMark/>
          </w:tcPr>
          <w:p w14:paraId="75E8BBAA"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ERI-Strict country-years</w:t>
            </w:r>
          </w:p>
        </w:tc>
        <w:tc>
          <w:tcPr>
            <w:tcW w:w="0" w:type="auto"/>
            <w:hideMark/>
          </w:tcPr>
          <w:p w14:paraId="7C746C1B"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Economies represented</w:t>
            </w:r>
          </w:p>
        </w:tc>
        <w:tc>
          <w:tcPr>
            <w:tcW w:w="0" w:type="auto"/>
            <w:hideMark/>
          </w:tcPr>
          <w:p w14:paraId="196431AF"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2024 economies</w:t>
            </w:r>
          </w:p>
        </w:tc>
        <w:tc>
          <w:tcPr>
            <w:tcW w:w="0" w:type="auto"/>
            <w:hideMark/>
          </w:tcPr>
          <w:p w14:paraId="33D2D360" w14:textId="77777777" w:rsidR="006B2D6A" w:rsidRPr="00536301" w:rsidRDefault="006B2D6A" w:rsidP="006B2D6A">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Status</w:t>
            </w:r>
          </w:p>
        </w:tc>
      </w:tr>
      <w:tr w:rsidR="006B2D6A" w:rsidRPr="00536301" w14:paraId="57D5C38E" w14:textId="77777777" w:rsidTr="004C2549">
        <w:tc>
          <w:tcPr>
            <w:tcW w:w="0" w:type="auto"/>
            <w:hideMark/>
          </w:tcPr>
          <w:p w14:paraId="434F0920"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Pre-repair strict construction</w:t>
            </w:r>
          </w:p>
        </w:tc>
        <w:tc>
          <w:tcPr>
            <w:tcW w:w="0" w:type="auto"/>
            <w:hideMark/>
          </w:tcPr>
          <w:p w14:paraId="4A1DEA64"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1,726</w:t>
            </w:r>
          </w:p>
        </w:tc>
        <w:tc>
          <w:tcPr>
            <w:tcW w:w="0" w:type="auto"/>
            <w:hideMark/>
          </w:tcPr>
          <w:p w14:paraId="78B5C907"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95</w:t>
            </w:r>
          </w:p>
        </w:tc>
        <w:tc>
          <w:tcPr>
            <w:tcW w:w="0" w:type="auto"/>
            <w:hideMark/>
          </w:tcPr>
          <w:p w14:paraId="70EE156A"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73</w:t>
            </w:r>
          </w:p>
        </w:tc>
        <w:tc>
          <w:tcPr>
            <w:tcW w:w="0" w:type="auto"/>
            <w:hideMark/>
          </w:tcPr>
          <w:p w14:paraId="78B877B8"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Diagnostic/intermediate</w:t>
            </w:r>
          </w:p>
        </w:tc>
      </w:tr>
      <w:tr w:rsidR="006B2D6A" w:rsidRPr="00536301" w14:paraId="0C6714B4" w14:textId="77777777" w:rsidTr="004C2549">
        <w:tc>
          <w:tcPr>
            <w:tcW w:w="0" w:type="auto"/>
            <w:hideMark/>
          </w:tcPr>
          <w:p w14:paraId="3EBC0636"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Final repaired strict construction</w:t>
            </w:r>
          </w:p>
        </w:tc>
        <w:tc>
          <w:tcPr>
            <w:tcW w:w="0" w:type="auto"/>
            <w:hideMark/>
          </w:tcPr>
          <w:p w14:paraId="4E472779"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2,581</w:t>
            </w:r>
          </w:p>
        </w:tc>
        <w:tc>
          <w:tcPr>
            <w:tcW w:w="0" w:type="auto"/>
            <w:hideMark/>
          </w:tcPr>
          <w:p w14:paraId="1AC22F57"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141</w:t>
            </w:r>
          </w:p>
        </w:tc>
        <w:tc>
          <w:tcPr>
            <w:tcW w:w="0" w:type="auto"/>
            <w:hideMark/>
          </w:tcPr>
          <w:p w14:paraId="269EE30A"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82</w:t>
            </w:r>
          </w:p>
        </w:tc>
        <w:tc>
          <w:tcPr>
            <w:tcW w:w="0" w:type="auto"/>
            <w:hideMark/>
          </w:tcPr>
          <w:p w14:paraId="3878C695"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Headline ERI panel</w:t>
            </w:r>
          </w:p>
        </w:tc>
      </w:tr>
      <w:tr w:rsidR="006B2D6A" w:rsidRPr="00536301" w14:paraId="2D99748F" w14:textId="77777777" w:rsidTr="004C2549">
        <w:tc>
          <w:tcPr>
            <w:tcW w:w="0" w:type="auto"/>
            <w:hideMark/>
          </w:tcPr>
          <w:p w14:paraId="6991F74F"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Change following repair</w:t>
            </w:r>
          </w:p>
        </w:tc>
        <w:tc>
          <w:tcPr>
            <w:tcW w:w="0" w:type="auto"/>
            <w:hideMark/>
          </w:tcPr>
          <w:p w14:paraId="1FC97B33"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+855</w:t>
            </w:r>
          </w:p>
        </w:tc>
        <w:tc>
          <w:tcPr>
            <w:tcW w:w="0" w:type="auto"/>
            <w:hideMark/>
          </w:tcPr>
          <w:p w14:paraId="0F8823C7"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+46</w:t>
            </w:r>
          </w:p>
        </w:tc>
        <w:tc>
          <w:tcPr>
            <w:tcW w:w="0" w:type="auto"/>
            <w:hideMark/>
          </w:tcPr>
          <w:p w14:paraId="74D1515F"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+9</w:t>
            </w:r>
          </w:p>
        </w:tc>
        <w:tc>
          <w:tcPr>
            <w:tcW w:w="0" w:type="auto"/>
            <w:hideMark/>
          </w:tcPr>
          <w:p w14:paraId="1D2B9FAD" w14:textId="77777777" w:rsidR="006B2D6A" w:rsidRPr="00536301" w:rsidRDefault="006B2D6A" w:rsidP="006B2D6A">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Coverage gain</w:t>
            </w:r>
          </w:p>
        </w:tc>
      </w:tr>
    </w:tbl>
    <w:p w14:paraId="73195B14" w14:textId="77777777" w:rsidR="006B2D6A" w:rsidRPr="00536301" w:rsidRDefault="006B2D6A" w:rsidP="00114A2F">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Notes:</w:t>
      </w:r>
      <w:r w:rsidRPr="00536301">
        <w:rPr>
          <w:rFonts w:ascii="Times New Roman" w:eastAsia="Times New Roman" w:hAnsi="Times New Roman" w:cs="Times New Roman"/>
          <w:kern w:val="0"/>
          <w:lang w:eastAsia="en-GB"/>
          <w14:ligatures w14:val="none"/>
        </w:rPr>
        <w:t xml:space="preserve"> The pre-repair diagnostic identified LQ2 and DR2 as major source-coverage constraints. The subsequent targeted source repair supplements missing observations using the documented QEDS hierarchy while preserving original WDI/IDS observations where available. The repair therefore expands coverage without relaxing the frozen pillar thresholds, introducing statistical imputation, or changing the seven-pillar architecture. The final repaired construction is the authoritative ERI-Strict panel used in the manuscript; the earlier 1,726-observation panel is retained only as a diagnostic stage.</w:t>
      </w:r>
    </w:p>
    <w:p w14:paraId="384B9FB2" w14:textId="69125B06" w:rsidR="005B6C20" w:rsidRPr="00536301" w:rsidRDefault="005B6C20">
      <w:pPr>
        <w:rPr>
          <w:rFonts w:ascii="Times New Roman" w:hAnsi="Times New Roman" w:cs="Times New Roman"/>
          <w:lang w:val="en-GB"/>
        </w:rPr>
      </w:pPr>
      <w:r w:rsidRPr="00536301">
        <w:rPr>
          <w:rFonts w:ascii="Times New Roman" w:hAnsi="Times New Roman" w:cs="Times New Roman"/>
          <w:lang w:val="en-GB"/>
        </w:rPr>
        <w:br w:type="page"/>
      </w:r>
    </w:p>
    <w:p w14:paraId="66030AE2" w14:textId="24B1D3DC" w:rsidR="005B6C20" w:rsidRPr="00536301" w:rsidRDefault="005B6C20" w:rsidP="00E536B9">
      <w:pPr>
        <w:rPr>
          <w:rFonts w:ascii="Times New Roman" w:hAnsi="Times New Roman" w:cs="Times New Roman"/>
          <w:lang w:val="en-GB"/>
        </w:rPr>
      </w:pPr>
      <w:r w:rsidRPr="00536301">
        <w:rPr>
          <w:rFonts w:ascii="Times New Roman" w:eastAsia="Times New Roman" w:hAnsi="Times New Roman" w:cs="Times New Roman"/>
          <w:b/>
          <w:bCs/>
          <w:kern w:val="36"/>
          <w:lang w:eastAsia="en-GB"/>
          <w14:ligatures w14:val="none"/>
        </w:rPr>
        <w:lastRenderedPageBreak/>
        <w:t>Appendix D. Source Hierarchy, Debt-Data Repair and Provenance</w:t>
      </w:r>
    </w:p>
    <w:p w14:paraId="1DC5675B" w14:textId="77777777" w:rsidR="005B6C20" w:rsidRPr="00536301" w:rsidRDefault="005B6C20" w:rsidP="005B6C20">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Table D1. Source Hierarchy and External-Debt Repair Rules</w:t>
      </w:r>
    </w:p>
    <w:tbl>
      <w:tblPr>
        <w:tblStyle w:val="TableGrid"/>
        <w:tblW w:w="0" w:type="auto"/>
        <w:tblLook w:val="04A0" w:firstRow="1" w:lastRow="0" w:firstColumn="1" w:lastColumn="0" w:noHBand="0" w:noVBand="1"/>
      </w:tblPr>
      <w:tblGrid>
        <w:gridCol w:w="1176"/>
        <w:gridCol w:w="1838"/>
        <w:gridCol w:w="1215"/>
        <w:gridCol w:w="1626"/>
        <w:gridCol w:w="2039"/>
        <w:gridCol w:w="1122"/>
      </w:tblGrid>
      <w:tr w:rsidR="005B6C20" w:rsidRPr="00536301" w14:paraId="4EBEAE0B" w14:textId="77777777" w:rsidTr="004B138F">
        <w:tc>
          <w:tcPr>
            <w:tcW w:w="0" w:type="auto"/>
            <w:hideMark/>
          </w:tcPr>
          <w:p w14:paraId="391AD88A"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Indicator</w:t>
            </w:r>
          </w:p>
        </w:tc>
        <w:tc>
          <w:tcPr>
            <w:tcW w:w="0" w:type="auto"/>
            <w:hideMark/>
          </w:tcPr>
          <w:p w14:paraId="55F1EEBD"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Measurement concept</w:t>
            </w:r>
          </w:p>
        </w:tc>
        <w:tc>
          <w:tcPr>
            <w:tcW w:w="0" w:type="auto"/>
            <w:hideMark/>
          </w:tcPr>
          <w:p w14:paraId="3D60A2E0"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Primary source</w:t>
            </w:r>
          </w:p>
        </w:tc>
        <w:tc>
          <w:tcPr>
            <w:tcW w:w="0" w:type="auto"/>
            <w:hideMark/>
          </w:tcPr>
          <w:p w14:paraId="3F553987"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Approved fallback</w:t>
            </w:r>
          </w:p>
        </w:tc>
        <w:tc>
          <w:tcPr>
            <w:tcW w:w="0" w:type="auto"/>
            <w:hideMark/>
          </w:tcPr>
          <w:p w14:paraId="438CB4D4"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Source-precedence rule</w:t>
            </w:r>
          </w:p>
        </w:tc>
        <w:tc>
          <w:tcPr>
            <w:tcW w:w="0" w:type="auto"/>
            <w:hideMark/>
          </w:tcPr>
          <w:p w14:paraId="0801F91E"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Repair status</w:t>
            </w:r>
          </w:p>
        </w:tc>
      </w:tr>
      <w:tr w:rsidR="005B6C20" w:rsidRPr="00536301" w14:paraId="1DD838FB" w14:textId="77777777" w:rsidTr="004B138F">
        <w:tc>
          <w:tcPr>
            <w:tcW w:w="0" w:type="auto"/>
            <w:hideMark/>
          </w:tcPr>
          <w:p w14:paraId="0427B40A"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LQ2</w:t>
            </w:r>
          </w:p>
        </w:tc>
        <w:tc>
          <w:tcPr>
            <w:tcW w:w="0" w:type="auto"/>
            <w:hideMark/>
          </w:tcPr>
          <w:p w14:paraId="0232A786"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Short-term external debt relative to reserves</w:t>
            </w:r>
          </w:p>
        </w:tc>
        <w:tc>
          <w:tcPr>
            <w:tcW w:w="0" w:type="auto"/>
            <w:hideMark/>
          </w:tcPr>
          <w:p w14:paraId="6C516285"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World Bank WDI/IDS</w:t>
            </w:r>
          </w:p>
        </w:tc>
        <w:tc>
          <w:tcPr>
            <w:tcW w:w="0" w:type="auto"/>
            <w:hideMark/>
          </w:tcPr>
          <w:p w14:paraId="093D73EB"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World Bank–IMF QEDS short-term external debt + WDI total reserves including gold</w:t>
            </w:r>
          </w:p>
        </w:tc>
        <w:tc>
          <w:tcPr>
            <w:tcW w:w="0" w:type="auto"/>
            <w:hideMark/>
          </w:tcPr>
          <w:p w14:paraId="1594C27C"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Retain WDI/IDS where available; use QEDS reconstruction only where primary observation is missing</w:t>
            </w:r>
          </w:p>
        </w:tc>
        <w:tc>
          <w:tcPr>
            <w:tcW w:w="0" w:type="auto"/>
            <w:hideMark/>
          </w:tcPr>
          <w:p w14:paraId="06F5C6CC"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Repaired</w:t>
            </w:r>
          </w:p>
        </w:tc>
      </w:tr>
      <w:tr w:rsidR="005B6C20" w:rsidRPr="00536301" w14:paraId="7200552C" w14:textId="77777777" w:rsidTr="004B138F">
        <w:tc>
          <w:tcPr>
            <w:tcW w:w="0" w:type="auto"/>
            <w:hideMark/>
          </w:tcPr>
          <w:p w14:paraId="0B0EC9DB"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DR2</w:t>
            </w:r>
          </w:p>
        </w:tc>
        <w:tc>
          <w:tcPr>
            <w:tcW w:w="0" w:type="auto"/>
            <w:hideMark/>
          </w:tcPr>
          <w:p w14:paraId="516293C6"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Short-term external debt as a share of total external debt</w:t>
            </w:r>
          </w:p>
        </w:tc>
        <w:tc>
          <w:tcPr>
            <w:tcW w:w="0" w:type="auto"/>
            <w:hideMark/>
          </w:tcPr>
          <w:p w14:paraId="4DCBFC21"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World Bank WDI/IDS</w:t>
            </w:r>
          </w:p>
        </w:tc>
        <w:tc>
          <w:tcPr>
            <w:tcW w:w="0" w:type="auto"/>
            <w:hideMark/>
          </w:tcPr>
          <w:p w14:paraId="259458BA"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World Bank–IMF QEDS short-term and total gross external debt</w:t>
            </w:r>
          </w:p>
        </w:tc>
        <w:tc>
          <w:tcPr>
            <w:tcW w:w="0" w:type="auto"/>
            <w:hideMark/>
          </w:tcPr>
          <w:p w14:paraId="471CB023"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Retain WDI/IDS where available; use QEDS reconstruction only where primary observation is missing</w:t>
            </w:r>
          </w:p>
        </w:tc>
        <w:tc>
          <w:tcPr>
            <w:tcW w:w="0" w:type="auto"/>
            <w:hideMark/>
          </w:tcPr>
          <w:p w14:paraId="329DFD04"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Repaired</w:t>
            </w:r>
          </w:p>
        </w:tc>
      </w:tr>
      <w:tr w:rsidR="005B6C20" w:rsidRPr="00536301" w14:paraId="24F8F835" w14:textId="77777777" w:rsidTr="004B138F">
        <w:tc>
          <w:tcPr>
            <w:tcW w:w="0" w:type="auto"/>
            <w:hideMark/>
          </w:tcPr>
          <w:p w14:paraId="11D06735"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DR1</w:t>
            </w:r>
          </w:p>
        </w:tc>
        <w:tc>
          <w:tcPr>
            <w:tcW w:w="0" w:type="auto"/>
            <w:hideMark/>
          </w:tcPr>
          <w:p w14:paraId="0314173A"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External debt-service burden</w:t>
            </w:r>
          </w:p>
        </w:tc>
        <w:tc>
          <w:tcPr>
            <w:tcW w:w="0" w:type="auto"/>
            <w:hideMark/>
          </w:tcPr>
          <w:p w14:paraId="34CBBDAD"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World Bank WDI/IDS</w:t>
            </w:r>
          </w:p>
        </w:tc>
        <w:tc>
          <w:tcPr>
            <w:tcW w:w="0" w:type="auto"/>
            <w:hideMark/>
          </w:tcPr>
          <w:p w14:paraId="073852C5"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None</w:t>
            </w:r>
          </w:p>
        </w:tc>
        <w:tc>
          <w:tcPr>
            <w:tcW w:w="0" w:type="auto"/>
            <w:hideMark/>
          </w:tcPr>
          <w:p w14:paraId="16CC0D89"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Retain primary observation; leave missing where unavailable</w:t>
            </w:r>
          </w:p>
        </w:tc>
        <w:tc>
          <w:tcPr>
            <w:tcW w:w="0" w:type="auto"/>
            <w:hideMark/>
          </w:tcPr>
          <w:p w14:paraId="2D2FFC90"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Not repaired</w:t>
            </w:r>
          </w:p>
        </w:tc>
      </w:tr>
    </w:tbl>
    <w:p w14:paraId="60F1FF56" w14:textId="531E8877" w:rsidR="005B6C20" w:rsidRPr="00536301" w:rsidRDefault="005B6C20" w:rsidP="00872FB9">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Notes:</w:t>
      </w:r>
      <w:r w:rsidRPr="00536301">
        <w:rPr>
          <w:rFonts w:ascii="Times New Roman" w:eastAsia="Times New Roman" w:hAnsi="Times New Roman" w:cs="Times New Roman"/>
          <w:kern w:val="0"/>
          <w:lang w:eastAsia="en-GB"/>
          <w14:ligatures w14:val="none"/>
        </w:rPr>
        <w:t xml:space="preserve"> WDI = World Development Indicators; IDS = International Debt Statistics; QEDS = Quarterly External Debt Statistics. Supplementary observations are used only when the corresponding primary observation is unavailable. Existing WDI/IDS observations are never replaced by QEDS-reconstructed values. QEDS stock variables are measured at Q4/year-end to maintain temporal consistency with the annual ERI panel. DR1 is not supplemented because QEDS scheduled debt-service obligations are not conceptually equivalent to the actual debt-service payments underlying the primary indicator. </w:t>
      </w:r>
    </w:p>
    <w:p w14:paraId="3EDD712A" w14:textId="77777777" w:rsidR="005B6C20" w:rsidRPr="00536301" w:rsidRDefault="005B6C20" w:rsidP="005B6C20">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Table D2. Reconstruction Rules for LQ2 and DR2</w:t>
      </w:r>
    </w:p>
    <w:tbl>
      <w:tblPr>
        <w:tblStyle w:val="TableGrid"/>
        <w:tblW w:w="0" w:type="auto"/>
        <w:tblLook w:val="04A0" w:firstRow="1" w:lastRow="0" w:firstColumn="1" w:lastColumn="0" w:noHBand="0" w:noVBand="1"/>
      </w:tblPr>
      <w:tblGrid>
        <w:gridCol w:w="3859"/>
        <w:gridCol w:w="965"/>
        <w:gridCol w:w="1105"/>
        <w:gridCol w:w="1235"/>
        <w:gridCol w:w="1009"/>
        <w:gridCol w:w="843"/>
      </w:tblGrid>
      <w:tr w:rsidR="005B6C20" w:rsidRPr="00536301" w14:paraId="14358C99" w14:textId="77777777" w:rsidTr="00E44AC1">
        <w:tc>
          <w:tcPr>
            <w:tcW w:w="0" w:type="auto"/>
            <w:hideMark/>
          </w:tcPr>
          <w:p w14:paraId="504B39D0"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Indicator</w:t>
            </w:r>
          </w:p>
        </w:tc>
        <w:tc>
          <w:tcPr>
            <w:tcW w:w="0" w:type="auto"/>
            <w:hideMark/>
          </w:tcPr>
          <w:p w14:paraId="70F5CD6E"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Numerator</w:t>
            </w:r>
          </w:p>
        </w:tc>
        <w:tc>
          <w:tcPr>
            <w:tcW w:w="0" w:type="auto"/>
            <w:hideMark/>
          </w:tcPr>
          <w:p w14:paraId="20D6F23E"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Denominator</w:t>
            </w:r>
          </w:p>
        </w:tc>
        <w:tc>
          <w:tcPr>
            <w:tcW w:w="0" w:type="auto"/>
            <w:hideMark/>
          </w:tcPr>
          <w:p w14:paraId="711802F8"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Reconstruction rule</w:t>
            </w:r>
          </w:p>
        </w:tc>
        <w:tc>
          <w:tcPr>
            <w:tcW w:w="0" w:type="auto"/>
            <w:hideMark/>
          </w:tcPr>
          <w:p w14:paraId="4136EB1D"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Timing</w:t>
            </w:r>
          </w:p>
        </w:tc>
        <w:tc>
          <w:tcPr>
            <w:tcW w:w="0" w:type="auto"/>
            <w:hideMark/>
          </w:tcPr>
          <w:p w14:paraId="72E69D83"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Direction</w:t>
            </w:r>
          </w:p>
        </w:tc>
      </w:tr>
      <w:tr w:rsidR="005B6C20" w:rsidRPr="00536301" w14:paraId="50DE9D0C" w14:textId="77777777" w:rsidTr="00E44AC1">
        <w:tc>
          <w:tcPr>
            <w:tcW w:w="0" w:type="auto"/>
            <w:hideMark/>
          </w:tcPr>
          <w:p w14:paraId="6E9C1E36" w14:textId="77777777" w:rsidR="00C76B1E" w:rsidRPr="00536301" w:rsidRDefault="00C76B1E" w:rsidP="00C76B1E">
            <w:pPr>
              <w:spacing w:before="100" w:beforeAutospacing="1" w:after="100" w:afterAutospacing="1"/>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LQ2:</w:t>
            </w:r>
          </w:p>
          <w:p w14:paraId="763FE2C4" w14:textId="77777777" w:rsidR="00C76B1E" w:rsidRPr="00536301" w:rsidRDefault="00C76B1E" w:rsidP="00C76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LQ2_(it)=(STED_(it)^(QEDS))/(RES_(it)^(WDI))×100</w:t>
            </w:r>
          </w:p>
          <w:p w14:paraId="655F9389" w14:textId="77777777" w:rsidR="00C76B1E" w:rsidRPr="00536301" w:rsidRDefault="00C76B1E" w:rsidP="005B6C20">
            <w:pPr>
              <w:rPr>
                <w:rFonts w:ascii="Times New Roman" w:eastAsia="Times New Roman" w:hAnsi="Times New Roman" w:cs="Times New Roman"/>
                <w:kern w:val="0"/>
                <w:lang w:eastAsia="en-GB"/>
                <w14:ligatures w14:val="none"/>
              </w:rPr>
            </w:pPr>
          </w:p>
        </w:tc>
        <w:tc>
          <w:tcPr>
            <w:tcW w:w="0" w:type="auto"/>
            <w:hideMark/>
          </w:tcPr>
          <w:p w14:paraId="1EABD353"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QEDS short-term external debt</w:t>
            </w:r>
          </w:p>
        </w:tc>
        <w:tc>
          <w:tcPr>
            <w:tcW w:w="0" w:type="auto"/>
            <w:hideMark/>
          </w:tcPr>
          <w:p w14:paraId="40D6E7DA"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WDI total reserves including gold</w:t>
            </w:r>
          </w:p>
        </w:tc>
        <w:tc>
          <w:tcPr>
            <w:tcW w:w="0" w:type="auto"/>
            <w:hideMark/>
          </w:tcPr>
          <w:p w14:paraId="0F8961BA"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Short-term external debt ÷ total reserves including gold</w:t>
            </w:r>
          </w:p>
        </w:tc>
        <w:tc>
          <w:tcPr>
            <w:tcW w:w="0" w:type="auto"/>
            <w:hideMark/>
          </w:tcPr>
          <w:p w14:paraId="2476D3A5"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QEDS debt measured at Q4/year-end; annual reserves</w:t>
            </w:r>
          </w:p>
        </w:tc>
        <w:tc>
          <w:tcPr>
            <w:tcW w:w="0" w:type="auto"/>
            <w:hideMark/>
          </w:tcPr>
          <w:p w14:paraId="7DA227D2"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w:t>
            </w:r>
          </w:p>
        </w:tc>
      </w:tr>
      <w:tr w:rsidR="005B6C20" w:rsidRPr="00536301" w14:paraId="61783883" w14:textId="77777777" w:rsidTr="00E44AC1">
        <w:tc>
          <w:tcPr>
            <w:tcW w:w="0" w:type="auto"/>
            <w:hideMark/>
          </w:tcPr>
          <w:p w14:paraId="71496DF1" w14:textId="58BA0533" w:rsidR="00D9277D" w:rsidRPr="00536301" w:rsidRDefault="00D9277D" w:rsidP="00D9277D">
            <w:pPr>
              <w:spacing w:before="100" w:beforeAutospacing="1" w:after="100" w:afterAutospacing="1"/>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DR2:</w:t>
            </w:r>
          </w:p>
          <w:p w14:paraId="290BA838" w14:textId="77777777" w:rsidR="00D9277D" w:rsidRPr="00536301" w:rsidRDefault="00D9277D" w:rsidP="00D92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lastRenderedPageBreak/>
              <w:t>DR2_(it)=(STED_(it)^(QEDS))/(TED_(it)^(QEDS))×100</w:t>
            </w:r>
          </w:p>
          <w:p w14:paraId="073BB5A5" w14:textId="3F4134F3" w:rsidR="005B6C20" w:rsidRPr="00536301" w:rsidRDefault="005B6C20" w:rsidP="005B6C20">
            <w:pPr>
              <w:rPr>
                <w:rFonts w:ascii="Times New Roman" w:eastAsia="Times New Roman" w:hAnsi="Times New Roman" w:cs="Times New Roman"/>
                <w:kern w:val="0"/>
                <w:lang w:eastAsia="en-GB"/>
                <w14:ligatures w14:val="none"/>
              </w:rPr>
            </w:pPr>
          </w:p>
        </w:tc>
        <w:tc>
          <w:tcPr>
            <w:tcW w:w="0" w:type="auto"/>
            <w:hideMark/>
          </w:tcPr>
          <w:p w14:paraId="18B43E14"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lastRenderedPageBreak/>
              <w:t>QEDS short-</w:t>
            </w:r>
            <w:r w:rsidRPr="00536301">
              <w:rPr>
                <w:rFonts w:ascii="Times New Roman" w:eastAsia="Times New Roman" w:hAnsi="Times New Roman" w:cs="Times New Roman"/>
                <w:kern w:val="0"/>
                <w:lang w:eastAsia="en-GB"/>
                <w14:ligatures w14:val="none"/>
              </w:rPr>
              <w:lastRenderedPageBreak/>
              <w:t>term gross external debt</w:t>
            </w:r>
          </w:p>
        </w:tc>
        <w:tc>
          <w:tcPr>
            <w:tcW w:w="0" w:type="auto"/>
            <w:hideMark/>
          </w:tcPr>
          <w:p w14:paraId="55BE5583"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lastRenderedPageBreak/>
              <w:t xml:space="preserve">QEDS total </w:t>
            </w:r>
            <w:r w:rsidRPr="00536301">
              <w:rPr>
                <w:rFonts w:ascii="Times New Roman" w:eastAsia="Times New Roman" w:hAnsi="Times New Roman" w:cs="Times New Roman"/>
                <w:kern w:val="0"/>
                <w:lang w:eastAsia="en-GB"/>
                <w14:ligatures w14:val="none"/>
              </w:rPr>
              <w:lastRenderedPageBreak/>
              <w:t>gross external debt</w:t>
            </w:r>
          </w:p>
        </w:tc>
        <w:tc>
          <w:tcPr>
            <w:tcW w:w="0" w:type="auto"/>
            <w:hideMark/>
          </w:tcPr>
          <w:p w14:paraId="01E3710A"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lastRenderedPageBreak/>
              <w:t xml:space="preserve">Short-term gross </w:t>
            </w:r>
            <w:r w:rsidRPr="00536301">
              <w:rPr>
                <w:rFonts w:ascii="Times New Roman" w:eastAsia="Times New Roman" w:hAnsi="Times New Roman" w:cs="Times New Roman"/>
                <w:kern w:val="0"/>
                <w:lang w:eastAsia="en-GB"/>
                <w14:ligatures w14:val="none"/>
              </w:rPr>
              <w:lastRenderedPageBreak/>
              <w:t>external debt ÷ total gross external debt</w:t>
            </w:r>
          </w:p>
        </w:tc>
        <w:tc>
          <w:tcPr>
            <w:tcW w:w="0" w:type="auto"/>
            <w:hideMark/>
          </w:tcPr>
          <w:p w14:paraId="0D743612"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lastRenderedPageBreak/>
              <w:t xml:space="preserve">Numerator and </w:t>
            </w:r>
            <w:r w:rsidRPr="00536301">
              <w:rPr>
                <w:rFonts w:ascii="Times New Roman" w:eastAsia="Times New Roman" w:hAnsi="Times New Roman" w:cs="Times New Roman"/>
                <w:kern w:val="0"/>
                <w:lang w:eastAsia="en-GB"/>
                <w14:ligatures w14:val="none"/>
              </w:rPr>
              <w:lastRenderedPageBreak/>
              <w:t>denominator measured at Q4/year-end within the same country-year reporting framework</w:t>
            </w:r>
          </w:p>
        </w:tc>
        <w:tc>
          <w:tcPr>
            <w:tcW w:w="0" w:type="auto"/>
            <w:hideMark/>
          </w:tcPr>
          <w:p w14:paraId="3E4B152D"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lastRenderedPageBreak/>
              <w:t>−</w:t>
            </w:r>
          </w:p>
        </w:tc>
      </w:tr>
    </w:tbl>
    <w:p w14:paraId="16E59A0A" w14:textId="2118D655" w:rsidR="005B6C20" w:rsidRPr="002D7F60" w:rsidRDefault="005B6C20" w:rsidP="00F3628E">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2D7F60">
        <w:rPr>
          <w:rFonts w:ascii="Times New Roman" w:eastAsia="Times New Roman" w:hAnsi="Times New Roman" w:cs="Times New Roman"/>
          <w:b/>
          <w:bCs/>
          <w:kern w:val="0"/>
          <w:lang w:eastAsia="en-GB"/>
          <w14:ligatures w14:val="none"/>
        </w:rPr>
        <w:t>Notes:</w:t>
      </w:r>
      <w:r w:rsidRPr="002D7F60">
        <w:rPr>
          <w:rFonts w:ascii="Times New Roman" w:eastAsia="Times New Roman" w:hAnsi="Times New Roman" w:cs="Times New Roman"/>
          <w:kern w:val="0"/>
          <w:lang w:eastAsia="en-GB"/>
          <w14:ligatures w14:val="none"/>
        </w:rPr>
        <w:t xml:space="preserve"> </w:t>
      </w:r>
      <w:r w:rsidR="00970CFD" w:rsidRPr="002D7F60">
        <w:rPr>
          <w:rStyle w:val="Strong"/>
          <w:rFonts w:ascii="Times New Roman" w:hAnsi="Times New Roman" w:cs="Times New Roman"/>
        </w:rPr>
        <w:t>Notes:</w:t>
      </w:r>
      <w:r w:rsidR="00970CFD" w:rsidRPr="002D7F60">
        <w:rPr>
          <w:rFonts w:ascii="Times New Roman" w:hAnsi="Times New Roman" w:cs="Times New Roman"/>
        </w:rPr>
        <w:t xml:space="preserve"> STED denotes short-term external debt; TED denotes total gross external debt; and RES denotes total reserves including gold.</w:t>
      </w:r>
      <w:r w:rsidRPr="002D7F60">
        <w:rPr>
          <w:rFonts w:ascii="Times New Roman" w:eastAsia="Times New Roman" w:hAnsi="Times New Roman" w:cs="Times New Roman"/>
          <w:kern w:val="0"/>
          <w:lang w:eastAsia="en-GB"/>
          <w14:ligatures w14:val="none"/>
        </w:rPr>
        <w:t xml:space="preserve">Both indicators have a negative resilience direction: higher values represent greater liquidity or refinancing vulnerability and are therefore reverse-oriented during ERI normalization. Reconstructed values enter the indicator panel only where the corresponding original WDI/IDS observation is missing. </w:t>
      </w:r>
    </w:p>
    <w:p w14:paraId="01532770" w14:textId="77777777" w:rsidR="005B6C20" w:rsidRPr="00536301" w:rsidRDefault="005B6C20" w:rsidP="005B6C20">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Table D3. Source-Repair Outcomes and Audit Treatment</w:t>
      </w:r>
    </w:p>
    <w:tbl>
      <w:tblPr>
        <w:tblStyle w:val="TableGrid"/>
        <w:tblW w:w="0" w:type="auto"/>
        <w:tblLook w:val="04A0" w:firstRow="1" w:lastRow="0" w:firstColumn="1" w:lastColumn="0" w:noHBand="0" w:noVBand="1"/>
      </w:tblPr>
      <w:tblGrid>
        <w:gridCol w:w="1133"/>
        <w:gridCol w:w="1210"/>
        <w:gridCol w:w="1070"/>
        <w:gridCol w:w="1452"/>
        <w:gridCol w:w="1477"/>
        <w:gridCol w:w="1362"/>
        <w:gridCol w:w="1312"/>
      </w:tblGrid>
      <w:tr w:rsidR="005B6C20" w:rsidRPr="00536301" w14:paraId="0B7199C6" w14:textId="77777777" w:rsidTr="009F33A5">
        <w:tc>
          <w:tcPr>
            <w:tcW w:w="0" w:type="auto"/>
            <w:hideMark/>
          </w:tcPr>
          <w:p w14:paraId="6E1C9C55"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Indicator</w:t>
            </w:r>
          </w:p>
        </w:tc>
        <w:tc>
          <w:tcPr>
            <w:tcW w:w="0" w:type="auto"/>
            <w:hideMark/>
          </w:tcPr>
          <w:p w14:paraId="5AA66A9E"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Original source retained where available?</w:t>
            </w:r>
          </w:p>
        </w:tc>
        <w:tc>
          <w:tcPr>
            <w:tcW w:w="0" w:type="auto"/>
            <w:hideMark/>
          </w:tcPr>
          <w:p w14:paraId="3D551514"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Fallback source</w:t>
            </w:r>
          </w:p>
        </w:tc>
        <w:tc>
          <w:tcPr>
            <w:tcW w:w="0" w:type="auto"/>
            <w:hideMark/>
          </w:tcPr>
          <w:p w14:paraId="04166667"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Added country-year observations</w:t>
            </w:r>
          </w:p>
        </w:tc>
        <w:tc>
          <w:tcPr>
            <w:tcW w:w="0" w:type="auto"/>
            <w:hideMark/>
          </w:tcPr>
          <w:p w14:paraId="6A63317E"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Primary observations overwritten?</w:t>
            </w:r>
          </w:p>
        </w:tc>
        <w:tc>
          <w:tcPr>
            <w:tcW w:w="0" w:type="auto"/>
            <w:hideMark/>
          </w:tcPr>
          <w:p w14:paraId="7A6E91D3"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Provenance retained?</w:t>
            </w:r>
          </w:p>
        </w:tc>
        <w:tc>
          <w:tcPr>
            <w:tcW w:w="0" w:type="auto"/>
            <w:hideMark/>
          </w:tcPr>
          <w:p w14:paraId="7EDD50CC"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Source-restricted validation?</w:t>
            </w:r>
          </w:p>
        </w:tc>
      </w:tr>
      <w:tr w:rsidR="005B6C20" w:rsidRPr="00536301" w14:paraId="10F6B0B6" w14:textId="77777777" w:rsidTr="009F33A5">
        <w:tc>
          <w:tcPr>
            <w:tcW w:w="0" w:type="auto"/>
            <w:hideMark/>
          </w:tcPr>
          <w:p w14:paraId="2024F78E"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LQ2</w:t>
            </w:r>
          </w:p>
        </w:tc>
        <w:tc>
          <w:tcPr>
            <w:tcW w:w="0" w:type="auto"/>
            <w:hideMark/>
          </w:tcPr>
          <w:p w14:paraId="4539C605"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Yes</w:t>
            </w:r>
          </w:p>
        </w:tc>
        <w:tc>
          <w:tcPr>
            <w:tcW w:w="0" w:type="auto"/>
            <w:hideMark/>
          </w:tcPr>
          <w:p w14:paraId="546E99F0"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QEDS + WDI reserves</w:t>
            </w:r>
          </w:p>
        </w:tc>
        <w:tc>
          <w:tcPr>
            <w:tcW w:w="0" w:type="auto"/>
            <w:hideMark/>
          </w:tcPr>
          <w:p w14:paraId="32146A26"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1,112</w:t>
            </w:r>
          </w:p>
        </w:tc>
        <w:tc>
          <w:tcPr>
            <w:tcW w:w="0" w:type="auto"/>
            <w:hideMark/>
          </w:tcPr>
          <w:p w14:paraId="5439051A"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w:t>
            </w:r>
          </w:p>
        </w:tc>
        <w:tc>
          <w:tcPr>
            <w:tcW w:w="0" w:type="auto"/>
            <w:hideMark/>
          </w:tcPr>
          <w:p w14:paraId="2A85935C"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Yes</w:t>
            </w:r>
          </w:p>
        </w:tc>
        <w:tc>
          <w:tcPr>
            <w:tcW w:w="0" w:type="auto"/>
            <w:hideMark/>
          </w:tcPr>
          <w:p w14:paraId="6172ECE3"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Yes</w:t>
            </w:r>
          </w:p>
        </w:tc>
      </w:tr>
      <w:tr w:rsidR="005B6C20" w:rsidRPr="00536301" w14:paraId="36F20508" w14:textId="77777777" w:rsidTr="009F33A5">
        <w:tc>
          <w:tcPr>
            <w:tcW w:w="0" w:type="auto"/>
            <w:hideMark/>
          </w:tcPr>
          <w:p w14:paraId="62E5ED56"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DR2</w:t>
            </w:r>
          </w:p>
        </w:tc>
        <w:tc>
          <w:tcPr>
            <w:tcW w:w="0" w:type="auto"/>
            <w:hideMark/>
          </w:tcPr>
          <w:p w14:paraId="29CEF76D"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Yes</w:t>
            </w:r>
          </w:p>
        </w:tc>
        <w:tc>
          <w:tcPr>
            <w:tcW w:w="0" w:type="auto"/>
            <w:hideMark/>
          </w:tcPr>
          <w:p w14:paraId="03F6DBC1"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QEDS</w:t>
            </w:r>
          </w:p>
        </w:tc>
        <w:tc>
          <w:tcPr>
            <w:tcW w:w="0" w:type="auto"/>
            <w:hideMark/>
          </w:tcPr>
          <w:p w14:paraId="305935B5"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1,161</w:t>
            </w:r>
          </w:p>
        </w:tc>
        <w:tc>
          <w:tcPr>
            <w:tcW w:w="0" w:type="auto"/>
            <w:hideMark/>
          </w:tcPr>
          <w:p w14:paraId="696E3C3D"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w:t>
            </w:r>
          </w:p>
        </w:tc>
        <w:tc>
          <w:tcPr>
            <w:tcW w:w="0" w:type="auto"/>
            <w:hideMark/>
          </w:tcPr>
          <w:p w14:paraId="4509E80C"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Yes</w:t>
            </w:r>
          </w:p>
        </w:tc>
        <w:tc>
          <w:tcPr>
            <w:tcW w:w="0" w:type="auto"/>
            <w:hideMark/>
          </w:tcPr>
          <w:p w14:paraId="2817DFD0"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Yes</w:t>
            </w:r>
          </w:p>
        </w:tc>
      </w:tr>
      <w:tr w:rsidR="005B6C20" w:rsidRPr="00536301" w14:paraId="4FD39060" w14:textId="77777777" w:rsidTr="009F33A5">
        <w:tc>
          <w:tcPr>
            <w:tcW w:w="0" w:type="auto"/>
            <w:hideMark/>
          </w:tcPr>
          <w:p w14:paraId="7DB7CEE8"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DR1</w:t>
            </w:r>
          </w:p>
        </w:tc>
        <w:tc>
          <w:tcPr>
            <w:tcW w:w="0" w:type="auto"/>
            <w:hideMark/>
          </w:tcPr>
          <w:p w14:paraId="0F8993AB"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Yes</w:t>
            </w:r>
          </w:p>
        </w:tc>
        <w:tc>
          <w:tcPr>
            <w:tcW w:w="0" w:type="auto"/>
            <w:hideMark/>
          </w:tcPr>
          <w:p w14:paraId="2BF2C47D"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None</w:t>
            </w:r>
          </w:p>
        </w:tc>
        <w:tc>
          <w:tcPr>
            <w:tcW w:w="0" w:type="auto"/>
            <w:hideMark/>
          </w:tcPr>
          <w:p w14:paraId="1B68C02F"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0</w:t>
            </w:r>
          </w:p>
        </w:tc>
        <w:tc>
          <w:tcPr>
            <w:tcW w:w="0" w:type="auto"/>
            <w:hideMark/>
          </w:tcPr>
          <w:p w14:paraId="1CA19D93"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w:t>
            </w:r>
          </w:p>
        </w:tc>
        <w:tc>
          <w:tcPr>
            <w:tcW w:w="0" w:type="auto"/>
            <w:hideMark/>
          </w:tcPr>
          <w:p w14:paraId="7F26C35A"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Yes</w:t>
            </w:r>
          </w:p>
        </w:tc>
        <w:tc>
          <w:tcPr>
            <w:tcW w:w="0" w:type="auto"/>
            <w:hideMark/>
          </w:tcPr>
          <w:p w14:paraId="0D214152"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Not applicable</w:t>
            </w:r>
          </w:p>
        </w:tc>
      </w:tr>
    </w:tbl>
    <w:p w14:paraId="02568573" w14:textId="3C0C1AA3" w:rsidR="005B6C20" w:rsidRPr="002D5984" w:rsidRDefault="005B6C20" w:rsidP="00CF44BE">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Notes:</w:t>
      </w:r>
      <w:r w:rsidRPr="00536301">
        <w:rPr>
          <w:rFonts w:ascii="Times New Roman" w:eastAsia="Times New Roman" w:hAnsi="Times New Roman" w:cs="Times New Roman"/>
          <w:kern w:val="0"/>
          <w:lang w:eastAsia="en-GB"/>
          <w14:ligatures w14:val="none"/>
        </w:rPr>
        <w:t xml:space="preserve"> The repair expands source coverage without changing indicator definitions, relaxing pillar eligibility requirements, or introducing statistical interpolation or imputation. Each original and repaired observation remains distinguishable through source-provenance fields in the definitive database. Source sensitivity is assessed by re-estimating the validation models on observations for which both LQ2 and DR2 originate exclusively from WDI/IDS. The </w:t>
      </w:r>
      <w:r w:rsidRPr="002D5984">
        <w:rPr>
          <w:rFonts w:ascii="Times New Roman" w:eastAsia="Times New Roman" w:hAnsi="Times New Roman" w:cs="Times New Roman"/>
          <w:kern w:val="0"/>
          <w:lang w:eastAsia="en-GB"/>
          <w14:ligatures w14:val="none"/>
        </w:rPr>
        <w:t>principal IMF-programme result remains statistically significant in this restricted sample (</w:t>
      </w:r>
      <w:r w:rsidR="002D5984" w:rsidRPr="002D5984">
        <w:rPr>
          <w:rFonts w:ascii="Times New Roman" w:hAnsi="Times New Roman" w:cs="Times New Roman"/>
        </w:rPr>
        <w:t>β = −6.917, p = 0.027</w:t>
      </w:r>
      <w:r w:rsidRPr="002D5984">
        <w:rPr>
          <w:rFonts w:ascii="Times New Roman" w:eastAsia="Times New Roman" w:hAnsi="Times New Roman" w:cs="Times New Roman"/>
          <w:kern w:val="0"/>
          <w:lang w:eastAsia="en-GB"/>
          <w14:ligatures w14:val="none"/>
        </w:rPr>
        <w:t xml:space="preserve">), indicating that the principal finding is not driven by QEDS supplementation. </w:t>
      </w:r>
    </w:p>
    <w:p w14:paraId="4C4A46B2" w14:textId="3EA89863" w:rsidR="005B6C20" w:rsidRPr="00536301" w:rsidRDefault="005B6C20" w:rsidP="005B6C20">
      <w:pPr>
        <w:spacing w:after="0" w:line="240" w:lineRule="auto"/>
        <w:rPr>
          <w:rFonts w:ascii="Times New Roman" w:eastAsia="Times New Roman" w:hAnsi="Times New Roman" w:cs="Times New Roman"/>
          <w:kern w:val="0"/>
          <w:lang w:eastAsia="en-GB"/>
          <w14:ligatures w14:val="none"/>
        </w:rPr>
      </w:pPr>
    </w:p>
    <w:p w14:paraId="5887042A" w14:textId="77777777" w:rsidR="005B6C20" w:rsidRPr="00536301" w:rsidRDefault="005B6C20" w:rsidP="005B6C20">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Table D4. Provenance Classification for Repaired Indicators</w:t>
      </w:r>
    </w:p>
    <w:tbl>
      <w:tblPr>
        <w:tblStyle w:val="TableGrid"/>
        <w:tblW w:w="0" w:type="auto"/>
        <w:tblLook w:val="04A0" w:firstRow="1" w:lastRow="0" w:firstColumn="1" w:lastColumn="0" w:noHBand="0" w:noVBand="1"/>
      </w:tblPr>
      <w:tblGrid>
        <w:gridCol w:w="2483"/>
        <w:gridCol w:w="2117"/>
        <w:gridCol w:w="2013"/>
        <w:gridCol w:w="2403"/>
      </w:tblGrid>
      <w:tr w:rsidR="005B6C20" w:rsidRPr="00536301" w14:paraId="6CE7F228" w14:textId="77777777" w:rsidTr="006A78D2">
        <w:tc>
          <w:tcPr>
            <w:tcW w:w="0" w:type="auto"/>
            <w:hideMark/>
          </w:tcPr>
          <w:p w14:paraId="4EB7A682"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lastRenderedPageBreak/>
              <w:t>Provenance category</w:t>
            </w:r>
          </w:p>
        </w:tc>
        <w:tc>
          <w:tcPr>
            <w:tcW w:w="0" w:type="auto"/>
            <w:hideMark/>
          </w:tcPr>
          <w:p w14:paraId="767BAE9A"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LQ2 treatment</w:t>
            </w:r>
          </w:p>
        </w:tc>
        <w:tc>
          <w:tcPr>
            <w:tcW w:w="0" w:type="auto"/>
            <w:hideMark/>
          </w:tcPr>
          <w:p w14:paraId="01E640F0"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DR2 treatment</w:t>
            </w:r>
          </w:p>
        </w:tc>
        <w:tc>
          <w:tcPr>
            <w:tcW w:w="0" w:type="auto"/>
            <w:hideMark/>
          </w:tcPr>
          <w:p w14:paraId="7955D561" w14:textId="77777777" w:rsidR="005B6C20" w:rsidRPr="00536301" w:rsidRDefault="005B6C20" w:rsidP="005B6C20">
            <w:pPr>
              <w:jc w:val="center"/>
              <w:rPr>
                <w:rFonts w:ascii="Times New Roman" w:eastAsia="Times New Roman" w:hAnsi="Times New Roman" w:cs="Times New Roman"/>
                <w:b/>
                <w:bCs/>
                <w:kern w:val="0"/>
                <w:lang w:eastAsia="en-GB"/>
                <w14:ligatures w14:val="none"/>
              </w:rPr>
            </w:pPr>
            <w:r w:rsidRPr="00536301">
              <w:rPr>
                <w:rFonts w:ascii="Times New Roman" w:eastAsia="Times New Roman" w:hAnsi="Times New Roman" w:cs="Times New Roman"/>
                <w:b/>
                <w:bCs/>
                <w:kern w:val="0"/>
                <w:lang w:eastAsia="en-GB"/>
                <w14:ligatures w14:val="none"/>
              </w:rPr>
              <w:t>Interpretation</w:t>
            </w:r>
          </w:p>
        </w:tc>
      </w:tr>
      <w:tr w:rsidR="005B6C20" w:rsidRPr="00536301" w14:paraId="1ABBA619" w14:textId="77777777" w:rsidTr="006A78D2">
        <w:tc>
          <w:tcPr>
            <w:tcW w:w="0" w:type="auto"/>
            <w:hideMark/>
          </w:tcPr>
          <w:p w14:paraId="1941EC55"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ORIGINAL_WDI_IDS</w:t>
            </w:r>
          </w:p>
        </w:tc>
        <w:tc>
          <w:tcPr>
            <w:tcW w:w="0" w:type="auto"/>
            <w:hideMark/>
          </w:tcPr>
          <w:p w14:paraId="11143FD7"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Original LQ2 retained</w:t>
            </w:r>
          </w:p>
        </w:tc>
        <w:tc>
          <w:tcPr>
            <w:tcW w:w="0" w:type="auto"/>
            <w:hideMark/>
          </w:tcPr>
          <w:p w14:paraId="50E1CF1B"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Original DR2 retained</w:t>
            </w:r>
          </w:p>
        </w:tc>
        <w:tc>
          <w:tcPr>
            <w:tcW w:w="0" w:type="auto"/>
            <w:hideMark/>
          </w:tcPr>
          <w:p w14:paraId="01D31AE6"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Preferred primary-source observation</w:t>
            </w:r>
          </w:p>
        </w:tc>
      </w:tr>
      <w:tr w:rsidR="005B6C20" w:rsidRPr="00536301" w14:paraId="54A80357" w14:textId="77777777" w:rsidTr="006A78D2">
        <w:tc>
          <w:tcPr>
            <w:tcW w:w="0" w:type="auto"/>
            <w:hideMark/>
          </w:tcPr>
          <w:p w14:paraId="2BDFDDEF"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QEDS_REPAIR</w:t>
            </w:r>
          </w:p>
        </w:tc>
        <w:tc>
          <w:tcPr>
            <w:tcW w:w="0" w:type="auto"/>
            <w:hideMark/>
          </w:tcPr>
          <w:p w14:paraId="4651E3EE"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Reconstructed from QEDS short-term debt and WDI reserves</w:t>
            </w:r>
          </w:p>
        </w:tc>
        <w:tc>
          <w:tcPr>
            <w:tcW w:w="0" w:type="auto"/>
            <w:hideMark/>
          </w:tcPr>
          <w:p w14:paraId="4EA1ED96"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Reconstructed from QEDS short-term and total debt</w:t>
            </w:r>
          </w:p>
        </w:tc>
        <w:tc>
          <w:tcPr>
            <w:tcW w:w="0" w:type="auto"/>
            <w:hideMark/>
          </w:tcPr>
          <w:p w14:paraId="35248250"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Approved fallback used because primary observation is missing</w:t>
            </w:r>
          </w:p>
        </w:tc>
      </w:tr>
      <w:tr w:rsidR="005B6C20" w:rsidRPr="00536301" w14:paraId="1D11F0CC" w14:textId="77777777" w:rsidTr="006A78D2">
        <w:tc>
          <w:tcPr>
            <w:tcW w:w="0" w:type="auto"/>
            <w:hideMark/>
          </w:tcPr>
          <w:p w14:paraId="4C94F6FF"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Missing</w:t>
            </w:r>
          </w:p>
        </w:tc>
        <w:tc>
          <w:tcPr>
            <w:tcW w:w="0" w:type="auto"/>
            <w:hideMark/>
          </w:tcPr>
          <w:p w14:paraId="09D47F0A"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No valid primary or approved fallback observation</w:t>
            </w:r>
          </w:p>
        </w:tc>
        <w:tc>
          <w:tcPr>
            <w:tcW w:w="0" w:type="auto"/>
            <w:hideMark/>
          </w:tcPr>
          <w:p w14:paraId="381A5369"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No valid primary or approved fallback observation</w:t>
            </w:r>
          </w:p>
        </w:tc>
        <w:tc>
          <w:tcPr>
            <w:tcW w:w="0" w:type="auto"/>
            <w:hideMark/>
          </w:tcPr>
          <w:p w14:paraId="64FEC67F" w14:textId="77777777" w:rsidR="005B6C20" w:rsidRPr="00536301" w:rsidRDefault="005B6C20" w:rsidP="005B6C20">
            <w:pPr>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kern w:val="0"/>
                <w:lang w:eastAsia="en-GB"/>
                <w14:ligatures w14:val="none"/>
              </w:rPr>
              <w:t>Indicator remains missing; applicable pillar-coverage rule determines eligibility</w:t>
            </w:r>
          </w:p>
        </w:tc>
      </w:tr>
    </w:tbl>
    <w:p w14:paraId="544F82D9" w14:textId="77777777" w:rsidR="005B6C20" w:rsidRPr="00536301" w:rsidRDefault="005B6C20" w:rsidP="009138C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536301">
        <w:rPr>
          <w:rFonts w:ascii="Times New Roman" w:eastAsia="Times New Roman" w:hAnsi="Times New Roman" w:cs="Times New Roman"/>
          <w:b/>
          <w:bCs/>
          <w:kern w:val="0"/>
          <w:lang w:eastAsia="en-GB"/>
          <w14:ligatures w14:val="none"/>
        </w:rPr>
        <w:t>Notes:</w:t>
      </w:r>
      <w:r w:rsidRPr="00536301">
        <w:rPr>
          <w:rFonts w:ascii="Times New Roman" w:eastAsia="Times New Roman" w:hAnsi="Times New Roman" w:cs="Times New Roman"/>
          <w:kern w:val="0"/>
          <w:lang w:eastAsia="en-GB"/>
          <w14:ligatures w14:val="none"/>
        </w:rPr>
        <w:t xml:space="preserve"> Source provenance is retained at the country-year-indicator level. The definitive source-repair audit contains the original and final LQ2 and DR2 values alongside source classifications, supporting direct identification of original versus supplemented observations.</w:t>
      </w:r>
    </w:p>
    <w:p w14:paraId="7561E02B" w14:textId="77777777" w:rsidR="00E50C3E" w:rsidRPr="00536301" w:rsidRDefault="00E50C3E" w:rsidP="009138C8">
      <w:pPr>
        <w:jc w:val="both"/>
        <w:rPr>
          <w:rFonts w:ascii="Times New Roman" w:hAnsi="Times New Roman" w:cs="Times New Roman"/>
          <w:lang w:val="en-GB"/>
        </w:rPr>
      </w:pPr>
    </w:p>
    <w:sectPr w:rsidR="00E50C3E" w:rsidRPr="005363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3E"/>
    <w:rsid w:val="00047962"/>
    <w:rsid w:val="00050CE1"/>
    <w:rsid w:val="000E1B9B"/>
    <w:rsid w:val="00112F20"/>
    <w:rsid w:val="00114A2F"/>
    <w:rsid w:val="00136CFF"/>
    <w:rsid w:val="00150A78"/>
    <w:rsid w:val="001C42B3"/>
    <w:rsid w:val="00273620"/>
    <w:rsid w:val="00280789"/>
    <w:rsid w:val="002D5984"/>
    <w:rsid w:val="002D7F60"/>
    <w:rsid w:val="003838F4"/>
    <w:rsid w:val="00391029"/>
    <w:rsid w:val="00423600"/>
    <w:rsid w:val="00496D02"/>
    <w:rsid w:val="004B138F"/>
    <w:rsid w:val="004C2549"/>
    <w:rsid w:val="004D4A03"/>
    <w:rsid w:val="004D60C5"/>
    <w:rsid w:val="004F27BE"/>
    <w:rsid w:val="00536301"/>
    <w:rsid w:val="005B6C20"/>
    <w:rsid w:val="005F3DB8"/>
    <w:rsid w:val="006125CC"/>
    <w:rsid w:val="00693B91"/>
    <w:rsid w:val="006A4EA1"/>
    <w:rsid w:val="006A78D2"/>
    <w:rsid w:val="006B2D6A"/>
    <w:rsid w:val="00710CEF"/>
    <w:rsid w:val="00786CF4"/>
    <w:rsid w:val="00872FB9"/>
    <w:rsid w:val="008751F5"/>
    <w:rsid w:val="008F3476"/>
    <w:rsid w:val="0090435D"/>
    <w:rsid w:val="009138C8"/>
    <w:rsid w:val="0092356C"/>
    <w:rsid w:val="009421FD"/>
    <w:rsid w:val="00970CFD"/>
    <w:rsid w:val="00975501"/>
    <w:rsid w:val="009F1CE7"/>
    <w:rsid w:val="009F33A5"/>
    <w:rsid w:val="00AC2431"/>
    <w:rsid w:val="00AF5D82"/>
    <w:rsid w:val="00B523B5"/>
    <w:rsid w:val="00BA7FAE"/>
    <w:rsid w:val="00C279C2"/>
    <w:rsid w:val="00C33829"/>
    <w:rsid w:val="00C63126"/>
    <w:rsid w:val="00C635A7"/>
    <w:rsid w:val="00C7054F"/>
    <w:rsid w:val="00C76B1E"/>
    <w:rsid w:val="00CA6231"/>
    <w:rsid w:val="00CD2044"/>
    <w:rsid w:val="00CE3D08"/>
    <w:rsid w:val="00CF44BE"/>
    <w:rsid w:val="00D77580"/>
    <w:rsid w:val="00D9277D"/>
    <w:rsid w:val="00DD2700"/>
    <w:rsid w:val="00DD5044"/>
    <w:rsid w:val="00E44AC1"/>
    <w:rsid w:val="00E50C3E"/>
    <w:rsid w:val="00E536B9"/>
    <w:rsid w:val="00EE1963"/>
    <w:rsid w:val="00F3628E"/>
    <w:rsid w:val="00F74FDA"/>
    <w:rsid w:val="00F932AB"/>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ED305D"/>
  <w15:chartTrackingRefBased/>
  <w15:docId w15:val="{7F2A2780-927D-BF42-882A-B9F9782E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0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0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50C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0C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0C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0C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0C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0C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0C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C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0C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50C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0C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0C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0C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0C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0C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0C3E"/>
    <w:rPr>
      <w:rFonts w:eastAsiaTheme="majorEastAsia" w:cstheme="majorBidi"/>
      <w:color w:val="272727" w:themeColor="text1" w:themeTint="D8"/>
    </w:rPr>
  </w:style>
  <w:style w:type="paragraph" w:styleId="Title">
    <w:name w:val="Title"/>
    <w:basedOn w:val="Normal"/>
    <w:next w:val="Normal"/>
    <w:link w:val="TitleChar"/>
    <w:uiPriority w:val="10"/>
    <w:qFormat/>
    <w:rsid w:val="00E50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C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0C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0C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0C3E"/>
    <w:pPr>
      <w:spacing w:before="160"/>
      <w:jc w:val="center"/>
    </w:pPr>
    <w:rPr>
      <w:i/>
      <w:iCs/>
      <w:color w:val="404040" w:themeColor="text1" w:themeTint="BF"/>
    </w:rPr>
  </w:style>
  <w:style w:type="character" w:customStyle="1" w:styleId="QuoteChar">
    <w:name w:val="Quote Char"/>
    <w:basedOn w:val="DefaultParagraphFont"/>
    <w:link w:val="Quote"/>
    <w:uiPriority w:val="29"/>
    <w:rsid w:val="00E50C3E"/>
    <w:rPr>
      <w:i/>
      <w:iCs/>
      <w:color w:val="404040" w:themeColor="text1" w:themeTint="BF"/>
    </w:rPr>
  </w:style>
  <w:style w:type="paragraph" w:styleId="ListParagraph">
    <w:name w:val="List Paragraph"/>
    <w:basedOn w:val="Normal"/>
    <w:uiPriority w:val="34"/>
    <w:qFormat/>
    <w:rsid w:val="00E50C3E"/>
    <w:pPr>
      <w:ind w:left="720"/>
      <w:contextualSpacing/>
    </w:pPr>
  </w:style>
  <w:style w:type="character" w:styleId="IntenseEmphasis">
    <w:name w:val="Intense Emphasis"/>
    <w:basedOn w:val="DefaultParagraphFont"/>
    <w:uiPriority w:val="21"/>
    <w:qFormat/>
    <w:rsid w:val="00E50C3E"/>
    <w:rPr>
      <w:i/>
      <w:iCs/>
      <w:color w:val="0F4761" w:themeColor="accent1" w:themeShade="BF"/>
    </w:rPr>
  </w:style>
  <w:style w:type="paragraph" w:styleId="IntenseQuote">
    <w:name w:val="Intense Quote"/>
    <w:basedOn w:val="Normal"/>
    <w:next w:val="Normal"/>
    <w:link w:val="IntenseQuoteChar"/>
    <w:uiPriority w:val="30"/>
    <w:qFormat/>
    <w:rsid w:val="00E50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0C3E"/>
    <w:rPr>
      <w:i/>
      <w:iCs/>
      <w:color w:val="0F4761" w:themeColor="accent1" w:themeShade="BF"/>
    </w:rPr>
  </w:style>
  <w:style w:type="character" w:styleId="IntenseReference">
    <w:name w:val="Intense Reference"/>
    <w:basedOn w:val="DefaultParagraphFont"/>
    <w:uiPriority w:val="32"/>
    <w:qFormat/>
    <w:rsid w:val="00E50C3E"/>
    <w:rPr>
      <w:b/>
      <w:bCs/>
      <w:smallCaps/>
      <w:color w:val="0F4761" w:themeColor="accent1" w:themeShade="BF"/>
      <w:spacing w:val="5"/>
    </w:rPr>
  </w:style>
  <w:style w:type="paragraph" w:styleId="NormalWeb">
    <w:name w:val="Normal (Web)"/>
    <w:basedOn w:val="Normal"/>
    <w:uiPriority w:val="99"/>
    <w:semiHidden/>
    <w:unhideWhenUsed/>
    <w:rsid w:val="00E50C3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50C3E"/>
    <w:rPr>
      <w:b/>
      <w:bCs/>
    </w:rPr>
  </w:style>
  <w:style w:type="table" w:styleId="TableGrid">
    <w:name w:val="Table Grid"/>
    <w:basedOn w:val="TableNormal"/>
    <w:uiPriority w:val="39"/>
    <w:rsid w:val="00E50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pen">
    <w:name w:val="mopen"/>
    <w:basedOn w:val="DefaultParagraphFont"/>
    <w:rsid w:val="003838F4"/>
  </w:style>
  <w:style w:type="character" w:customStyle="1" w:styleId="mord">
    <w:name w:val="mord"/>
    <w:basedOn w:val="DefaultParagraphFont"/>
    <w:rsid w:val="003838F4"/>
  </w:style>
  <w:style w:type="character" w:customStyle="1" w:styleId="mpunct">
    <w:name w:val="mpunct"/>
    <w:basedOn w:val="DefaultParagraphFont"/>
    <w:rsid w:val="003838F4"/>
  </w:style>
  <w:style w:type="character" w:customStyle="1" w:styleId="mclose">
    <w:name w:val="mclose"/>
    <w:basedOn w:val="DefaultParagraphFont"/>
    <w:rsid w:val="003838F4"/>
  </w:style>
  <w:style w:type="character" w:styleId="HTMLCode">
    <w:name w:val="HTML Code"/>
    <w:basedOn w:val="DefaultParagraphFont"/>
    <w:uiPriority w:val="99"/>
    <w:semiHidden/>
    <w:unhideWhenUsed/>
    <w:rsid w:val="000E1B9B"/>
    <w:rPr>
      <w:rFonts w:ascii="Courier New" w:eastAsia="Times New Roman" w:hAnsi="Courier New" w:cs="Courier New"/>
      <w:sz w:val="20"/>
      <w:szCs w:val="20"/>
    </w:rPr>
  </w:style>
  <w:style w:type="character" w:customStyle="1" w:styleId="vlist-s">
    <w:name w:val="vlist-s"/>
    <w:basedOn w:val="DefaultParagraphFont"/>
    <w:rsid w:val="00BA7FAE"/>
  </w:style>
  <w:style w:type="character" w:styleId="PlaceholderText">
    <w:name w:val="Placeholder Text"/>
    <w:basedOn w:val="DefaultParagraphFont"/>
    <w:uiPriority w:val="99"/>
    <w:semiHidden/>
    <w:rsid w:val="006A4EA1"/>
    <w:rPr>
      <w:color w:val="666666"/>
    </w:rPr>
  </w:style>
  <w:style w:type="paragraph" w:styleId="HTMLPreformatted">
    <w:name w:val="HTML Preformatted"/>
    <w:basedOn w:val="Normal"/>
    <w:link w:val="HTMLPreformattedChar"/>
    <w:uiPriority w:val="99"/>
    <w:semiHidden/>
    <w:unhideWhenUsed/>
    <w:rsid w:val="005B6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5B6C20"/>
    <w:rPr>
      <w:rFonts w:ascii="Courier New" w:eastAsia="Times New Roman" w:hAnsi="Courier New" w:cs="Courier New"/>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14</Pages>
  <Words>2941</Words>
  <Characters>16770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OLUIKPE, PAUL IHUOMA</dc:creator>
  <cp:keywords/>
  <dc:description/>
  <cp:lastModifiedBy>OLUIKPE, PAUL IHUOMA</cp:lastModifiedBy>
  <cp:revision>62</cp:revision>
  <dcterms:created xsi:type="dcterms:W3CDTF">2026-08-15T13:06:00Z</dcterms:created>
  <dcterms:modified xsi:type="dcterms:W3CDTF">2026-08-19T11:49:00Z</dcterms:modified>
</cp:coreProperties>
</file>