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39FFF" w14:textId="77777777" w:rsidR="00C92719" w:rsidRPr="00084580" w:rsidRDefault="00C92719" w:rsidP="00C92719">
      <w:pPr>
        <w:rPr>
          <w:rFonts w:ascii="Times New Roman" w:hAnsi="Times New Roman" w:cs="Times New Roman"/>
        </w:rPr>
      </w:pPr>
      <w:r w:rsidRPr="00084580">
        <w:rPr>
          <w:rFonts w:ascii="Times New Roman" w:hAnsi="Times New Roman" w:cs="Times New Roman"/>
        </w:rPr>
        <w:t>Supplementary Figure Legends</w:t>
      </w:r>
    </w:p>
    <w:p w14:paraId="181DBDC0" w14:textId="77777777" w:rsidR="00C92719" w:rsidRPr="00084580" w:rsidRDefault="00C92719" w:rsidP="00C92719">
      <w:pPr>
        <w:rPr>
          <w:rFonts w:ascii="Times New Roman" w:hAnsi="Times New Roman" w:cs="Times New Roman"/>
        </w:rPr>
      </w:pPr>
      <w:r w:rsidRPr="00084580">
        <w:rPr>
          <w:rFonts w:ascii="Times New Roman" w:hAnsi="Times New Roman" w:cs="Times New Roman"/>
        </w:rPr>
        <w:t>Supplementary Figure 1. Variance inflation factor (VIF) analysis of the six-gene signature. Horizontal bar chart showing VIF values for each of the six genes in the TCGA-OV logistic regression model. All VIF values were below 1.3 (range: 1.04–1.27), well below the conventional threshold of 5 (red dashed line), confirming the absence of multicollinearity among predictors.</w:t>
      </w:r>
    </w:p>
    <w:p w14:paraId="4805267F" w14:textId="3DBB4F52" w:rsidR="00C92719" w:rsidRPr="00084580" w:rsidRDefault="00C92719" w:rsidP="00C92719">
      <w:pPr>
        <w:rPr>
          <w:rFonts w:ascii="Times New Roman" w:hAnsi="Times New Roman" w:cs="Times New Roman"/>
        </w:rPr>
      </w:pPr>
      <w:r w:rsidRPr="00084580">
        <w:rPr>
          <w:rFonts w:ascii="Times New Roman" w:hAnsi="Times New Roman" w:cs="Times New Roman"/>
        </w:rPr>
        <w:t xml:space="preserve">Supplementary Figure 2. KEGG pathway GSEA analysis. </w:t>
      </w:r>
      <w:proofErr w:type="spellStart"/>
      <w:r w:rsidRPr="00084580">
        <w:rPr>
          <w:rFonts w:ascii="Times New Roman" w:hAnsi="Times New Roman" w:cs="Times New Roman"/>
        </w:rPr>
        <w:t>Dotplot</w:t>
      </w:r>
      <w:proofErr w:type="spellEnd"/>
      <w:r w:rsidRPr="00084580">
        <w:rPr>
          <w:rFonts w:ascii="Times New Roman" w:hAnsi="Times New Roman" w:cs="Times New Roman"/>
        </w:rPr>
        <w:t xml:space="preserve"> showing 20 significantly enriched KEGG pathways (all </w:t>
      </w:r>
      <w:proofErr w:type="spellStart"/>
      <w:r w:rsidRPr="00084580">
        <w:rPr>
          <w:rFonts w:ascii="Times New Roman" w:hAnsi="Times New Roman" w:cs="Times New Roman"/>
        </w:rPr>
        <w:t>P.adj</w:t>
      </w:r>
      <w:proofErr w:type="spellEnd"/>
      <w:r w:rsidRPr="00084580">
        <w:rPr>
          <w:rFonts w:ascii="Times New Roman" w:hAnsi="Times New Roman" w:cs="Times New Roman"/>
        </w:rPr>
        <w:t xml:space="preserve"> &lt; 0.001) in high- versus low-risk groups. Point size reflects gene ratio; color reflects adjusted P-value. Ribosome, Oxidative Phosphorylation, and Asthma were among the top-ranked pathways by gene ratio.</w:t>
      </w:r>
      <w:r w:rsidR="00CD0ED7" w:rsidRPr="00CD0ED7">
        <w:t xml:space="preserve"> </w:t>
      </w:r>
      <w:r w:rsidR="00CD0ED7" w:rsidRPr="00CD0ED7">
        <w:rPr>
          <w:rFonts w:ascii="Times New Roman" w:hAnsi="Times New Roman" w:cs="Times New Roman"/>
        </w:rPr>
        <w:t xml:space="preserve">KEGG pathway gene set information was used with permission from </w:t>
      </w:r>
      <w:proofErr w:type="spellStart"/>
      <w:r w:rsidR="00CD0ED7" w:rsidRPr="00CD0ED7">
        <w:rPr>
          <w:rFonts w:ascii="Times New Roman" w:hAnsi="Times New Roman" w:cs="Times New Roman"/>
        </w:rPr>
        <w:t>Kanehisa</w:t>
      </w:r>
      <w:proofErr w:type="spellEnd"/>
      <w:r w:rsidR="00CD0ED7" w:rsidRPr="00CD0ED7">
        <w:rPr>
          <w:rFonts w:ascii="Times New Roman" w:hAnsi="Times New Roman" w:cs="Times New Roman"/>
        </w:rPr>
        <w:t xml:space="preserve"> Laboratories and cited according to KEGG citation guidelines. The figure is a self-generated GSEA </w:t>
      </w:r>
      <w:proofErr w:type="spellStart"/>
      <w:r w:rsidR="00CD0ED7" w:rsidRPr="00CD0ED7">
        <w:rPr>
          <w:rFonts w:ascii="Times New Roman" w:hAnsi="Times New Roman" w:cs="Times New Roman"/>
        </w:rPr>
        <w:t>dotplot</w:t>
      </w:r>
      <w:proofErr w:type="spellEnd"/>
      <w:r w:rsidR="00CD0ED7" w:rsidRPr="00CD0ED7">
        <w:rPr>
          <w:rFonts w:ascii="Times New Roman" w:hAnsi="Times New Roman" w:cs="Times New Roman"/>
        </w:rPr>
        <w:t xml:space="preserve"> and does not reproduce KEGG pathway map images.</w:t>
      </w:r>
    </w:p>
    <w:p w14:paraId="08A2B560" w14:textId="77777777" w:rsidR="00C92719" w:rsidRPr="00084580" w:rsidRDefault="00C92719" w:rsidP="00C92719">
      <w:pPr>
        <w:rPr>
          <w:rFonts w:ascii="Times New Roman" w:hAnsi="Times New Roman" w:cs="Times New Roman"/>
        </w:rPr>
      </w:pPr>
      <w:r w:rsidRPr="00084580">
        <w:rPr>
          <w:rFonts w:ascii="Times New Roman" w:hAnsi="Times New Roman" w:cs="Times New Roman"/>
        </w:rPr>
        <w:t>Supplementary Figure 3. Distribution of cross-validated AUC across 100 repeated 10-fold cross-validation cycles. Density plot and summary statistics for the six-gene logistic model. Mean CV AUC = 0.673 (95% CI: 0.654–0.688). The narrow distribution indicates stable discrimination across random fold partitions.</w:t>
      </w:r>
    </w:p>
    <w:p w14:paraId="6514D22E" w14:textId="77777777" w:rsidR="00C92719" w:rsidRPr="00084580" w:rsidRDefault="00C92719" w:rsidP="00C92719">
      <w:pPr>
        <w:rPr>
          <w:rFonts w:ascii="Times New Roman" w:hAnsi="Times New Roman" w:cs="Times New Roman"/>
        </w:rPr>
      </w:pPr>
      <w:r w:rsidRPr="00084580">
        <w:rPr>
          <w:rFonts w:ascii="Times New Roman" w:hAnsi="Times New Roman" w:cs="Times New Roman"/>
        </w:rPr>
        <w:t xml:space="preserve">Supplementary Figure 4. Immune-related Hallmark pathway analysis. Box plots comparing </w:t>
      </w:r>
      <w:proofErr w:type="spellStart"/>
      <w:r w:rsidRPr="00084580">
        <w:rPr>
          <w:rFonts w:ascii="Times New Roman" w:hAnsi="Times New Roman" w:cs="Times New Roman"/>
        </w:rPr>
        <w:t>ssGSEA</w:t>
      </w:r>
      <w:proofErr w:type="spellEnd"/>
      <w:r w:rsidRPr="00084580">
        <w:rPr>
          <w:rFonts w:ascii="Times New Roman" w:hAnsi="Times New Roman" w:cs="Times New Roman"/>
        </w:rPr>
        <w:t xml:space="preserve"> scores for six immune-related Hallmark pathways (Complement, IL6/JAK/STAT3 Signaling, Inflammatory Response, Interferon Alpha Response, Interferon Gamma Response, TNF-α Signaling via NF-</w:t>
      </w:r>
      <w:proofErr w:type="spellStart"/>
      <w:r w:rsidRPr="00084580">
        <w:rPr>
          <w:rFonts w:ascii="Times New Roman" w:hAnsi="Times New Roman" w:cs="Times New Roman"/>
        </w:rPr>
        <w:t>κB</w:t>
      </w:r>
      <w:proofErr w:type="spellEnd"/>
      <w:r w:rsidRPr="00084580">
        <w:rPr>
          <w:rFonts w:ascii="Times New Roman" w:hAnsi="Times New Roman" w:cs="Times New Roman"/>
        </w:rPr>
        <w:t>) between high-risk (red) and low-risk (blue) groups. No significant differences were observed (all P &gt; 0.05, Wilcoxon rank-sum test; ns = not significant).</w:t>
      </w:r>
    </w:p>
    <w:p w14:paraId="6AD0124A" w14:textId="77777777" w:rsidR="00C92719" w:rsidRPr="00084580" w:rsidRDefault="00C92719" w:rsidP="00C92719">
      <w:pPr>
        <w:rPr>
          <w:rFonts w:ascii="Times New Roman" w:hAnsi="Times New Roman" w:cs="Times New Roman"/>
        </w:rPr>
      </w:pPr>
      <w:r w:rsidRPr="00084580">
        <w:rPr>
          <w:rFonts w:ascii="Times New Roman" w:hAnsi="Times New Roman" w:cs="Times New Roman"/>
        </w:rPr>
        <w:t>Supplementary Figure 5. Multivariable Cox proportional hazards regression. Forest plot showing hazard ratios (95% CI) for overall survival. Covariates: risk score (HR = 1.2, 95% CI: 0.96–1.4, P = 0.116), age (HR = 1.0, P = 0.032), FIGO stage (I/II vs. III/IV, HR = 1.1, P = 0.558), and histologic grade (G1/G2 vs. G3/G4, HR = 1.4, P = 0.164). Age was the only independently significant covariate. Global log-rank P = 0.067; concordance index = 0.6.</w:t>
      </w:r>
    </w:p>
    <w:p w14:paraId="4B5A8A15" w14:textId="77777777" w:rsidR="00C92719" w:rsidRPr="00084580" w:rsidRDefault="00C92719" w:rsidP="00C92719">
      <w:pPr>
        <w:rPr>
          <w:rFonts w:ascii="Times New Roman" w:hAnsi="Times New Roman" w:cs="Times New Roman"/>
        </w:rPr>
      </w:pPr>
      <w:r w:rsidRPr="00084580">
        <w:rPr>
          <w:rFonts w:ascii="Times New Roman" w:hAnsi="Times New Roman" w:cs="Times New Roman"/>
        </w:rPr>
        <w:t>Supplementary Figure 6. Kaplan-Meier overall survival analysis by six-gene DDR risk score group. Patients were dichotomized at the median risk score into high-risk and low-risk groups (n = 168 each). No significant difference in overall survival was observed (log-rank P = 0.53). Number-at-risk table shown below.</w:t>
      </w:r>
    </w:p>
    <w:p w14:paraId="6B70225D" w14:textId="77777777" w:rsidR="00C92719" w:rsidRPr="00084580" w:rsidRDefault="00C92719" w:rsidP="00C92719">
      <w:pPr>
        <w:rPr>
          <w:rFonts w:ascii="Times New Roman" w:hAnsi="Times New Roman" w:cs="Times New Roman"/>
        </w:rPr>
      </w:pPr>
      <w:r w:rsidRPr="00084580">
        <w:rPr>
          <w:rFonts w:ascii="Times New Roman" w:hAnsi="Times New Roman" w:cs="Times New Roman"/>
        </w:rPr>
        <w:t xml:space="preserve">Supplementary Figure 7. Kaplan-Meier overall survival analysis for individual genes. Six panels showing OS curves for each gene (dichotomized at median expression). Only CYREN showed a significant association with overall survival (P = 0.008). NSMCE1 (P = 0.58), </w:t>
      </w:r>
      <w:r w:rsidRPr="00084580">
        <w:rPr>
          <w:rFonts w:ascii="Times New Roman" w:hAnsi="Times New Roman" w:cs="Times New Roman"/>
        </w:rPr>
        <w:lastRenderedPageBreak/>
        <w:t>PRKDC (P = 0.50), MORF4L1 (P = 0.57), DYRK1B (P = 0.52), and ZMYND8 (P = 0.62) were not significant.</w:t>
      </w:r>
    </w:p>
    <w:p w14:paraId="341F094C" w14:textId="77777777" w:rsidR="008F280D" w:rsidRPr="00C92719" w:rsidRDefault="008F280D">
      <w:pPr>
        <w:rPr>
          <w:rFonts w:hint="eastAsia"/>
        </w:rPr>
      </w:pPr>
    </w:p>
    <w:sectPr w:rsidR="008F280D" w:rsidRPr="00C927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4189D" w14:textId="77777777" w:rsidR="003D5248" w:rsidRDefault="003D5248" w:rsidP="00CD0ED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1542B9A" w14:textId="77777777" w:rsidR="003D5248" w:rsidRDefault="003D5248" w:rsidP="00CD0ED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30CAB" w14:textId="77777777" w:rsidR="003D5248" w:rsidRDefault="003D5248" w:rsidP="00CD0ED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8C9A657" w14:textId="77777777" w:rsidR="003D5248" w:rsidRDefault="003D5248" w:rsidP="00CD0ED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CF"/>
    <w:rsid w:val="00084580"/>
    <w:rsid w:val="0015569F"/>
    <w:rsid w:val="003D5248"/>
    <w:rsid w:val="00652887"/>
    <w:rsid w:val="00735CDB"/>
    <w:rsid w:val="008F280D"/>
    <w:rsid w:val="00B417CF"/>
    <w:rsid w:val="00C92719"/>
    <w:rsid w:val="00CD0ED7"/>
    <w:rsid w:val="00E0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0D6AE38-4C1D-410F-BB05-5EF7AD83A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417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7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7C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7C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7C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7C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7C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7C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17C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1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1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17C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17C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417C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17C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17C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17C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17C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41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7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417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417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7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17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1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417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417C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D0E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D0E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D0E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D0E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e88001</dc:creator>
  <cp:keywords/>
  <dc:description/>
  <cp:lastModifiedBy>e88001</cp:lastModifiedBy>
  <cp:revision>4</cp:revision>
  <dcterms:created xsi:type="dcterms:W3CDTF">2026-08-16T14:55:00Z</dcterms:created>
  <dcterms:modified xsi:type="dcterms:W3CDTF">2026-08-25T13:06:00Z</dcterms:modified>
</cp:coreProperties>
</file>