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2D5" w:rsidRPr="006A1AC7" w:rsidRDefault="00EF51D1" w:rsidP="006A1AC7">
      <w:pPr>
        <w:pStyle w:val="FirstParagraph"/>
        <w:jc w:val="center"/>
        <w:rPr>
          <w:sz w:val="28"/>
          <w:szCs w:val="28"/>
        </w:rPr>
      </w:pPr>
      <w:r w:rsidRPr="006A1AC7">
        <w:rPr>
          <w:b/>
          <w:bCs/>
          <w:sz w:val="28"/>
          <w:szCs w:val="28"/>
        </w:rPr>
        <w:t>Supplementary Appendix for</w:t>
      </w:r>
      <w:r w:rsidR="00600D33" w:rsidRPr="006A1AC7">
        <w:rPr>
          <w:b/>
          <w:bCs/>
          <w:sz w:val="28"/>
          <w:szCs w:val="28"/>
        </w:rPr>
        <w:t xml:space="preserve">  </w:t>
      </w:r>
      <w:r w:rsidRPr="006A1AC7">
        <w:rPr>
          <w:b/>
          <w:bCs/>
          <w:sz w:val="28"/>
          <w:szCs w:val="28"/>
        </w:rPr>
        <w:t>“Testing Human-Time Economics: Did the Engine of Growth Shift After 1973?”</w:t>
      </w:r>
    </w:p>
    <w:p w:rsidR="002162D5" w:rsidRPr="006A1AC7" w:rsidRDefault="00EF51D1">
      <w:pPr>
        <w:pStyle w:val="2"/>
        <w:rPr>
          <w:color w:val="auto"/>
        </w:rPr>
      </w:pPr>
      <w:bookmarkStart w:id="0" w:name="s.0-purpose-and-contents"/>
      <w:r w:rsidRPr="006A1AC7">
        <w:rPr>
          <w:color w:val="auto"/>
        </w:rPr>
        <w:t>S.0 Purpose and contents</w:t>
      </w:r>
    </w:p>
    <w:p w:rsidR="002162D5" w:rsidRDefault="00EF51D1">
      <w:pPr>
        <w:pStyle w:val="FirstParagraph"/>
      </w:pPr>
      <w:r>
        <w:t>This appendix answers t</w:t>
      </w:r>
      <w:r w:rsidR="00B65FE8">
        <w:t xml:space="preserve">hree questions </w:t>
      </w:r>
      <w:r>
        <w:t>and answers each with the full computation rather than a summary statistic.</w:t>
      </w:r>
    </w:p>
    <w:p w:rsidR="002162D5" w:rsidRDefault="00EF51D1">
      <w:pPr>
        <w:pStyle w:val="a0"/>
      </w:pPr>
      <w:r>
        <w:rPr>
          <w:b/>
          <w:bCs/>
        </w:rPr>
        <w:t>Section A</w:t>
      </w:r>
      <w:r>
        <w:t xml:space="preserve"> asks whether the results of Sections 5 and 6 are manufactured by the one series in the accounting that is calibrated rather than measured. The manuscript uses a path for unwaged appropriated time,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that rises from about 2.2 to about 5.0 hours per adult per day; the level of that path is stated with a </w:t>
      </w:r>
      <m:oMath>
        <m:r>
          <m:rPr>
            <m:sty m:val="p"/>
          </m:rPr>
          <w:rPr>
            <w:rFonts w:ascii="Cambria Math" w:hAnsi="Cambria Math"/>
          </w:rPr>
          <m:t>±</m:t>
        </m:r>
        <m:r>
          <w:rPr>
            <w:rFonts w:ascii="Cambria Math" w:hAnsi="Cambria Math"/>
          </w:rPr>
          <m:t>40</m:t>
        </m:r>
      </m:oMath>
      <w:r>
        <w:t xml:space="preserve"> per cent band and its shape is a smooth interpolation between benchmark years. If the 1973 break in the coupling margin, or the absence of a break in the appropriation margin, moved with that calibration, neither result would mean anything. Section A rebuilds every series under eleven perturbations, including three alternative </w:t>
      </w:r>
      <w:r>
        <w:rPr>
          <w:i/>
          <w:iCs/>
        </w:rPr>
        <w:t>shapes</w:t>
      </w:r>
      <w:r>
        <w:t xml:space="preserve"> for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with the endpoints held fixed, and reports the break tests in full.</w:t>
      </w:r>
    </w:p>
    <w:p w:rsidR="002162D5" w:rsidRDefault="00EF51D1">
      <w:pPr>
        <w:pStyle w:val="a0"/>
      </w:pPr>
      <w:r>
        <w:rPr>
          <w:b/>
          <w:bCs/>
        </w:rPr>
        <w:t>Section B</w:t>
      </w:r>
      <w:r>
        <w:t xml:space="preserve"> asks whether the horse race of Section 7 survives the removal of the economies that drive it. The manuscript states plainly that the demographic wedge earns its in-sample significance largely from Japan, Italy and Greece; this section gives the country-level influence diagnostics, every estimator-by-subsample combination, and the complete leave-two-out dist</w:t>
      </w:r>
      <w:r w:rsidR="00FD3039">
        <w:t xml:space="preserve">ribution. </w:t>
      </w:r>
      <w:r w:rsidR="00FD3039" w:rsidRPr="00FD3039">
        <w:t>The analysis quantifies the contributionof these observations to the estimated relationship.</w:t>
      </w:r>
    </w:p>
    <w:p w:rsidR="002162D5" w:rsidRDefault="00EF51D1">
      <w:pPr>
        <w:pStyle w:val="a0"/>
      </w:pPr>
      <w:r>
        <w:rPr>
          <w:b/>
          <w:bCs/>
        </w:rPr>
        <w:t>Section C</w:t>
      </w:r>
      <w:r>
        <w:t xml:space="preserve"> extends the temporal leverage panels to Azerbaijan. It is an extension rather than a robustness check: Azerbaijan does not appear in the manuscript, its inputs are author estimates rather than BIS or IMF vintages, and none of the results reported in the main text depends on it. It is included because it is the clearest case in the sample of the one thing temporal leverage does that the debt ratio structurally cannot — change sign while the debt ratio does not move.</w:t>
      </w:r>
    </w:p>
    <w:p w:rsidR="002162D5" w:rsidRDefault="00EF51D1">
      <w:pPr>
        <w:pStyle w:val="a0"/>
      </w:pPr>
      <w:r>
        <w:t xml:space="preserve">All computations use the replication package accompanying the manuscript. Randomised procedures use seed 20260818. Throughout, a break dated </w:t>
      </w:r>
      <m:oMath>
        <m:r>
          <w:rPr>
            <w:rFonts w:ascii="Cambria Math" w:hAnsi="Cambria Math"/>
          </w:rPr>
          <m:t>b</m:t>
        </m:r>
      </m:oMath>
      <w:r>
        <w:t xml:space="preserve"> means that </w:t>
      </w:r>
      <m:oMath>
        <m:r>
          <w:rPr>
            <w:rFonts w:ascii="Cambria Math" w:hAnsi="Cambria Math"/>
          </w:rPr>
          <m:t>b</m:t>
        </m:r>
      </m:oMath>
      <w:r>
        <w:t xml:space="preserve"> is the </w:t>
      </w:r>
      <w:r>
        <w:rPr>
          <w:b/>
          <w:bCs/>
        </w:rPr>
        <w:t>last</w:t>
      </w:r>
      <w:r>
        <w:t xml:space="preserve"> observation of the pre-break regime, the Bai–Perron convention.</w:t>
      </w:r>
    </w:p>
    <w:p w:rsidR="002162D5" w:rsidRPr="006A1AC7" w:rsidRDefault="00EF51D1">
      <w:pPr>
        <w:pStyle w:val="1"/>
        <w:rPr>
          <w:color w:val="auto"/>
        </w:rPr>
      </w:pPr>
      <w:bookmarkStart w:id="1" w:name="Xc4282e4204f92108fffeb6a25253991c694f985"/>
      <w:bookmarkEnd w:id="0"/>
      <w:r w:rsidRPr="006A1AC7">
        <w:rPr>
          <w:color w:val="auto"/>
        </w:rPr>
        <w:t>Section A. Robustness to the calibration band</w:t>
      </w:r>
    </w:p>
    <w:p w:rsidR="002162D5" w:rsidRPr="006A1AC7" w:rsidRDefault="00EF51D1">
      <w:pPr>
        <w:pStyle w:val="2"/>
        <w:rPr>
          <w:color w:val="auto"/>
        </w:rPr>
      </w:pPr>
      <w:bookmarkStart w:id="2" w:name="X44123f790ea2860f29c603859446757ea64167f"/>
      <w:r w:rsidRPr="006A1AC7">
        <w:rPr>
          <w:color w:val="auto"/>
        </w:rPr>
        <w:t>A.1 What is calibrated and what is measured</w:t>
      </w:r>
    </w:p>
    <w:p w:rsidR="002162D5" w:rsidRDefault="00EF51D1">
      <w:pPr>
        <w:pStyle w:val="FirstParagraph"/>
      </w:pPr>
      <w:r>
        <w:t>The distinction matters more here than anywhere else in the paper, so it is worth restating precisely. The appropriation rate is the sum of two components,</w:t>
      </w:r>
    </w:p>
    <w:p w:rsidR="002162D5" w:rsidRDefault="007E57C6">
      <w:pPr>
        <w:pStyle w:val="a0"/>
      </w:pPr>
      <m:oMathPara>
        <m:oMathParaPr>
          <m:jc m:val="center"/>
        </m:oMathParaPr>
        <m:oMath>
          <m:sSub>
            <m:sSubPr>
              <m:ctrlPr>
                <w:rPr>
                  <w:rFonts w:ascii="Cambria Math" w:hAnsi="Cambria Math"/>
                </w:rPr>
              </m:ctrlPr>
            </m:sSubPr>
            <m:e>
              <m:r>
                <w:rPr>
                  <w:rFonts w:ascii="Cambria Math" w:hAnsi="Cambria Math"/>
                </w:rPr>
                <m:t>α</m:t>
              </m:r>
            </m:e>
            <m:sub>
              <m:r>
                <w:rPr>
                  <w:rFonts w:ascii="Cambria Math" w:hAnsi="Cambria Math"/>
                </w:rPr>
                <m:t>t</m:t>
              </m:r>
            </m:sub>
          </m:sSub>
          <m:r>
            <w:rPr>
              <w:rFonts w:ascii="Cambria Math" w:hAnsi="Cambria Math"/>
            </w:rPr>
            <m:t> </m:t>
          </m:r>
          <m:r>
            <m:rPr>
              <m:sty m:val="p"/>
            </m:rPr>
            <w:rPr>
              <w:rFonts w:ascii="Cambria Math" w:hAnsi="Cambria Math"/>
            </w:rPr>
            <m:t>=</m:t>
          </m:r>
          <m:r>
            <w:rPr>
              <w:rFonts w:ascii="Cambria Math" w:hAnsi="Cambria Math"/>
            </w:rPr>
            <m:t> </m:t>
          </m:r>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w</m:t>
              </m:r>
            </m:sup>
          </m:sSubSup>
          <m:r>
            <w:rPr>
              <w:rFonts w:ascii="Cambria Math" w:hAnsi="Cambria Math"/>
            </w:rPr>
            <m:t> </m:t>
          </m:r>
          <m:r>
            <m:rPr>
              <m:sty m:val="p"/>
            </m:rPr>
            <w:rPr>
              <w:rFonts w:ascii="Cambria Math" w:hAnsi="Cambria Math"/>
            </w:rPr>
            <m:t>+</m:t>
          </m:r>
          <m:r>
            <w:rPr>
              <w:rFonts w:ascii="Cambria Math" w:hAnsi="Cambria Math"/>
            </w:rPr>
            <m:t> </m:t>
          </m:r>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t</m:t>
                  </m:r>
                </m:sub>
              </m:sSub>
            </m:num>
            <m:den>
              <m:acc>
                <m:accPr>
                  <m:chr m:val="‾"/>
                  <m:ctrlPr>
                    <w:rPr>
                      <w:rFonts w:ascii="Cambria Math" w:hAnsi="Cambria Math"/>
                    </w:rPr>
                  </m:ctrlPr>
                </m:accPr>
                <m:e>
                  <m:r>
                    <w:rPr>
                      <w:rFonts w:ascii="Cambria Math" w:hAnsi="Cambria Math"/>
                    </w:rPr>
                    <m:t>w</m:t>
                  </m:r>
                </m:e>
              </m:acc>
            </m:den>
          </m:f>
          <m:r>
            <m:rPr>
              <m:sty m:val="p"/>
            </m:rPr>
            <w:rPr>
              <w:rFonts w:ascii="Cambria Math" w:hAnsi="Cambria Math"/>
            </w:rPr>
            <m:t>,</m:t>
          </m:r>
        </m:oMath>
      </m:oMathPara>
    </w:p>
    <w:p w:rsidR="002162D5" w:rsidRDefault="00EF51D1">
      <w:pPr>
        <w:pStyle w:val="FirstParagraph"/>
      </w:pPr>
      <w:r>
        <w:t>of which the first is measured and the second is not.</w:t>
      </w:r>
    </w:p>
    <w:p w:rsidR="002162D5" w:rsidRDefault="00EF51D1">
      <w:pPr>
        <w:pStyle w:val="a0"/>
      </w:pPr>
      <w:r>
        <w:t xml:space="preserve">The waged component </w:t>
      </w:r>
      <m:oMath>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w</m:t>
            </m:r>
          </m:sup>
        </m:sSubSup>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t</m:t>
            </m:r>
          </m:sub>
        </m:sSub>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d>
          <m:dPr>
            <m:ctrlPr>
              <w:rPr>
                <w:rFonts w:ascii="Cambria Math" w:hAnsi="Cambria Math"/>
              </w:rPr>
            </m:ctrlPr>
          </m:dPr>
          <m:e>
            <m:acc>
              <m:accPr>
                <m:chr m:val="‾"/>
                <m:ctrlPr>
                  <w:rPr>
                    <w:rFonts w:ascii="Cambria Math" w:hAnsi="Cambria Math"/>
                  </w:rPr>
                </m:ctrlPr>
              </m:accPr>
              <m:e>
                <m:r>
                  <w:rPr>
                    <w:rFonts w:ascii="Cambria Math" w:hAnsi="Cambria Math"/>
                  </w:rPr>
                  <m:t>w</m:t>
                </m:r>
              </m:e>
            </m:acc>
            <m:r>
              <m:rPr>
                <m:sty m:val="p"/>
              </m:rPr>
              <w:rPr>
                <w:rFonts w:ascii="Cambria Math" w:hAnsi="Cambria Math"/>
              </w:rPr>
              <m:t>⋅</m:t>
            </m:r>
            <m:r>
              <w:rPr>
                <w:rFonts w:ascii="Cambria Math" w:hAnsi="Cambria Math"/>
              </w:rPr>
              <m:t>365</m:t>
            </m:r>
          </m:e>
        </m:d>
      </m:oMath>
      <w:r>
        <w:t xml:space="preserve"> is built from the employment-to-population ratio </w:t>
      </w:r>
      <m:oMath>
        <m:sSub>
          <m:sSubPr>
            <m:ctrlPr>
              <w:rPr>
                <w:rFonts w:ascii="Cambria Math" w:hAnsi="Cambria Math"/>
              </w:rPr>
            </m:ctrlPr>
          </m:sSubPr>
          <m:e>
            <m:r>
              <w:rPr>
                <w:rFonts w:ascii="Cambria Math" w:hAnsi="Cambria Math"/>
              </w:rPr>
              <m:t>e</m:t>
            </m:r>
          </m:e>
          <m:sub>
            <m:r>
              <w:rPr>
                <w:rFonts w:ascii="Cambria Math" w:hAnsi="Cambria Math"/>
              </w:rPr>
              <m:t>t</m:t>
            </m:r>
          </m:sub>
        </m:sSub>
      </m:oMath>
      <w:r>
        <w:t xml:space="preserve"> and average annual hours per worker </w:t>
      </w:r>
      <m:oMath>
        <m:sSub>
          <m:sSubPr>
            <m:ctrlPr>
              <w:rPr>
                <w:rFonts w:ascii="Cambria Math" w:hAnsi="Cambria Math"/>
              </w:rPr>
            </m:ctrlPr>
          </m:sSubPr>
          <m:e>
            <m:r>
              <w:rPr>
                <w:rFonts w:ascii="Cambria Math" w:hAnsi="Cambria Math"/>
              </w:rPr>
              <m:t>a</m:t>
            </m:r>
          </m:e>
          <m:sub>
            <m:r>
              <w:rPr>
                <w:rFonts w:ascii="Cambria Math" w:hAnsi="Cambria Math"/>
              </w:rPr>
              <m:t>t</m:t>
            </m:r>
          </m:sub>
        </m:sSub>
      </m:oMath>
      <w:r>
        <w:t>, both published annual series. Nothing in it is chosen by the author.</w:t>
      </w:r>
    </w:p>
    <w:p w:rsidR="002162D5" w:rsidRDefault="00EF51D1">
      <w:pPr>
        <w:pStyle w:val="a0"/>
      </w:pPr>
      <w:r>
        <w:t xml:space="preserve">The unwaged component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 commuting, consumption and compliance work, metered platform engagement — is a calibrated path. Its endpoints are disciplined by time-use evidence and household-production reconstructions; its intermediate shape is an interpolation. It is the single largest source of </w:t>
      </w:r>
      <w:r>
        <w:lastRenderedPageBreak/>
        <w:t>uncertainty in the framework, and Section 6.2 of the manuscript already declines to draw evidence from it.</w:t>
      </w:r>
    </w:p>
    <w:p w:rsidR="002162D5" w:rsidRDefault="00EF51D1">
      <w:pPr>
        <w:pStyle w:val="a0"/>
      </w:pPr>
      <w:r>
        <w:t xml:space="preserve">The exercise below therefore has an asymmetric purpose. For the coupling margin </w:t>
      </w:r>
      <m:oMath>
        <m:r>
          <w:rPr>
            <w:rFonts w:ascii="Cambria Math" w:hAnsi="Cambria Math"/>
          </w:rPr>
          <m:t>κ</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H</m:t>
        </m:r>
      </m:oMath>
      <w:r>
        <w:t xml:space="preserve">, where </w:t>
      </w:r>
      <m:oMath>
        <m:r>
          <w:rPr>
            <w:rFonts w:ascii="Cambria Math" w:hAnsi="Cambria Math"/>
          </w:rPr>
          <m:t>H</m:t>
        </m:r>
        <m:r>
          <m:rPr>
            <m:sty m:val="p"/>
          </m:rPr>
          <w:rPr>
            <w:rFonts w:ascii="Cambria Math" w:hAnsi="Cambria Math"/>
          </w:rPr>
          <m:t>=</m:t>
        </m:r>
        <m:r>
          <w:rPr>
            <w:rFonts w:ascii="Cambria Math" w:hAnsi="Cambria Math"/>
          </w:rPr>
          <m:t>αT</m:t>
        </m:r>
      </m:oMath>
      <w:r>
        <w:t xml:space="preserve">, the calibration enters the denominator and could in principle manufacture the break; the tests must show that it does not. For the appropriation margin, the calibration </w:t>
      </w:r>
      <w:r>
        <w:rPr>
          <w:i/>
          <w:iCs/>
        </w:rPr>
        <w:t>is</w:t>
      </w:r>
      <w:r>
        <w:t xml:space="preserve"> most of the series, and the tests must show what can and cannot be concluded from it.</w:t>
      </w:r>
    </w:p>
    <w:p w:rsidR="002162D5" w:rsidRPr="006A1AC7" w:rsidRDefault="00EF51D1">
      <w:pPr>
        <w:pStyle w:val="2"/>
        <w:rPr>
          <w:color w:val="auto"/>
        </w:rPr>
      </w:pPr>
      <w:bookmarkStart w:id="3" w:name="Xebf99642fcd9006eca75e38171c5b18d0111c81"/>
      <w:bookmarkEnd w:id="2"/>
      <w:r w:rsidRPr="006A1AC7">
        <w:rPr>
          <w:color w:val="auto"/>
        </w:rPr>
        <w:t>A.2 Two conventions that are exactly neutral</w:t>
      </w:r>
    </w:p>
    <w:p w:rsidR="002162D5" w:rsidRDefault="00EF51D1">
      <w:pPr>
        <w:pStyle w:val="FirstParagraph"/>
      </w:pPr>
      <w:r>
        <w:t>Before the numerical work, two results should be stated analytically, because they are stronger than any robustness table and are easily mistaken for robustness findings.</w:t>
      </w:r>
    </w:p>
    <w:p w:rsidR="002162D5" w:rsidRDefault="00EF51D1">
      <w:pPr>
        <w:pStyle w:val="a0"/>
      </w:pPr>
      <w:r>
        <w:rPr>
          <w:b/>
          <w:bCs/>
        </w:rPr>
        <w:t>The waking-day convention cancels.</w:t>
      </w:r>
      <w:r>
        <w:t xml:space="preserve"> Writing the waged share and the unwaged path on the same day,</w:t>
      </w:r>
    </w:p>
    <w:p w:rsidR="002162D5" w:rsidRDefault="007E57C6">
      <w:pPr>
        <w:pStyle w:val="a0"/>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 </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α</m:t>
              </m:r>
            </m:e>
            <m:sub>
              <m:r>
                <w:rPr>
                  <w:rFonts w:ascii="Cambria Math" w:hAnsi="Cambria Math"/>
                </w:rPr>
                <m:t>t</m:t>
              </m:r>
            </m:sub>
          </m:sSub>
          <m:sSub>
            <m:sSubPr>
              <m:ctrlPr>
                <w:rPr>
                  <w:rFonts w:ascii="Cambria Math" w:hAnsi="Cambria Math"/>
                </w:rPr>
              </m:ctrlPr>
            </m:sSubPr>
            <m:e>
              <m:r>
                <w:rPr>
                  <w:rFonts w:ascii="Cambria Math" w:hAnsi="Cambria Math"/>
                </w:rPr>
                <m:t>T</m:t>
              </m:r>
            </m:e>
            <m:sub>
              <m:r>
                <w:rPr>
                  <w:rFonts w:ascii="Cambria Math" w:hAnsi="Cambria Math"/>
                </w:rPr>
                <m:t>t</m:t>
              </m:r>
            </m:sub>
          </m:sSub>
          <m:r>
            <w:rPr>
              <w:rFonts w:ascii="Cambria Math" w:hAnsi="Cambria Math"/>
            </w:rPr>
            <m:t> </m:t>
          </m:r>
          <m:r>
            <m:rPr>
              <m:sty m:val="p"/>
            </m:rPr>
            <w:rPr>
              <w:rFonts w:ascii="Cambria Math" w:hAnsi="Cambria Math"/>
            </w:rPr>
            <m:t>=</m:t>
          </m:r>
          <m:r>
            <w:rPr>
              <w:rFonts w:ascii="Cambria Math" w:hAnsi="Cambria Math"/>
            </w:rPr>
            <m:t> </m:t>
          </m:r>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α</m:t>
                  </m:r>
                </m:e>
                <m:sub>
                  <m:r>
                    <w:rPr>
                      <w:rFonts w:ascii="Cambria Math" w:hAnsi="Cambria Math"/>
                    </w:rPr>
                    <m:t>t</m:t>
                  </m:r>
                </m:sub>
                <m:sup>
                  <m:r>
                    <w:rPr>
                      <w:rFonts w:ascii="Cambria Math" w:hAnsi="Cambria Math"/>
                    </w:rPr>
                    <m:t>w</m:t>
                  </m:r>
                </m:sup>
              </m:sSubSup>
              <m:acc>
                <m:accPr>
                  <m:chr m:val="‾"/>
                  <m:ctrlPr>
                    <w:rPr>
                      <w:rFonts w:ascii="Cambria Math" w:hAnsi="Cambria Math"/>
                    </w:rPr>
                  </m:ctrlPr>
                </m:accPr>
                <m:e>
                  <m:r>
                    <w:rPr>
                      <w:rFonts w:ascii="Cambria Math" w:hAnsi="Cambria Math"/>
                    </w:rPr>
                    <m:t>w</m:t>
                  </m:r>
                </m:e>
              </m:acc>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t</m:t>
                  </m:r>
                </m:sub>
              </m:sSub>
            </m:e>
          </m:d>
          <m:sSub>
            <m:sSubPr>
              <m:ctrlPr>
                <w:rPr>
                  <w:rFonts w:ascii="Cambria Math" w:hAnsi="Cambria Math"/>
                </w:rPr>
              </m:ctrlPr>
            </m:sSubPr>
            <m:e>
              <m:r>
                <w:rPr>
                  <w:rFonts w:ascii="Cambria Math" w:hAnsi="Cambria Math"/>
                </w:rPr>
                <m:t>N</m:t>
              </m:r>
            </m:e>
            <m:sub>
              <m:r>
                <w:rPr>
                  <w:rFonts w:ascii="Cambria Math" w:hAnsi="Cambria Math"/>
                </w:rPr>
                <m:t>t</m:t>
              </m:r>
            </m:sub>
          </m:sSub>
          <m:r>
            <m:rPr>
              <m:sty m:val="p"/>
            </m:rPr>
            <w:rPr>
              <w:rFonts w:ascii="Cambria Math" w:hAnsi="Cambria Math"/>
            </w:rPr>
            <m:t>⋅</m:t>
          </m:r>
          <m:r>
            <w:rPr>
              <w:rFonts w:ascii="Cambria Math" w:hAnsi="Cambria Math"/>
            </w:rPr>
            <m:t>365</m:t>
          </m:r>
          <m:r>
            <m:rPr>
              <m:sty m:val="p"/>
            </m:rPr>
            <w:rPr>
              <w:rFonts w:ascii="Cambria Math" w:hAnsi="Cambria Math"/>
            </w:rPr>
            <m:t>,</m:t>
          </m:r>
        </m:oMath>
      </m:oMathPara>
    </w:p>
    <w:p w:rsidR="002162D5" w:rsidRDefault="00EF51D1">
      <w:pPr>
        <w:pStyle w:val="FirstParagraph"/>
      </w:pPr>
      <w:r>
        <w:t xml:space="preserve">so appropriated hours do not contain </w:t>
      </w:r>
      <m:oMath>
        <m:acc>
          <m:accPr>
            <m:chr m:val="‾"/>
            <m:ctrlPr>
              <w:rPr>
                <w:rFonts w:ascii="Cambria Math" w:hAnsi="Cambria Math"/>
              </w:rPr>
            </m:ctrlPr>
          </m:accPr>
          <m:e>
            <m:r>
              <w:rPr>
                <w:rFonts w:ascii="Cambria Math" w:hAnsi="Cambria Math"/>
              </w:rPr>
              <m:t>w</m:t>
            </m:r>
          </m:e>
        </m:acc>
      </m:oMath>
      <w:r>
        <w:t xml:space="preserve"> at all. Consequently </w:t>
      </w:r>
      <m:oMath>
        <m:r>
          <w:rPr>
            <w:rFonts w:ascii="Cambria Math" w:hAnsi="Cambria Math"/>
          </w:rPr>
          <m:t>κ</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H</m:t>
        </m:r>
      </m:oMath>
      <w:r>
        <w:t xml:space="preserve"> is </w:t>
      </w:r>
      <w:r>
        <w:rPr>
          <w:i/>
          <w:iCs/>
        </w:rPr>
        <w:t>identically</w:t>
      </w:r>
      <w:r>
        <w:t xml:space="preserve"> invariant to the choice of waking day, and so is every break test in Sections 5 and 6. Setting </w:t>
      </w:r>
      <m:oMath>
        <m:acc>
          <m:accPr>
            <m:chr m:val="‾"/>
            <m:ctrlPr>
              <w:rPr>
                <w:rFonts w:ascii="Cambria Math" w:hAnsi="Cambria Math"/>
              </w:rPr>
            </m:ctrlPr>
          </m:accPr>
          <m:e>
            <m:r>
              <w:rPr>
                <w:rFonts w:ascii="Cambria Math" w:hAnsi="Cambria Math"/>
              </w:rPr>
              <m:t>w</m:t>
            </m:r>
          </m:e>
        </m:acc>
      </m:oMath>
      <w:r>
        <w:t xml:space="preserve"> to fifteen or seventeen hours changes the level of </w:t>
      </w:r>
      <m:oMath>
        <m:r>
          <w:rPr>
            <w:rFonts w:ascii="Cambria Math" w:hAnsi="Cambria Math"/>
          </w:rPr>
          <m:t>α</m:t>
        </m:r>
      </m:oMath>
      <w:r>
        <w:t xml:space="preserve"> and nothing else. This is not robustness; it is an identity.</w:t>
      </w:r>
    </w:p>
    <w:p w:rsidR="002162D5" w:rsidRDefault="00EF51D1">
      <w:pPr>
        <w:pStyle w:val="a0"/>
      </w:pPr>
      <w:r>
        <w:rPr>
          <w:b/>
          <w:bCs/>
        </w:rPr>
        <w:t>A proportional error in exergy cancels.</w:t>
      </w:r>
      <w:r>
        <w:t xml:space="preserve"> If primary exergy is mismeasured by a constant factor </w:t>
      </w:r>
      <m:oMath>
        <m:r>
          <w:rPr>
            <w:rFonts w:ascii="Cambria Math" w:hAnsi="Cambria Math"/>
          </w:rPr>
          <m:t>c</m:t>
        </m:r>
      </m:oMath>
      <w:r>
        <w:t xml:space="preserve">, then </w:t>
      </w:r>
      <m:oMath>
        <m:r>
          <m:rPr>
            <m:sty m:val="p"/>
          </m:rPr>
          <w:rPr>
            <w:rFonts w:ascii="Cambria Math" w:hAnsi="Cambria Math"/>
          </w:rPr>
          <m:t>ln</m:t>
        </m:r>
        <m:r>
          <w:rPr>
            <w:rFonts w:ascii="Cambria Math" w:hAnsi="Cambria Math"/>
          </w:rPr>
          <m:t>κ</m:t>
        </m:r>
      </m:oMath>
      <w:r>
        <w:t xml:space="preserve"> shifts by </w:t>
      </w:r>
      <m:oMath>
        <m:r>
          <m:rPr>
            <m:sty m:val="p"/>
          </m:rPr>
          <w:rPr>
            <w:rFonts w:ascii="Cambria Math" w:hAnsi="Cambria Math"/>
          </w:rPr>
          <m:t>ln</m:t>
        </m:r>
        <m:r>
          <w:rPr>
            <w:rFonts w:ascii="Cambria Math" w:hAnsi="Cambria Math"/>
          </w:rPr>
          <m:t>c</m:t>
        </m:r>
      </m:oMath>
      <w:r>
        <w:t xml:space="preserve"> and every log-difference is unchanged. Only errors in the </w:t>
      </w:r>
      <w:r>
        <w:rPr>
          <w:i/>
          <w:iCs/>
        </w:rPr>
        <w:t>shape</w:t>
      </w:r>
      <w:r>
        <w:t xml:space="preserve"> of the exergy series can affect the results, which is why branch B9 and B10 below apply a linear tilt rather than a level shift.</w:t>
      </w:r>
    </w:p>
    <w:p w:rsidR="002162D5" w:rsidRPr="006A1AC7" w:rsidRDefault="00EF51D1">
      <w:pPr>
        <w:pStyle w:val="2"/>
        <w:rPr>
          <w:color w:val="auto"/>
        </w:rPr>
      </w:pPr>
      <w:bookmarkStart w:id="4" w:name="a.3-the-eleven-perturbations"/>
      <w:bookmarkEnd w:id="3"/>
      <w:r w:rsidRPr="006A1AC7">
        <w:rPr>
          <w:color w:val="auto"/>
        </w:rPr>
        <w:t>A.3 The eleven perturbations</w:t>
      </w:r>
    </w:p>
    <w:p w:rsidR="002162D5" w:rsidRDefault="00EF51D1">
      <w:pPr>
        <w:pStyle w:val="FirstParagraph"/>
      </w:pPr>
      <w:r>
        <w:rPr>
          <w:b/>
          <w:bCs/>
        </w:rPr>
        <w:t>Table A.1.</w:t>
      </w:r>
      <w:r>
        <w:t xml:space="preserve"> Design of the robustness branches. In every branch the full annual dataset is rebuilt from step one and all tests re-run.</w:t>
      </w:r>
    </w:p>
    <w:tbl>
      <w:tblPr>
        <w:tblStyle w:val="Table"/>
        <w:tblW w:w="5000" w:type="pct"/>
        <w:tblLook w:val="0020" w:firstRow="1" w:lastRow="0" w:firstColumn="0" w:lastColumn="0" w:noHBand="0" w:noVBand="0"/>
      </w:tblPr>
      <w:tblGrid>
        <w:gridCol w:w="852"/>
        <w:gridCol w:w="3698"/>
        <w:gridCol w:w="5026"/>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Branch</w:t>
            </w:r>
          </w:p>
        </w:tc>
        <w:tc>
          <w:tcPr>
            <w:tcW w:w="0" w:type="auto"/>
            <w:tcBorders>
              <w:top w:val="single" w:sz="4" w:space="0" w:color="auto"/>
              <w:bottom w:val="single" w:sz="4" w:space="0" w:color="auto"/>
            </w:tcBorders>
          </w:tcPr>
          <w:p w:rsidR="002162D5" w:rsidRDefault="00EF51D1">
            <w:pPr>
              <w:pStyle w:val="Compact"/>
            </w:pPr>
            <w:r>
              <w:t>Perturbation</w:t>
            </w:r>
          </w:p>
        </w:tc>
        <w:tc>
          <w:tcPr>
            <w:tcW w:w="0" w:type="auto"/>
            <w:tcBorders>
              <w:top w:val="single" w:sz="4" w:space="0" w:color="auto"/>
              <w:bottom w:val="single" w:sz="4" w:space="0" w:color="auto"/>
            </w:tcBorders>
          </w:tcPr>
          <w:p w:rsidR="002162D5" w:rsidRDefault="00EF51D1">
            <w:pPr>
              <w:pStyle w:val="Compact"/>
            </w:pPr>
            <w:r>
              <w:t>What it probes</w:t>
            </w:r>
          </w:p>
        </w:tc>
      </w:tr>
      <w:tr w:rsidR="002162D5" w:rsidTr="007E57C6">
        <w:tc>
          <w:tcPr>
            <w:tcW w:w="0" w:type="auto"/>
            <w:tcBorders>
              <w:top w:val="single" w:sz="4" w:space="0" w:color="auto"/>
              <w:bottom w:val="single" w:sz="4" w:space="0" w:color="auto"/>
            </w:tcBorders>
          </w:tcPr>
          <w:p w:rsidR="002162D5" w:rsidRDefault="00EF51D1">
            <w:pPr>
              <w:pStyle w:val="Compact"/>
            </w:pPr>
            <w:r>
              <w:t>B1</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scaled to </w:t>
            </w:r>
            <m:oMath>
              <m:r>
                <m:rPr>
                  <m:sty m:val="p"/>
                </m:rPr>
                <w:rPr>
                  <w:rFonts w:ascii="Cambria Math" w:hAnsi="Cambria Math"/>
                </w:rPr>
                <m:t>-</m:t>
              </m:r>
              <m:r>
                <w:rPr>
                  <w:rFonts w:ascii="Cambria Math" w:hAnsi="Cambria Math"/>
                </w:rPr>
                <m:t>40</m:t>
              </m:r>
            </m:oMath>
            <w:r>
              <w:t xml:space="preserve"> per cent</w:t>
            </w:r>
          </w:p>
        </w:tc>
        <w:tc>
          <w:tcPr>
            <w:tcW w:w="0" w:type="auto"/>
            <w:tcBorders>
              <w:top w:val="single" w:sz="4" w:space="0" w:color="auto"/>
              <w:bottom w:val="single" w:sz="4" w:space="0" w:color="auto"/>
            </w:tcBorders>
          </w:tcPr>
          <w:p w:rsidR="002162D5" w:rsidRDefault="00EF51D1">
            <w:pPr>
              <w:pStyle w:val="Compact"/>
            </w:pPr>
            <w:r>
              <w:t>the lower edge of the stated calibration band</w:t>
            </w:r>
          </w:p>
        </w:tc>
      </w:tr>
      <w:tr w:rsidR="002162D5" w:rsidTr="007E57C6">
        <w:tc>
          <w:tcPr>
            <w:tcW w:w="0" w:type="auto"/>
            <w:tcBorders>
              <w:top w:val="single" w:sz="4" w:space="0" w:color="auto"/>
              <w:bottom w:val="single" w:sz="4" w:space="0" w:color="auto"/>
            </w:tcBorders>
          </w:tcPr>
          <w:p w:rsidR="002162D5" w:rsidRDefault="00EF51D1">
            <w:pPr>
              <w:pStyle w:val="Compact"/>
            </w:pPr>
            <w:r>
              <w:t>B2</w:t>
            </w:r>
          </w:p>
        </w:tc>
        <w:tc>
          <w:tcPr>
            <w:tcW w:w="0" w:type="auto"/>
            <w:tcBorders>
              <w:top w:val="single" w:sz="4" w:space="0" w:color="auto"/>
              <w:bottom w:val="single" w:sz="4" w:space="0" w:color="auto"/>
            </w:tcBorders>
          </w:tcPr>
          <w:p w:rsidR="002162D5" w:rsidRDefault="00EF51D1">
            <w:pPr>
              <w:pStyle w:val="Compact"/>
            </w:pPr>
            <w:r>
              <w:t>central calibration</w:t>
            </w:r>
          </w:p>
        </w:tc>
        <w:tc>
          <w:tcPr>
            <w:tcW w:w="0" w:type="auto"/>
            <w:tcBorders>
              <w:top w:val="single" w:sz="4" w:space="0" w:color="auto"/>
              <w:bottom w:val="single" w:sz="4" w:space="0" w:color="auto"/>
            </w:tcBorders>
          </w:tcPr>
          <w:p w:rsidR="002162D5" w:rsidRDefault="00EF51D1">
            <w:pPr>
              <w:pStyle w:val="Compact"/>
            </w:pPr>
            <w:r>
              <w:t>the manuscript’s specification</w:t>
            </w:r>
          </w:p>
        </w:tc>
      </w:tr>
      <w:tr w:rsidR="002162D5" w:rsidTr="007E57C6">
        <w:tc>
          <w:tcPr>
            <w:tcW w:w="0" w:type="auto"/>
            <w:tcBorders>
              <w:top w:val="single" w:sz="4" w:space="0" w:color="auto"/>
              <w:bottom w:val="single" w:sz="4" w:space="0" w:color="auto"/>
            </w:tcBorders>
          </w:tcPr>
          <w:p w:rsidR="002162D5" w:rsidRDefault="00EF51D1">
            <w:pPr>
              <w:pStyle w:val="Compact"/>
            </w:pPr>
            <w:r>
              <w:t>B3</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scaled to </w:t>
            </w:r>
            <m:oMath>
              <m:r>
                <m:rPr>
                  <m:sty m:val="p"/>
                </m:rPr>
                <w:rPr>
                  <w:rFonts w:ascii="Cambria Math" w:hAnsi="Cambria Math"/>
                </w:rPr>
                <m:t>+</m:t>
              </m:r>
              <m:r>
                <w:rPr>
                  <w:rFonts w:ascii="Cambria Math" w:hAnsi="Cambria Math"/>
                </w:rPr>
                <m:t>40</m:t>
              </m:r>
            </m:oMath>
            <w:r>
              <w:t xml:space="preserve"> per cent</w:t>
            </w:r>
          </w:p>
        </w:tc>
        <w:tc>
          <w:tcPr>
            <w:tcW w:w="0" w:type="auto"/>
            <w:tcBorders>
              <w:top w:val="single" w:sz="4" w:space="0" w:color="auto"/>
              <w:bottom w:val="single" w:sz="4" w:space="0" w:color="auto"/>
            </w:tcBorders>
          </w:tcPr>
          <w:p w:rsidR="002162D5" w:rsidRDefault="00EF51D1">
            <w:pPr>
              <w:pStyle w:val="Compact"/>
            </w:pPr>
            <w:r>
              <w:t>the upper edge of the stated band</w:t>
            </w:r>
          </w:p>
        </w:tc>
      </w:tr>
      <w:tr w:rsidR="002162D5" w:rsidTr="007E57C6">
        <w:tc>
          <w:tcPr>
            <w:tcW w:w="0" w:type="auto"/>
            <w:tcBorders>
              <w:top w:val="single" w:sz="4" w:space="0" w:color="auto"/>
              <w:bottom w:val="single" w:sz="4" w:space="0" w:color="auto"/>
            </w:tcBorders>
          </w:tcPr>
          <w:p w:rsidR="002162D5" w:rsidRDefault="00EF51D1">
            <w:pPr>
              <w:pStyle w:val="Compact"/>
            </w:pPr>
            <w:r>
              <w:t>B4</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shape: linear, endpoints fixed</w:t>
            </w:r>
          </w:p>
        </w:tc>
        <w:tc>
          <w:tcPr>
            <w:tcW w:w="0" w:type="auto"/>
            <w:tcBorders>
              <w:top w:val="single" w:sz="4" w:space="0" w:color="auto"/>
              <w:bottom w:val="single" w:sz="4" w:space="0" w:color="auto"/>
            </w:tcBorders>
          </w:tcPr>
          <w:p w:rsidR="002162D5" w:rsidRDefault="00EF51D1">
            <w:pPr>
              <w:pStyle w:val="Compact"/>
            </w:pPr>
            <w:r>
              <w:t>whether the interpolation method matters</w:t>
            </w:r>
          </w:p>
        </w:tc>
      </w:tr>
      <w:tr w:rsidR="002162D5" w:rsidTr="007E57C6">
        <w:tc>
          <w:tcPr>
            <w:tcW w:w="0" w:type="auto"/>
            <w:tcBorders>
              <w:top w:val="single" w:sz="4" w:space="0" w:color="auto"/>
              <w:bottom w:val="single" w:sz="4" w:space="0" w:color="auto"/>
            </w:tcBorders>
          </w:tcPr>
          <w:p w:rsidR="002162D5" w:rsidRDefault="00EF51D1">
            <w:pPr>
              <w:pStyle w:val="Compact"/>
            </w:pPr>
            <w:r>
              <w:t>B5</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shape: concave (front-loaded), endpoints fixed</w:t>
            </w:r>
          </w:p>
        </w:tc>
        <w:tc>
          <w:tcPr>
            <w:tcW w:w="0" w:type="auto"/>
            <w:tcBorders>
              <w:top w:val="single" w:sz="4" w:space="0" w:color="auto"/>
              <w:bottom w:val="single" w:sz="4" w:space="0" w:color="auto"/>
            </w:tcBorders>
          </w:tcPr>
          <w:p w:rsidR="002162D5" w:rsidRDefault="00EF51D1">
            <w:pPr>
              <w:pStyle w:val="Compact"/>
            </w:pPr>
            <w:r>
              <w:t>a path in which most of the rise in unwaged time occurred before 1990</w:t>
            </w:r>
          </w:p>
        </w:tc>
      </w:tr>
      <w:tr w:rsidR="002162D5" w:rsidTr="007E57C6">
        <w:tc>
          <w:tcPr>
            <w:tcW w:w="0" w:type="auto"/>
            <w:tcBorders>
              <w:top w:val="single" w:sz="4" w:space="0" w:color="auto"/>
              <w:bottom w:val="single" w:sz="4" w:space="0" w:color="auto"/>
            </w:tcBorders>
          </w:tcPr>
          <w:p w:rsidR="002162D5" w:rsidRDefault="00EF51D1">
            <w:pPr>
              <w:pStyle w:val="Compact"/>
            </w:pPr>
            <w:r>
              <w:t>B6</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shape: convex (back-loaded), endpoints fixed</w:t>
            </w:r>
          </w:p>
        </w:tc>
        <w:tc>
          <w:tcPr>
            <w:tcW w:w="0" w:type="auto"/>
            <w:tcBorders>
              <w:top w:val="single" w:sz="4" w:space="0" w:color="auto"/>
              <w:bottom w:val="single" w:sz="4" w:space="0" w:color="auto"/>
            </w:tcBorders>
          </w:tcPr>
          <w:p w:rsidR="002162D5" w:rsidRDefault="00EF51D1">
            <w:pPr>
              <w:pStyle w:val="Compact"/>
            </w:pPr>
            <w:r>
              <w:t>a path in which most of the rise occurred after 1990</w:t>
            </w:r>
          </w:p>
        </w:tc>
      </w:tr>
      <w:tr w:rsidR="002162D5" w:rsidTr="007E57C6">
        <w:tc>
          <w:tcPr>
            <w:tcW w:w="0" w:type="auto"/>
            <w:tcBorders>
              <w:top w:val="single" w:sz="4" w:space="0" w:color="auto"/>
              <w:bottom w:val="single" w:sz="4" w:space="0" w:color="auto"/>
            </w:tcBorders>
          </w:tcPr>
          <w:p w:rsidR="002162D5" w:rsidRDefault="00EF51D1">
            <w:pPr>
              <w:pStyle w:val="Compact"/>
            </w:pPr>
            <w:r>
              <w:t>B7</w:t>
            </w:r>
          </w:p>
        </w:tc>
        <w:tc>
          <w:tcPr>
            <w:tcW w:w="0" w:type="auto"/>
            <w:tcBorders>
              <w:top w:val="single" w:sz="4" w:space="0" w:color="auto"/>
              <w:bottom w:val="single" w:sz="4" w:space="0" w:color="auto"/>
            </w:tcBorders>
          </w:tcPr>
          <w:p w:rsidR="002162D5" w:rsidRDefault="00EF51D1">
            <w:pPr>
              <w:pStyle w:val="Compact"/>
            </w:pPr>
            <w:r>
              <w:t xml:space="preserve">measured waged hours </w:t>
            </w:r>
            <m:oMath>
              <m:r>
                <m:rPr>
                  <m:sty m:val="p"/>
                </m:rPr>
                <w:rPr>
                  <w:rFonts w:ascii="Cambria Math" w:hAnsi="Cambria Math"/>
                </w:rPr>
                <m:t>-</m:t>
              </m:r>
              <m:r>
                <w:rPr>
                  <w:rFonts w:ascii="Cambria Math" w:hAnsi="Cambria Math"/>
                </w:rPr>
                <m:t>3</m:t>
              </m:r>
            </m:oMath>
            <w:r>
              <w:t xml:space="preserve"> per cent</w:t>
            </w:r>
          </w:p>
        </w:tc>
        <w:tc>
          <w:tcPr>
            <w:tcW w:w="0" w:type="auto"/>
            <w:tcBorders>
              <w:top w:val="single" w:sz="4" w:space="0" w:color="auto"/>
              <w:bottom w:val="single" w:sz="4" w:space="0" w:color="auto"/>
            </w:tcBorders>
          </w:tcPr>
          <w:p w:rsidR="002162D5" w:rsidRDefault="00EF51D1">
            <w:pPr>
              <w:pStyle w:val="Compact"/>
            </w:pPr>
            <w:r>
              <w:t>error in the employment or hours series</w:t>
            </w:r>
          </w:p>
        </w:tc>
      </w:tr>
      <w:tr w:rsidR="002162D5" w:rsidTr="007E57C6">
        <w:tc>
          <w:tcPr>
            <w:tcW w:w="0" w:type="auto"/>
            <w:tcBorders>
              <w:top w:val="single" w:sz="4" w:space="0" w:color="auto"/>
              <w:bottom w:val="single" w:sz="4" w:space="0" w:color="auto"/>
            </w:tcBorders>
          </w:tcPr>
          <w:p w:rsidR="002162D5" w:rsidRDefault="00EF51D1">
            <w:pPr>
              <w:pStyle w:val="Compact"/>
            </w:pPr>
            <w:r>
              <w:t>B8</w:t>
            </w:r>
          </w:p>
        </w:tc>
        <w:tc>
          <w:tcPr>
            <w:tcW w:w="0" w:type="auto"/>
            <w:tcBorders>
              <w:top w:val="single" w:sz="4" w:space="0" w:color="auto"/>
              <w:bottom w:val="single" w:sz="4" w:space="0" w:color="auto"/>
            </w:tcBorders>
          </w:tcPr>
          <w:p w:rsidR="002162D5" w:rsidRDefault="00EF51D1">
            <w:pPr>
              <w:pStyle w:val="Compact"/>
            </w:pPr>
            <w:r>
              <w:t xml:space="preserve">measured waged hours </w:t>
            </w:r>
            <m:oMath>
              <m:r>
                <m:rPr>
                  <m:sty m:val="p"/>
                </m:rPr>
                <w:rPr>
                  <w:rFonts w:ascii="Cambria Math" w:hAnsi="Cambria Math"/>
                </w:rPr>
                <m:t>+</m:t>
              </m:r>
              <m:r>
                <w:rPr>
                  <w:rFonts w:ascii="Cambria Math" w:hAnsi="Cambria Math"/>
                </w:rPr>
                <m:t>3</m:t>
              </m:r>
            </m:oMath>
            <w:r>
              <w:t xml:space="preserve"> per cent</w:t>
            </w:r>
          </w:p>
        </w:tc>
        <w:tc>
          <w:tcPr>
            <w:tcW w:w="0" w:type="auto"/>
            <w:tcBorders>
              <w:top w:val="single" w:sz="4" w:space="0" w:color="auto"/>
              <w:bottom w:val="single" w:sz="4" w:space="0" w:color="auto"/>
            </w:tcBorders>
          </w:tcPr>
          <w:p w:rsidR="002162D5" w:rsidRDefault="00EF51D1">
            <w:pPr>
              <w:pStyle w:val="Compact"/>
            </w:pPr>
            <w:r>
              <w:t>the same, opposite sign</w:t>
            </w:r>
          </w:p>
        </w:tc>
      </w:tr>
      <w:tr w:rsidR="002162D5" w:rsidTr="007E57C6">
        <w:tc>
          <w:tcPr>
            <w:tcW w:w="0" w:type="auto"/>
            <w:tcBorders>
              <w:top w:val="single" w:sz="4" w:space="0" w:color="auto"/>
              <w:bottom w:val="single" w:sz="4" w:space="0" w:color="auto"/>
            </w:tcBorders>
          </w:tcPr>
          <w:p w:rsidR="002162D5" w:rsidRDefault="00EF51D1">
            <w:pPr>
              <w:pStyle w:val="Compact"/>
            </w:pPr>
            <w:r>
              <w:t>B9</w:t>
            </w:r>
          </w:p>
        </w:tc>
        <w:tc>
          <w:tcPr>
            <w:tcW w:w="0" w:type="auto"/>
            <w:tcBorders>
              <w:top w:val="single" w:sz="4" w:space="0" w:color="auto"/>
              <w:bottom w:val="single" w:sz="4" w:space="0" w:color="auto"/>
            </w:tcBorders>
          </w:tcPr>
          <w:p w:rsidR="002162D5" w:rsidRDefault="00EF51D1">
            <w:pPr>
              <w:pStyle w:val="Compact"/>
            </w:pPr>
            <w:r>
              <w:t xml:space="preserve">primary exergy tilted </w:t>
            </w:r>
            <m:oMath>
              <m:r>
                <m:rPr>
                  <m:sty m:val="p"/>
                </m:rPr>
                <w:rPr>
                  <w:rFonts w:ascii="Cambria Math" w:hAnsi="Cambria Math"/>
                </w:rPr>
                <m:t>-</m:t>
              </m:r>
              <m:r>
                <w:rPr>
                  <w:rFonts w:ascii="Cambria Math" w:hAnsi="Cambria Math"/>
                </w:rPr>
                <m:t>2</m:t>
              </m:r>
            </m:oMath>
            <w:r>
              <w:t xml:space="preserve"> per cent over the sample</w:t>
            </w:r>
          </w:p>
        </w:tc>
        <w:tc>
          <w:tcPr>
            <w:tcW w:w="0" w:type="auto"/>
            <w:tcBorders>
              <w:top w:val="single" w:sz="4" w:space="0" w:color="auto"/>
              <w:bottom w:val="single" w:sz="4" w:space="0" w:color="auto"/>
            </w:tcBorders>
          </w:tcPr>
          <w:p w:rsidR="002162D5" w:rsidRDefault="00EF51D1">
            <w:pPr>
              <w:pStyle w:val="Compact"/>
            </w:pPr>
            <w:r>
              <w:t>shape error in the energy accounts</w:t>
            </w:r>
          </w:p>
        </w:tc>
      </w:tr>
      <w:tr w:rsidR="002162D5" w:rsidTr="007E57C6">
        <w:tc>
          <w:tcPr>
            <w:tcW w:w="0" w:type="auto"/>
            <w:tcBorders>
              <w:top w:val="single" w:sz="4" w:space="0" w:color="auto"/>
              <w:bottom w:val="single" w:sz="4" w:space="0" w:color="auto"/>
            </w:tcBorders>
          </w:tcPr>
          <w:p w:rsidR="002162D5" w:rsidRDefault="00EF51D1">
            <w:pPr>
              <w:pStyle w:val="Compact"/>
            </w:pPr>
            <w:r>
              <w:t>B10</w:t>
            </w:r>
          </w:p>
        </w:tc>
        <w:tc>
          <w:tcPr>
            <w:tcW w:w="0" w:type="auto"/>
            <w:tcBorders>
              <w:top w:val="single" w:sz="4" w:space="0" w:color="auto"/>
              <w:bottom w:val="single" w:sz="4" w:space="0" w:color="auto"/>
            </w:tcBorders>
          </w:tcPr>
          <w:p w:rsidR="002162D5" w:rsidRDefault="00EF51D1">
            <w:pPr>
              <w:pStyle w:val="Compact"/>
            </w:pPr>
            <w:r>
              <w:t xml:space="preserve">primary exergy tilted </w:t>
            </w:r>
            <m:oMath>
              <m:r>
                <m:rPr>
                  <m:sty m:val="p"/>
                </m:rPr>
                <w:rPr>
                  <w:rFonts w:ascii="Cambria Math" w:hAnsi="Cambria Math"/>
                </w:rPr>
                <m:t>+</m:t>
              </m:r>
              <m:r>
                <w:rPr>
                  <w:rFonts w:ascii="Cambria Math" w:hAnsi="Cambria Math"/>
                </w:rPr>
                <m:t>2</m:t>
              </m:r>
            </m:oMath>
            <w:r>
              <w:t xml:space="preserve"> per cent over the sample</w:t>
            </w:r>
          </w:p>
        </w:tc>
        <w:tc>
          <w:tcPr>
            <w:tcW w:w="0" w:type="auto"/>
            <w:tcBorders>
              <w:top w:val="single" w:sz="4" w:space="0" w:color="auto"/>
              <w:bottom w:val="single" w:sz="4" w:space="0" w:color="auto"/>
            </w:tcBorders>
          </w:tcPr>
          <w:p w:rsidR="002162D5" w:rsidRDefault="00EF51D1">
            <w:pPr>
              <w:pStyle w:val="Compact"/>
            </w:pPr>
            <w:r>
              <w:t>the same, opposite sign</w:t>
            </w:r>
          </w:p>
        </w:tc>
      </w:tr>
      <w:tr w:rsidR="002162D5" w:rsidTr="007E57C6">
        <w:tc>
          <w:tcPr>
            <w:tcW w:w="0" w:type="auto"/>
            <w:tcBorders>
              <w:top w:val="single" w:sz="4" w:space="0" w:color="auto"/>
              <w:bottom w:val="single" w:sz="4" w:space="0" w:color="auto"/>
            </w:tcBorders>
          </w:tcPr>
          <w:p w:rsidR="002162D5" w:rsidRDefault="00EF51D1">
            <w:pPr>
              <w:pStyle w:val="Compact"/>
            </w:pPr>
            <w:r>
              <w:t>B11</w:t>
            </w:r>
          </w:p>
        </w:tc>
        <w:tc>
          <w:tcPr>
            <w:tcW w:w="0" w:type="auto"/>
            <w:tcBorders>
              <w:top w:val="single" w:sz="4" w:space="0" w:color="auto"/>
              <w:bottom w:val="single" w:sz="4" w:space="0" w:color="auto"/>
            </w:tcBorders>
          </w:tcPr>
          <w:p w:rsidR="002162D5" w:rsidRDefault="00EF51D1">
            <w:pPr>
              <w:pStyle w:val="Compact"/>
            </w:pPr>
            <w:r>
              <w:t>conversion efficiency held at its 1950 value</w:t>
            </w:r>
          </w:p>
        </w:tc>
        <w:tc>
          <w:tcPr>
            <w:tcW w:w="0" w:type="auto"/>
            <w:tcBorders>
              <w:top w:val="single" w:sz="4" w:space="0" w:color="auto"/>
              <w:bottom w:val="single" w:sz="4" w:space="0" w:color="auto"/>
            </w:tcBorders>
          </w:tcPr>
          <w:p w:rsidR="002162D5" w:rsidRDefault="00EF51D1">
            <w:pPr>
              <w:pStyle w:val="Compact"/>
            </w:pPr>
            <w:r>
              <w:t>the contribution of the Ayres–Warr series</w:t>
            </w:r>
          </w:p>
        </w:tc>
      </w:tr>
    </w:tbl>
    <w:p w:rsidR="002162D5" w:rsidRDefault="00EF51D1">
      <w:pPr>
        <w:pStyle w:val="a0"/>
      </w:pPr>
      <w:r>
        <w:lastRenderedPageBreak/>
        <w:t>Branches B5 and B6 are deliberately extreme. Neither is a serious pr</w:t>
      </w:r>
      <w:r w:rsidR="00EC155D">
        <w:t xml:space="preserve">oposal about American time use </w:t>
      </w:r>
      <w:r>
        <w:t>and their purpose is to establish what the shape assumption is doing.</w:t>
      </w:r>
    </w:p>
    <w:p w:rsidR="002162D5" w:rsidRPr="006A1AC7" w:rsidRDefault="00EF51D1">
      <w:pPr>
        <w:pStyle w:val="2"/>
        <w:rPr>
          <w:color w:val="auto"/>
        </w:rPr>
      </w:pPr>
      <w:bookmarkStart w:id="5" w:name="a.4-the-coupling-margin"/>
      <w:bookmarkEnd w:id="4"/>
      <w:r w:rsidRPr="006A1AC7">
        <w:rPr>
          <w:color w:val="auto"/>
        </w:rPr>
        <w:t>A.4 The coupling margin</w:t>
      </w:r>
    </w:p>
    <w:p w:rsidR="002162D5" w:rsidRDefault="00EF51D1">
      <w:pPr>
        <w:pStyle w:val="FirstParagraph"/>
      </w:pPr>
      <w:r>
        <w:rPr>
          <w:b/>
          <w:bCs/>
        </w:rPr>
        <w:t>Table A.2.</w:t>
      </w:r>
      <w:r>
        <w:t xml:space="preserve"> Endogenous break tests on </w:t>
      </w:r>
      <m:oMath>
        <m:r>
          <w:rPr>
            <w:rFonts w:ascii="Cambria Math" w:hAnsi="Cambria Math"/>
          </w:rPr>
          <m:t>Δ</m:t>
        </m:r>
        <m:r>
          <m:rPr>
            <m:sty m:val="p"/>
          </m:rPr>
          <w:rPr>
            <w:rFonts w:ascii="Cambria Math" w:hAnsi="Cambria Math"/>
          </w:rPr>
          <m:t>ln</m:t>
        </m:r>
        <m:r>
          <w:rPr>
            <w:rFonts w:ascii="Cambria Math" w:hAnsi="Cambria Math"/>
          </w:rPr>
          <m:t>κ</m:t>
        </m:r>
      </m:oMath>
      <w:r>
        <w:t xml:space="preserve"> across the eleven branches.</w:t>
      </w:r>
    </w:p>
    <w:tbl>
      <w:tblPr>
        <w:tblStyle w:val="Table"/>
        <w:tblW w:w="5000" w:type="pct"/>
        <w:tblLook w:val="0020" w:firstRow="1" w:lastRow="0" w:firstColumn="0" w:lastColumn="0" w:noHBand="0" w:noVBand="0"/>
      </w:tblPr>
      <w:tblGrid>
        <w:gridCol w:w="1527"/>
        <w:gridCol w:w="986"/>
        <w:gridCol w:w="656"/>
        <w:gridCol w:w="821"/>
        <w:gridCol w:w="2588"/>
        <w:gridCol w:w="656"/>
        <w:gridCol w:w="1372"/>
        <w:gridCol w:w="970"/>
      </w:tblGrid>
      <w:tr w:rsidR="002162D5" w:rsidTr="00BE161F">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Branch</w:t>
            </w:r>
          </w:p>
        </w:tc>
        <w:tc>
          <w:tcPr>
            <w:tcW w:w="0" w:type="auto"/>
            <w:tcBorders>
              <w:top w:val="single" w:sz="4" w:space="0" w:color="auto"/>
              <w:bottom w:val="single" w:sz="4" w:space="0" w:color="auto"/>
            </w:tcBorders>
          </w:tcPr>
          <w:p w:rsidR="002162D5" w:rsidRDefault="00EF51D1">
            <w:pPr>
              <w:pStyle w:val="Compact"/>
            </w:pPr>
            <w:r>
              <w:t>sup-Wald</w:t>
            </w:r>
          </w:p>
        </w:tc>
        <w:tc>
          <w:tcPr>
            <w:tcW w:w="0" w:type="auto"/>
            <w:tcBorders>
              <w:top w:val="single" w:sz="4" w:space="0" w:color="auto"/>
              <w:bottom w:val="single" w:sz="4" w:space="0" w:color="auto"/>
            </w:tcBorders>
          </w:tcPr>
          <w:p w:rsidR="002162D5" w:rsidRDefault="00EF51D1">
            <w:pPr>
              <w:pStyle w:val="Compact"/>
            </w:pPr>
            <w:r>
              <w:t>date</w:t>
            </w:r>
          </w:p>
        </w:tc>
        <w:tc>
          <w:tcPr>
            <w:tcW w:w="0" w:type="auto"/>
            <w:tcBorders>
              <w:top w:val="single" w:sz="4" w:space="0" w:color="auto"/>
              <w:bottom w:val="single" w:sz="4" w:space="0" w:color="auto"/>
            </w:tcBorders>
          </w:tcPr>
          <w:p w:rsidR="002162D5" w:rsidRDefault="00EF51D1">
            <w:pPr>
              <w:pStyle w:val="Compact"/>
            </w:pPr>
            <w:r>
              <w:rPr>
                <w:i/>
                <w:iCs/>
              </w:rPr>
              <w:t>p</w:t>
            </w:r>
          </w:p>
        </w:tc>
        <w:tc>
          <w:tcPr>
            <w:tcW w:w="0" w:type="auto"/>
            <w:tcBorders>
              <w:top w:val="single" w:sz="4" w:space="0" w:color="auto"/>
              <w:bottom w:val="single" w:sz="4" w:space="0" w:color="auto"/>
            </w:tcBorders>
          </w:tcPr>
          <w:p w:rsidR="002162D5" w:rsidRDefault="00EF51D1">
            <w:pPr>
              <w:pStyle w:val="Compact"/>
            </w:pPr>
            <w:r>
              <w:t>Bai–Perron: breaks (BIC / LWZ)</w:t>
            </w:r>
          </w:p>
        </w:tc>
        <w:tc>
          <w:tcPr>
            <w:tcW w:w="0" w:type="auto"/>
            <w:tcBorders>
              <w:top w:val="single" w:sz="4" w:space="0" w:color="auto"/>
              <w:bottom w:val="single" w:sz="4" w:space="0" w:color="auto"/>
            </w:tcBorders>
          </w:tcPr>
          <w:p w:rsidR="002162D5" w:rsidRDefault="00EF51D1">
            <w:pPr>
              <w:pStyle w:val="Compact"/>
            </w:pPr>
            <w:r>
              <w:t>date</w:t>
            </w:r>
          </w:p>
        </w:tc>
        <w:tc>
          <w:tcPr>
            <w:tcW w:w="0" w:type="auto"/>
            <w:tcBorders>
              <w:top w:val="single" w:sz="4" w:space="0" w:color="auto"/>
              <w:bottom w:val="single" w:sz="4" w:space="0" w:color="auto"/>
            </w:tcBorders>
          </w:tcPr>
          <w:p w:rsidR="002162D5" w:rsidRDefault="00EF51D1">
            <w:pPr>
              <w:pStyle w:val="Compact"/>
            </w:pPr>
            <w:r>
              <w:t>OLS-CUSUM</w:t>
            </w:r>
          </w:p>
        </w:tc>
        <w:tc>
          <w:tcPr>
            <w:tcW w:w="0" w:type="auto"/>
            <w:tcBorders>
              <w:top w:val="single" w:sz="4" w:space="0" w:color="auto"/>
              <w:bottom w:val="single" w:sz="4" w:space="0" w:color="auto"/>
            </w:tcBorders>
          </w:tcPr>
          <w:p w:rsidR="002162D5" w:rsidRDefault="00EF51D1">
            <w:pPr>
              <w:pStyle w:val="Compact"/>
            </w:pPr>
            <w:r>
              <w:t>reject 5%</w:t>
            </w:r>
          </w:p>
        </w:tc>
      </w:tr>
      <w:tr w:rsidR="002162D5" w:rsidTr="00BE161F">
        <w:tc>
          <w:tcPr>
            <w:tcW w:w="0" w:type="auto"/>
            <w:tcBorders>
              <w:top w:val="single" w:sz="4" w:space="0" w:color="auto"/>
            </w:tcBorders>
          </w:tcPr>
          <w:p w:rsidR="002162D5" w:rsidRDefault="00EF51D1">
            <w:pPr>
              <w:pStyle w:val="Compact"/>
            </w:pPr>
            <w:r>
              <w:t xml:space="preserve">B1 </w:t>
            </w:r>
            <m:oMath>
              <m:r>
                <w:rPr>
                  <w:rFonts w:ascii="Cambria Math" w:hAnsi="Cambria Math"/>
                </w:rPr>
                <m:t>u</m:t>
              </m:r>
            </m:oMath>
            <w:r>
              <w:t xml:space="preserve"> −40%</w:t>
            </w:r>
          </w:p>
        </w:tc>
        <w:tc>
          <w:tcPr>
            <w:tcW w:w="0" w:type="auto"/>
            <w:tcBorders>
              <w:top w:val="single" w:sz="4" w:space="0" w:color="auto"/>
            </w:tcBorders>
          </w:tcPr>
          <w:p w:rsidR="002162D5" w:rsidRDefault="00EF51D1">
            <w:pPr>
              <w:pStyle w:val="Compact"/>
            </w:pPr>
            <w:r>
              <w:t>33.86</w:t>
            </w:r>
          </w:p>
        </w:tc>
        <w:tc>
          <w:tcPr>
            <w:tcW w:w="0" w:type="auto"/>
            <w:tcBorders>
              <w:top w:val="single" w:sz="4" w:space="0" w:color="auto"/>
            </w:tcBorders>
          </w:tcPr>
          <w:p w:rsidR="002162D5" w:rsidRDefault="00EF51D1">
            <w:pPr>
              <w:pStyle w:val="Compact"/>
            </w:pPr>
            <w:r>
              <w:t>1973</w:t>
            </w:r>
          </w:p>
        </w:tc>
        <w:tc>
          <w:tcPr>
            <w:tcW w:w="0" w:type="auto"/>
            <w:tcBorders>
              <w:top w:val="single" w:sz="4" w:space="0" w:color="auto"/>
            </w:tcBorders>
          </w:tcPr>
          <w:p w:rsidR="002162D5" w:rsidRDefault="00EF51D1">
            <w:pPr>
              <w:pStyle w:val="Compact"/>
            </w:pPr>
            <w:r>
              <w:t>0.0002</w:t>
            </w:r>
          </w:p>
        </w:tc>
        <w:tc>
          <w:tcPr>
            <w:tcW w:w="0" w:type="auto"/>
            <w:tcBorders>
              <w:top w:val="single" w:sz="4" w:space="0" w:color="auto"/>
            </w:tcBorders>
          </w:tcPr>
          <w:p w:rsidR="002162D5" w:rsidRDefault="00EF51D1">
            <w:pPr>
              <w:pStyle w:val="Compact"/>
            </w:pPr>
            <w:r>
              <w:t>1 / 1</w:t>
            </w:r>
          </w:p>
        </w:tc>
        <w:tc>
          <w:tcPr>
            <w:tcW w:w="0" w:type="auto"/>
            <w:tcBorders>
              <w:top w:val="single" w:sz="4" w:space="0" w:color="auto"/>
            </w:tcBorders>
          </w:tcPr>
          <w:p w:rsidR="002162D5" w:rsidRDefault="00EF51D1">
            <w:pPr>
              <w:pStyle w:val="Compact"/>
            </w:pPr>
            <w:r>
              <w:t>1973</w:t>
            </w:r>
          </w:p>
        </w:tc>
        <w:tc>
          <w:tcPr>
            <w:tcW w:w="0" w:type="auto"/>
            <w:tcBorders>
              <w:top w:val="single" w:sz="4" w:space="0" w:color="auto"/>
            </w:tcBorders>
          </w:tcPr>
          <w:p w:rsidR="002162D5" w:rsidRDefault="00EF51D1">
            <w:pPr>
              <w:pStyle w:val="Compact"/>
            </w:pPr>
            <w:r>
              <w:t>2.236</w:t>
            </w:r>
          </w:p>
        </w:tc>
        <w:tc>
          <w:tcPr>
            <w:tcW w:w="0" w:type="auto"/>
            <w:tcBorders>
              <w:top w:val="single" w:sz="4" w:space="0" w:color="auto"/>
            </w:tcBorders>
          </w:tcPr>
          <w:p w:rsidR="002162D5" w:rsidRDefault="00EF51D1">
            <w:pPr>
              <w:pStyle w:val="Compact"/>
            </w:pPr>
            <w:r>
              <w:t>yes</w:t>
            </w:r>
          </w:p>
        </w:tc>
      </w:tr>
      <w:tr w:rsidR="002162D5" w:rsidTr="00BE161F">
        <w:tc>
          <w:tcPr>
            <w:tcW w:w="0" w:type="auto"/>
            <w:tcBorders>
              <w:bottom w:val="single" w:sz="4" w:space="0" w:color="auto"/>
            </w:tcBorders>
          </w:tcPr>
          <w:p w:rsidR="002162D5" w:rsidRDefault="00EF51D1">
            <w:pPr>
              <w:pStyle w:val="Compact"/>
            </w:pPr>
            <w:r>
              <w:t>B2 central</w:t>
            </w:r>
          </w:p>
        </w:tc>
        <w:tc>
          <w:tcPr>
            <w:tcW w:w="0" w:type="auto"/>
            <w:tcBorders>
              <w:bottom w:val="single" w:sz="4" w:space="0" w:color="auto"/>
            </w:tcBorders>
          </w:tcPr>
          <w:p w:rsidR="002162D5" w:rsidRDefault="00EF51D1">
            <w:pPr>
              <w:pStyle w:val="Compact"/>
            </w:pPr>
            <w:r>
              <w:t>30.70</w:t>
            </w:r>
          </w:p>
        </w:tc>
        <w:tc>
          <w:tcPr>
            <w:tcW w:w="0" w:type="auto"/>
            <w:tcBorders>
              <w:bottom w:val="single" w:sz="4" w:space="0" w:color="auto"/>
            </w:tcBorders>
          </w:tcPr>
          <w:p w:rsidR="002162D5" w:rsidRDefault="00EF51D1">
            <w:pPr>
              <w:pStyle w:val="Compact"/>
            </w:pPr>
            <w:r>
              <w:t>1973</w:t>
            </w:r>
          </w:p>
        </w:tc>
        <w:tc>
          <w:tcPr>
            <w:tcW w:w="0" w:type="auto"/>
            <w:tcBorders>
              <w:bottom w:val="single" w:sz="4" w:space="0" w:color="auto"/>
            </w:tcBorders>
          </w:tcPr>
          <w:p w:rsidR="002162D5" w:rsidRDefault="00EF51D1">
            <w:pPr>
              <w:pStyle w:val="Compact"/>
            </w:pPr>
            <w:r>
              <w:t>0.0002</w:t>
            </w:r>
          </w:p>
        </w:tc>
        <w:tc>
          <w:tcPr>
            <w:tcW w:w="0" w:type="auto"/>
            <w:tcBorders>
              <w:bottom w:val="single" w:sz="4" w:space="0" w:color="auto"/>
            </w:tcBorders>
          </w:tcPr>
          <w:p w:rsidR="002162D5" w:rsidRDefault="00EF51D1">
            <w:pPr>
              <w:pStyle w:val="Compact"/>
            </w:pPr>
            <w:r>
              <w:t>1 / 1</w:t>
            </w:r>
          </w:p>
        </w:tc>
        <w:tc>
          <w:tcPr>
            <w:tcW w:w="0" w:type="auto"/>
            <w:tcBorders>
              <w:bottom w:val="single" w:sz="4" w:space="0" w:color="auto"/>
            </w:tcBorders>
          </w:tcPr>
          <w:p w:rsidR="002162D5" w:rsidRDefault="00EF51D1">
            <w:pPr>
              <w:pStyle w:val="Compact"/>
            </w:pPr>
            <w:r>
              <w:t>1973</w:t>
            </w:r>
          </w:p>
        </w:tc>
        <w:tc>
          <w:tcPr>
            <w:tcW w:w="0" w:type="auto"/>
            <w:tcBorders>
              <w:bottom w:val="single" w:sz="4" w:space="0" w:color="auto"/>
            </w:tcBorders>
          </w:tcPr>
          <w:p w:rsidR="002162D5" w:rsidRDefault="00EF51D1">
            <w:pPr>
              <w:pStyle w:val="Compact"/>
            </w:pPr>
            <w:r>
              <w:t>2.162</w:t>
            </w:r>
          </w:p>
        </w:tc>
        <w:tc>
          <w:tcPr>
            <w:tcW w:w="0" w:type="auto"/>
            <w:tcBorders>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B3 </w:t>
            </w:r>
            <m:oMath>
              <m:r>
                <w:rPr>
                  <w:rFonts w:ascii="Cambria Math" w:hAnsi="Cambria Math"/>
                </w:rPr>
                <m:t>u</m:t>
              </m:r>
            </m:oMath>
            <w:r>
              <w:t xml:space="preserve"> +40%</w:t>
            </w:r>
          </w:p>
        </w:tc>
        <w:tc>
          <w:tcPr>
            <w:tcW w:w="0" w:type="auto"/>
            <w:tcBorders>
              <w:top w:val="single" w:sz="4" w:space="0" w:color="auto"/>
              <w:bottom w:val="single" w:sz="4" w:space="0" w:color="auto"/>
            </w:tcBorders>
          </w:tcPr>
          <w:p w:rsidR="002162D5" w:rsidRDefault="00EF51D1">
            <w:pPr>
              <w:pStyle w:val="Compact"/>
            </w:pPr>
            <w:r>
              <w:t>28.49</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0.0004</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2.105</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B4 linear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24.11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1.981</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B5 concave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12.11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0.0136</w:t>
            </w:r>
          </w:p>
        </w:tc>
        <w:tc>
          <w:tcPr>
            <w:tcW w:w="0" w:type="auto"/>
            <w:tcBorders>
              <w:top w:val="single" w:sz="4" w:space="0" w:color="auto"/>
              <w:bottom w:val="single" w:sz="4" w:space="0" w:color="auto"/>
            </w:tcBorders>
          </w:tcPr>
          <w:p w:rsidR="002162D5" w:rsidRDefault="00EF51D1">
            <w:pPr>
              <w:pStyle w:val="Compact"/>
            </w:pPr>
            <w:r>
              <w:t>1 / 0</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1.501</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B6 convex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38.93</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2.343</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B7 waged −3%</w:t>
            </w:r>
          </w:p>
        </w:tc>
        <w:tc>
          <w:tcPr>
            <w:tcW w:w="0" w:type="auto"/>
            <w:tcBorders>
              <w:top w:val="single" w:sz="4" w:space="0" w:color="auto"/>
              <w:bottom w:val="single" w:sz="4" w:space="0" w:color="auto"/>
            </w:tcBorders>
          </w:tcPr>
          <w:p w:rsidR="002162D5" w:rsidRDefault="00EF51D1">
            <w:pPr>
              <w:pStyle w:val="Compact"/>
            </w:pPr>
            <w:r>
              <w:t>30.50</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2.157</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B8 waged +3%</w:t>
            </w:r>
          </w:p>
        </w:tc>
        <w:tc>
          <w:tcPr>
            <w:tcW w:w="0" w:type="auto"/>
            <w:tcBorders>
              <w:top w:val="single" w:sz="4" w:space="0" w:color="auto"/>
              <w:bottom w:val="single" w:sz="4" w:space="0" w:color="auto"/>
            </w:tcBorders>
          </w:tcPr>
          <w:p w:rsidR="002162D5" w:rsidRDefault="00EF51D1">
            <w:pPr>
              <w:pStyle w:val="Compact"/>
            </w:pPr>
            <w:r>
              <w:t>30.89</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2.167</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B9 exergy −2%</w:t>
            </w:r>
          </w:p>
        </w:tc>
        <w:tc>
          <w:tcPr>
            <w:tcW w:w="0" w:type="auto"/>
            <w:tcBorders>
              <w:top w:val="single" w:sz="4" w:space="0" w:color="auto"/>
              <w:bottom w:val="single" w:sz="4" w:space="0" w:color="auto"/>
            </w:tcBorders>
          </w:tcPr>
          <w:p w:rsidR="002162D5" w:rsidRDefault="00EF51D1">
            <w:pPr>
              <w:pStyle w:val="Compact"/>
            </w:pPr>
            <w:r>
              <w:t>30.70</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2.162</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B10 exergy +2%</w:t>
            </w:r>
          </w:p>
        </w:tc>
        <w:tc>
          <w:tcPr>
            <w:tcW w:w="0" w:type="auto"/>
            <w:tcBorders>
              <w:top w:val="single" w:sz="4" w:space="0" w:color="auto"/>
              <w:bottom w:val="single" w:sz="4" w:space="0" w:color="auto"/>
            </w:tcBorders>
          </w:tcPr>
          <w:p w:rsidR="002162D5" w:rsidRDefault="00EF51D1">
            <w:pPr>
              <w:pStyle w:val="Compact"/>
            </w:pPr>
            <w:r>
              <w:t>30.70</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2.162</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B11 flat </w:t>
            </w:r>
            <m:oMath>
              <m:r>
                <w:rPr>
                  <w:rFonts w:ascii="Cambria Math" w:hAnsi="Cambria Math"/>
                </w:rPr>
                <m:t>ε</m:t>
              </m:r>
            </m:oMath>
          </w:p>
        </w:tc>
        <w:tc>
          <w:tcPr>
            <w:tcW w:w="0" w:type="auto"/>
            <w:tcBorders>
              <w:top w:val="single" w:sz="4" w:space="0" w:color="auto"/>
              <w:bottom w:val="single" w:sz="4" w:space="0" w:color="auto"/>
            </w:tcBorders>
          </w:tcPr>
          <w:p w:rsidR="002162D5" w:rsidRDefault="00EF51D1">
            <w:pPr>
              <w:pStyle w:val="Compact"/>
            </w:pPr>
            <w:r>
              <w:t>30.70</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0.0002</w:t>
            </w:r>
          </w:p>
        </w:tc>
        <w:tc>
          <w:tcPr>
            <w:tcW w:w="0" w:type="auto"/>
            <w:tcBorders>
              <w:top w:val="single" w:sz="4" w:space="0" w:color="auto"/>
              <w:bottom w:val="single" w:sz="4" w:space="0" w:color="auto"/>
            </w:tcBorders>
          </w:tcPr>
          <w:p w:rsidR="002162D5" w:rsidRDefault="00EF51D1">
            <w:pPr>
              <w:pStyle w:val="Compact"/>
            </w:pPr>
            <w:r>
              <w:t>1 / 1</w:t>
            </w:r>
          </w:p>
        </w:tc>
        <w:tc>
          <w:tcPr>
            <w:tcW w:w="0" w:type="auto"/>
            <w:tcBorders>
              <w:top w:val="single" w:sz="4" w:space="0" w:color="auto"/>
              <w:bottom w:val="single" w:sz="4" w:space="0" w:color="auto"/>
            </w:tcBorders>
          </w:tcPr>
          <w:p w:rsidR="002162D5" w:rsidRDefault="00EF51D1">
            <w:pPr>
              <w:pStyle w:val="Compact"/>
            </w:pPr>
            <w:r>
              <w:t>1973</w:t>
            </w:r>
          </w:p>
        </w:tc>
        <w:tc>
          <w:tcPr>
            <w:tcW w:w="0" w:type="auto"/>
            <w:tcBorders>
              <w:top w:val="single" w:sz="4" w:space="0" w:color="auto"/>
              <w:bottom w:val="single" w:sz="4" w:space="0" w:color="auto"/>
            </w:tcBorders>
          </w:tcPr>
          <w:p w:rsidR="002162D5" w:rsidRDefault="00EF51D1">
            <w:pPr>
              <w:pStyle w:val="Compact"/>
            </w:pPr>
            <w:r>
              <w:t>2.162</w:t>
            </w:r>
          </w:p>
        </w:tc>
        <w:tc>
          <w:tcPr>
            <w:tcW w:w="0" w:type="auto"/>
            <w:tcBorders>
              <w:top w:val="single" w:sz="4" w:space="0" w:color="auto"/>
              <w:bottom w:val="single" w:sz="4" w:space="0" w:color="auto"/>
            </w:tcBorders>
          </w:tcPr>
          <w:p w:rsidR="002162D5" w:rsidRDefault="00EF51D1">
            <w:pPr>
              <w:pStyle w:val="Compact"/>
            </w:pPr>
            <w:r>
              <w:t>yes</w:t>
            </w:r>
          </w:p>
        </w:tc>
      </w:tr>
    </w:tbl>
    <w:p w:rsidR="002162D5" w:rsidRDefault="00EF51D1">
      <w:pPr>
        <w:pStyle w:val="a0"/>
      </w:pPr>
      <w:r>
        <w:rPr>
          <w:i/>
          <w:iCs/>
        </w:rPr>
        <w:t>Note.</w:t>
      </w:r>
      <w:r>
        <w:t xml:space="preserve"> sup-Wald </w:t>
      </w:r>
      <w:r>
        <w:rPr>
          <w:i/>
          <w:iCs/>
        </w:rPr>
        <w:t>p</w:t>
      </w:r>
      <w:r>
        <w:t>-values from 5,000 permutations under exchangeability; Bai–Perron over up to three breaks with fifteen per cent trimming; OLS-CUSUM five per cent critical value 1.358.</w:t>
      </w:r>
    </w:p>
    <w:p w:rsidR="002162D5" w:rsidRDefault="00EF51D1">
      <w:pPr>
        <w:pStyle w:val="a0"/>
      </w:pPr>
      <w:r>
        <w:t xml:space="preserve">The coupling break is selected at </w:t>
      </w:r>
      <w:r>
        <w:rPr>
          <w:b/>
          <w:bCs/>
        </w:rPr>
        <w:t>1973 in every one of the eleven branches</w:t>
      </w:r>
      <w:r>
        <w:t xml:space="preserve">, with Bai–Perron choosing exactly one break under the Bayesian criterion throughout and the OLS-CUSUM statistic rejecting throughout. The date never moves by a single year. The weakest branch is B5, the concave unwaged path, where the sup-Wald </w:t>
      </w:r>
      <w:r>
        <w:rPr>
          <w:i/>
          <w:iCs/>
        </w:rPr>
        <w:t>p</w:t>
      </w:r>
      <w:r>
        <w:t>-value rises to 0.0136 and the Liu–Wu–Zidek criterion, which penalises more heavily, selects zero breaks against the Bayesian criterion’s one; even there the break is rejected at conventional levels by two of the three procedures. The strongest is B6, where the statistic rises to 38.93.</w:t>
      </w:r>
    </w:p>
    <w:p w:rsidR="002162D5" w:rsidRDefault="00EF51D1">
      <w:pPr>
        <w:pStyle w:val="a0"/>
      </w:pPr>
      <w:r>
        <w:t>This is the result the manuscript’s H1 requires, and it is invariant. The 1973 break in the coupling between appropriated human hours and mobilised exergy is not an artefact of the unwaged calibration, of the waged hours series, of the energy accounts, or of the conversion-efficiency series.</w:t>
      </w:r>
    </w:p>
    <w:p w:rsidR="002162D5" w:rsidRPr="006A1AC7" w:rsidRDefault="00EF51D1">
      <w:pPr>
        <w:pStyle w:val="2"/>
        <w:rPr>
          <w:color w:val="auto"/>
        </w:rPr>
      </w:pPr>
      <w:bookmarkStart w:id="6" w:name="a.5-the-appropriation-margin"/>
      <w:bookmarkEnd w:id="5"/>
      <w:r w:rsidRPr="006A1AC7">
        <w:rPr>
          <w:color w:val="auto"/>
        </w:rPr>
        <w:t>A.5 The appropriation margin</w:t>
      </w:r>
    </w:p>
    <w:p w:rsidR="00BE161F" w:rsidRDefault="00BE161F">
      <w:pPr>
        <w:pStyle w:val="FirstParagraph"/>
        <w:rPr>
          <w:b/>
          <w:bCs/>
        </w:rPr>
      </w:pPr>
    </w:p>
    <w:p w:rsidR="00BE161F" w:rsidRDefault="00BE161F">
      <w:pPr>
        <w:pStyle w:val="FirstParagraph"/>
        <w:rPr>
          <w:b/>
          <w:bCs/>
        </w:rPr>
      </w:pPr>
    </w:p>
    <w:p w:rsidR="00BE161F" w:rsidRDefault="00BE161F">
      <w:pPr>
        <w:pStyle w:val="FirstParagraph"/>
        <w:rPr>
          <w:b/>
          <w:bCs/>
        </w:rPr>
      </w:pPr>
    </w:p>
    <w:p w:rsidR="00BE161F" w:rsidRDefault="00BE161F">
      <w:pPr>
        <w:pStyle w:val="FirstParagraph"/>
        <w:rPr>
          <w:b/>
          <w:bCs/>
        </w:rPr>
      </w:pPr>
    </w:p>
    <w:p w:rsidR="002162D5" w:rsidRDefault="00EF51D1">
      <w:pPr>
        <w:pStyle w:val="FirstParagraph"/>
      </w:pPr>
      <w:bookmarkStart w:id="7" w:name="_GoBack"/>
      <w:bookmarkEnd w:id="7"/>
      <w:r>
        <w:rPr>
          <w:b/>
          <w:bCs/>
        </w:rPr>
        <w:lastRenderedPageBreak/>
        <w:t>Table A.3.</w:t>
      </w:r>
      <w:r>
        <w:t xml:space="preserve"> Endogenous break tests on </w:t>
      </w:r>
      <m:oMath>
        <m:r>
          <w:rPr>
            <w:rFonts w:ascii="Cambria Math" w:hAnsi="Cambria Math"/>
          </w:rPr>
          <m:t>Δ</m:t>
        </m:r>
        <m:r>
          <m:rPr>
            <m:sty m:val="p"/>
          </m:rPr>
          <w:rPr>
            <w:rFonts w:ascii="Cambria Math" w:hAnsi="Cambria Math"/>
          </w:rPr>
          <m:t>ln</m:t>
        </m:r>
        <m:r>
          <w:rPr>
            <w:rFonts w:ascii="Cambria Math" w:hAnsi="Cambria Math"/>
          </w:rPr>
          <m:t>α</m:t>
        </m:r>
      </m:oMath>
      <w:r>
        <w:t xml:space="preserve"> (upper block) and on the measured waged component </w:t>
      </w:r>
      <m:oMath>
        <m:r>
          <w:rPr>
            <w:rFonts w:ascii="Cambria Math" w:hAnsi="Cambria Math"/>
          </w:rPr>
          <m:t>Δ</m:t>
        </m:r>
        <m:r>
          <m:rPr>
            <m:sty m:val="p"/>
          </m:rPr>
          <w:rPr>
            <w:rFonts w:ascii="Cambria Math" w:hAnsi="Cambria Math"/>
          </w:rPr>
          <m:t>ln</m:t>
        </m:r>
        <m:sSup>
          <m:sSupPr>
            <m:ctrlPr>
              <w:rPr>
                <w:rFonts w:ascii="Cambria Math" w:hAnsi="Cambria Math"/>
              </w:rPr>
            </m:ctrlPr>
          </m:sSupPr>
          <m:e>
            <m:r>
              <w:rPr>
                <w:rFonts w:ascii="Cambria Math" w:hAnsi="Cambria Math"/>
              </w:rPr>
              <m:t>α</m:t>
            </m:r>
          </m:e>
          <m:sup>
            <m:r>
              <w:rPr>
                <w:rFonts w:ascii="Cambria Math" w:hAnsi="Cambria Math"/>
              </w:rPr>
              <m:t>w</m:t>
            </m:r>
          </m:sup>
        </m:sSup>
      </m:oMath>
      <w:r>
        <w:t xml:space="preserve"> (lower block).</w:t>
      </w:r>
    </w:p>
    <w:tbl>
      <w:tblPr>
        <w:tblStyle w:val="Table"/>
        <w:tblW w:w="5000" w:type="pct"/>
        <w:tblLook w:val="0020" w:firstRow="1" w:lastRow="0" w:firstColumn="0" w:lastColumn="0" w:noHBand="0" w:noVBand="0"/>
      </w:tblPr>
      <w:tblGrid>
        <w:gridCol w:w="1897"/>
        <w:gridCol w:w="1070"/>
        <w:gridCol w:w="656"/>
        <w:gridCol w:w="1094"/>
        <w:gridCol w:w="2323"/>
        <w:gridCol w:w="1485"/>
        <w:gridCol w:w="1051"/>
      </w:tblGrid>
      <w:tr w:rsidR="002162D5" w:rsidTr="00BE161F">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Branch</w:t>
            </w:r>
          </w:p>
        </w:tc>
        <w:tc>
          <w:tcPr>
            <w:tcW w:w="0" w:type="auto"/>
            <w:tcBorders>
              <w:top w:val="single" w:sz="4" w:space="0" w:color="auto"/>
              <w:bottom w:val="single" w:sz="4" w:space="0" w:color="auto"/>
            </w:tcBorders>
          </w:tcPr>
          <w:p w:rsidR="002162D5" w:rsidRDefault="00EF51D1">
            <w:pPr>
              <w:pStyle w:val="Compact"/>
            </w:pPr>
            <w:r>
              <w:t>sup-Wald</w:t>
            </w:r>
          </w:p>
        </w:tc>
        <w:tc>
          <w:tcPr>
            <w:tcW w:w="0" w:type="auto"/>
            <w:tcBorders>
              <w:top w:val="single" w:sz="4" w:space="0" w:color="auto"/>
              <w:bottom w:val="single" w:sz="4" w:space="0" w:color="auto"/>
            </w:tcBorders>
          </w:tcPr>
          <w:p w:rsidR="002162D5" w:rsidRDefault="00EF51D1">
            <w:pPr>
              <w:pStyle w:val="Compact"/>
            </w:pPr>
            <w:r>
              <w:t>date</w:t>
            </w:r>
          </w:p>
        </w:tc>
        <w:tc>
          <w:tcPr>
            <w:tcW w:w="0" w:type="auto"/>
            <w:tcBorders>
              <w:top w:val="single" w:sz="4" w:space="0" w:color="auto"/>
              <w:bottom w:val="single" w:sz="4" w:space="0" w:color="auto"/>
            </w:tcBorders>
          </w:tcPr>
          <w:p w:rsidR="002162D5" w:rsidRDefault="00EF51D1">
            <w:pPr>
              <w:pStyle w:val="Compact"/>
            </w:pPr>
            <w:r>
              <w:rPr>
                <w:i/>
                <w:iCs/>
              </w:rPr>
              <w:t>p</w:t>
            </w:r>
          </w:p>
        </w:tc>
        <w:tc>
          <w:tcPr>
            <w:tcW w:w="0" w:type="auto"/>
            <w:tcBorders>
              <w:top w:val="single" w:sz="4" w:space="0" w:color="auto"/>
              <w:bottom w:val="single" w:sz="4" w:space="0" w:color="auto"/>
            </w:tcBorders>
          </w:tcPr>
          <w:p w:rsidR="002162D5" w:rsidRDefault="00EF51D1">
            <w:pPr>
              <w:pStyle w:val="Compact"/>
            </w:pPr>
            <w:r>
              <w:t>BP breaks (BIC / LWZ)</w:t>
            </w:r>
          </w:p>
        </w:tc>
        <w:tc>
          <w:tcPr>
            <w:tcW w:w="0" w:type="auto"/>
            <w:tcBorders>
              <w:top w:val="single" w:sz="4" w:space="0" w:color="auto"/>
              <w:bottom w:val="single" w:sz="4" w:space="0" w:color="auto"/>
            </w:tcBorders>
          </w:tcPr>
          <w:p w:rsidR="002162D5" w:rsidRDefault="00EF51D1">
            <w:pPr>
              <w:pStyle w:val="Compact"/>
            </w:pPr>
            <w:r>
              <w:t>OLS-CUSUM</w:t>
            </w:r>
          </w:p>
        </w:tc>
        <w:tc>
          <w:tcPr>
            <w:tcW w:w="0" w:type="auto"/>
            <w:tcBorders>
              <w:top w:val="single" w:sz="4" w:space="0" w:color="auto"/>
              <w:bottom w:val="single" w:sz="4" w:space="0" w:color="auto"/>
            </w:tcBorders>
          </w:tcPr>
          <w:p w:rsidR="002162D5" w:rsidRDefault="00EF51D1">
            <w:pPr>
              <w:pStyle w:val="Compact"/>
            </w:pPr>
            <w:r>
              <w:t>reject 5%</w:t>
            </w:r>
          </w:p>
        </w:tc>
      </w:tr>
      <w:tr w:rsidR="002162D5" w:rsidTr="00BE161F">
        <w:tc>
          <w:tcPr>
            <w:tcW w:w="0" w:type="auto"/>
            <w:tcBorders>
              <w:top w:val="single" w:sz="4" w:space="0" w:color="auto"/>
              <w:bottom w:val="single" w:sz="4" w:space="0" w:color="auto"/>
            </w:tcBorders>
          </w:tcPr>
          <w:p w:rsidR="002162D5" w:rsidRDefault="00EF51D1">
            <w:pPr>
              <w:pStyle w:val="Compact"/>
            </w:pPr>
            <m:oMathPara>
              <m:oMath>
                <m:r>
                  <w:rPr>
                    <w:rFonts w:ascii="Cambria Math" w:hAnsi="Cambria Math"/>
                  </w:rPr>
                  <m:t>Δ</m:t>
                </m:r>
                <m:r>
                  <m:rPr>
                    <m:sty m:val="p"/>
                  </m:rPr>
                  <w:rPr>
                    <w:rFonts w:ascii="Cambria Math" w:hAnsi="Cambria Math"/>
                  </w:rPr>
                  <m:t>ln</m:t>
                </m:r>
                <m:r>
                  <w:rPr>
                    <w:rFonts w:ascii="Cambria Math" w:hAnsi="Cambria Math"/>
                  </w:rPr>
                  <m:t>α</m:t>
                </m:r>
              </m:oMath>
            </m:oMathPara>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B1 </w:t>
            </w:r>
            <m:oMath>
              <m:r>
                <w:rPr>
                  <w:rFonts w:ascii="Cambria Math" w:hAnsi="Cambria Math"/>
                </w:rPr>
                <m:t>u</m:t>
              </m:r>
            </m:oMath>
            <w:r>
              <w:t xml:space="preserve"> −40%</w:t>
            </w:r>
          </w:p>
        </w:tc>
        <w:tc>
          <w:tcPr>
            <w:tcW w:w="0" w:type="auto"/>
            <w:tcBorders>
              <w:top w:val="single" w:sz="4" w:space="0" w:color="auto"/>
              <w:bottom w:val="single" w:sz="4" w:space="0" w:color="auto"/>
            </w:tcBorders>
          </w:tcPr>
          <w:p w:rsidR="002162D5" w:rsidRDefault="00EF51D1">
            <w:pPr>
              <w:pStyle w:val="Compact"/>
            </w:pPr>
            <w:r>
              <w:t>2.84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0.521</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0.787</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B2 central</w:t>
            </w:r>
          </w:p>
        </w:tc>
        <w:tc>
          <w:tcPr>
            <w:tcW w:w="0" w:type="auto"/>
            <w:tcBorders>
              <w:top w:val="single" w:sz="4" w:space="0" w:color="auto"/>
              <w:bottom w:val="single" w:sz="4" w:space="0" w:color="auto"/>
            </w:tcBorders>
          </w:tcPr>
          <w:p w:rsidR="002162D5" w:rsidRDefault="00EF51D1">
            <w:pPr>
              <w:pStyle w:val="Compact"/>
            </w:pPr>
            <w:r>
              <w:t>4.34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0.277</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0.963</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B3 </w:t>
            </w:r>
            <m:oMath>
              <m:r>
                <w:rPr>
                  <w:rFonts w:ascii="Cambria Math" w:hAnsi="Cambria Math"/>
                </w:rPr>
                <m:t>u</m:t>
              </m:r>
            </m:oMath>
            <w:r>
              <w:t xml:space="preserve"> +40%</w:t>
            </w:r>
          </w:p>
        </w:tc>
        <w:tc>
          <w:tcPr>
            <w:tcW w:w="0" w:type="auto"/>
            <w:tcBorders>
              <w:top w:val="single" w:sz="4" w:space="0" w:color="auto"/>
              <w:bottom w:val="single" w:sz="4" w:space="0" w:color="auto"/>
            </w:tcBorders>
          </w:tcPr>
          <w:p w:rsidR="002162D5" w:rsidRDefault="00EF51D1">
            <w:pPr>
              <w:pStyle w:val="Compact"/>
            </w:pPr>
            <w:r>
              <w:t>5.63</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0.169</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1.116</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B4 linear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4.20</w:t>
            </w:r>
          </w:p>
        </w:tc>
        <w:tc>
          <w:tcPr>
            <w:tcW w:w="0" w:type="auto"/>
            <w:tcBorders>
              <w:top w:val="single" w:sz="4" w:space="0" w:color="auto"/>
              <w:bottom w:val="single" w:sz="4" w:space="0" w:color="auto"/>
            </w:tcBorders>
          </w:tcPr>
          <w:p w:rsidR="002162D5" w:rsidRDefault="00EF51D1">
            <w:pPr>
              <w:pStyle w:val="Compact"/>
            </w:pPr>
            <w:r>
              <w:t>2000</w:t>
            </w:r>
          </w:p>
        </w:tc>
        <w:tc>
          <w:tcPr>
            <w:tcW w:w="0" w:type="auto"/>
            <w:tcBorders>
              <w:top w:val="single" w:sz="4" w:space="0" w:color="auto"/>
              <w:bottom w:val="single" w:sz="4" w:space="0" w:color="auto"/>
            </w:tcBorders>
          </w:tcPr>
          <w:p w:rsidR="002162D5" w:rsidRDefault="00EF51D1">
            <w:pPr>
              <w:pStyle w:val="Compact"/>
            </w:pPr>
            <w:r>
              <w:t>0.301</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0.939</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B5 concave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12.00</w:t>
            </w:r>
          </w:p>
        </w:tc>
        <w:tc>
          <w:tcPr>
            <w:tcW w:w="0" w:type="auto"/>
            <w:tcBorders>
              <w:top w:val="single" w:sz="4" w:space="0" w:color="auto"/>
              <w:bottom w:val="single" w:sz="4" w:space="0" w:color="auto"/>
            </w:tcBorders>
          </w:tcPr>
          <w:p w:rsidR="002162D5" w:rsidRDefault="00EF51D1">
            <w:pPr>
              <w:pStyle w:val="Compact"/>
            </w:pPr>
            <w:r>
              <w:rPr>
                <w:b/>
                <w:bCs/>
              </w:rPr>
              <w:t>1961</w:t>
            </w:r>
          </w:p>
        </w:tc>
        <w:tc>
          <w:tcPr>
            <w:tcW w:w="0" w:type="auto"/>
            <w:tcBorders>
              <w:top w:val="single" w:sz="4" w:space="0" w:color="auto"/>
              <w:bottom w:val="single" w:sz="4" w:space="0" w:color="auto"/>
            </w:tcBorders>
          </w:tcPr>
          <w:p w:rsidR="002162D5" w:rsidRDefault="00EF51D1">
            <w:pPr>
              <w:pStyle w:val="Compact"/>
            </w:pPr>
            <w:r>
              <w:t>0.004</w:t>
            </w:r>
          </w:p>
        </w:tc>
        <w:tc>
          <w:tcPr>
            <w:tcW w:w="0" w:type="auto"/>
            <w:tcBorders>
              <w:top w:val="single" w:sz="4" w:space="0" w:color="auto"/>
              <w:bottom w:val="single" w:sz="4" w:space="0" w:color="auto"/>
            </w:tcBorders>
          </w:tcPr>
          <w:p w:rsidR="002162D5" w:rsidRDefault="00EF51D1">
            <w:pPr>
              <w:pStyle w:val="Compact"/>
            </w:pPr>
            <w:r>
              <w:t>1 / 0</w:t>
            </w:r>
          </w:p>
        </w:tc>
        <w:tc>
          <w:tcPr>
            <w:tcW w:w="0" w:type="auto"/>
            <w:tcBorders>
              <w:top w:val="single" w:sz="4" w:space="0" w:color="auto"/>
              <w:bottom w:val="single" w:sz="4" w:space="0" w:color="auto"/>
            </w:tcBorders>
          </w:tcPr>
          <w:p w:rsidR="002162D5" w:rsidRDefault="00EF51D1">
            <w:pPr>
              <w:pStyle w:val="Compact"/>
            </w:pPr>
            <w:r>
              <w:t>1.398</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B6 convex </w:t>
            </w:r>
            <m:oMath>
              <m:r>
                <w:rPr>
                  <w:rFonts w:ascii="Cambria Math" w:hAnsi="Cambria Math"/>
                </w:rPr>
                <m:t>u</m:t>
              </m:r>
            </m:oMath>
          </w:p>
        </w:tc>
        <w:tc>
          <w:tcPr>
            <w:tcW w:w="0" w:type="auto"/>
            <w:tcBorders>
              <w:top w:val="single" w:sz="4" w:space="0" w:color="auto"/>
              <w:bottom w:val="single" w:sz="4" w:space="0" w:color="auto"/>
            </w:tcBorders>
          </w:tcPr>
          <w:p w:rsidR="002162D5" w:rsidRDefault="00EF51D1">
            <w:pPr>
              <w:pStyle w:val="Compact"/>
            </w:pPr>
            <w:r>
              <w:t>13.91</w:t>
            </w:r>
          </w:p>
        </w:tc>
        <w:tc>
          <w:tcPr>
            <w:tcW w:w="0" w:type="auto"/>
            <w:tcBorders>
              <w:top w:val="single" w:sz="4" w:space="0" w:color="auto"/>
              <w:bottom w:val="single" w:sz="4" w:space="0" w:color="auto"/>
            </w:tcBorders>
          </w:tcPr>
          <w:p w:rsidR="002162D5" w:rsidRDefault="00EF51D1">
            <w:pPr>
              <w:pStyle w:val="Compact"/>
            </w:pPr>
            <w:r>
              <w:rPr>
                <w:b/>
                <w:bCs/>
              </w:rPr>
              <w:t>1975</w:t>
            </w:r>
          </w:p>
        </w:tc>
        <w:tc>
          <w:tcPr>
            <w:tcW w:w="0" w:type="auto"/>
            <w:tcBorders>
              <w:top w:val="single" w:sz="4" w:space="0" w:color="auto"/>
              <w:bottom w:val="single" w:sz="4" w:space="0" w:color="auto"/>
            </w:tcBorders>
          </w:tcPr>
          <w:p w:rsidR="002162D5" w:rsidRDefault="00EF51D1">
            <w:pPr>
              <w:pStyle w:val="Compact"/>
            </w:pPr>
            <w:r>
              <w:t>0.007</w:t>
            </w:r>
          </w:p>
        </w:tc>
        <w:tc>
          <w:tcPr>
            <w:tcW w:w="0" w:type="auto"/>
            <w:tcBorders>
              <w:top w:val="single" w:sz="4" w:space="0" w:color="auto"/>
              <w:bottom w:val="single" w:sz="4" w:space="0" w:color="auto"/>
            </w:tcBorders>
          </w:tcPr>
          <w:p w:rsidR="002162D5" w:rsidRDefault="00EF51D1">
            <w:pPr>
              <w:pStyle w:val="Compact"/>
            </w:pPr>
            <w:r>
              <w:t>1 / 0</w:t>
            </w:r>
          </w:p>
        </w:tc>
        <w:tc>
          <w:tcPr>
            <w:tcW w:w="0" w:type="auto"/>
            <w:tcBorders>
              <w:top w:val="single" w:sz="4" w:space="0" w:color="auto"/>
              <w:bottom w:val="single" w:sz="4" w:space="0" w:color="auto"/>
            </w:tcBorders>
          </w:tcPr>
          <w:p w:rsidR="002162D5" w:rsidRDefault="00EF51D1">
            <w:pPr>
              <w:pStyle w:val="Compact"/>
            </w:pPr>
            <w:r>
              <w:t>1.626</w:t>
            </w:r>
          </w:p>
        </w:tc>
        <w:tc>
          <w:tcPr>
            <w:tcW w:w="0" w:type="auto"/>
            <w:tcBorders>
              <w:top w:val="single" w:sz="4" w:space="0" w:color="auto"/>
              <w:bottom w:val="single" w:sz="4" w:space="0" w:color="auto"/>
            </w:tcBorders>
          </w:tcPr>
          <w:p w:rsidR="002162D5" w:rsidRDefault="00EF51D1">
            <w:pPr>
              <w:pStyle w:val="Compact"/>
            </w:pPr>
            <w:r>
              <w:t>yes</w:t>
            </w:r>
          </w:p>
        </w:tc>
      </w:tr>
      <w:tr w:rsidR="002162D5" w:rsidTr="00BE161F">
        <w:tc>
          <w:tcPr>
            <w:tcW w:w="0" w:type="auto"/>
            <w:tcBorders>
              <w:top w:val="single" w:sz="4" w:space="0" w:color="auto"/>
              <w:bottom w:val="single" w:sz="4" w:space="0" w:color="auto"/>
            </w:tcBorders>
          </w:tcPr>
          <w:p w:rsidR="002162D5" w:rsidRDefault="00EF51D1">
            <w:pPr>
              <w:pStyle w:val="Compact"/>
            </w:pPr>
            <w:r>
              <w:t>B7 waged −3%</w:t>
            </w:r>
          </w:p>
        </w:tc>
        <w:tc>
          <w:tcPr>
            <w:tcW w:w="0" w:type="auto"/>
            <w:tcBorders>
              <w:top w:val="single" w:sz="4" w:space="0" w:color="auto"/>
              <w:bottom w:val="single" w:sz="4" w:space="0" w:color="auto"/>
            </w:tcBorders>
          </w:tcPr>
          <w:p w:rsidR="002162D5" w:rsidRDefault="00EF51D1">
            <w:pPr>
              <w:pStyle w:val="Compact"/>
            </w:pPr>
            <w:r>
              <w:t>4.44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0.277</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0.974</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B8 waged +3%</w:t>
            </w:r>
          </w:p>
        </w:tc>
        <w:tc>
          <w:tcPr>
            <w:tcW w:w="0" w:type="auto"/>
            <w:tcBorders>
              <w:top w:val="single" w:sz="4" w:space="0" w:color="auto"/>
              <w:bottom w:val="single" w:sz="4" w:space="0" w:color="auto"/>
            </w:tcBorders>
          </w:tcPr>
          <w:p w:rsidR="002162D5" w:rsidRDefault="00EF51D1">
            <w:pPr>
              <w:pStyle w:val="Compact"/>
            </w:pPr>
            <w:r>
              <w:t>4.23</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0.298</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0.952</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B9 exergy −2%</w:t>
            </w:r>
          </w:p>
        </w:tc>
        <w:tc>
          <w:tcPr>
            <w:tcW w:w="0" w:type="auto"/>
            <w:tcBorders>
              <w:top w:val="single" w:sz="4" w:space="0" w:color="auto"/>
              <w:bottom w:val="single" w:sz="4" w:space="0" w:color="auto"/>
            </w:tcBorders>
          </w:tcPr>
          <w:p w:rsidR="002162D5" w:rsidRDefault="00EF51D1">
            <w:pPr>
              <w:pStyle w:val="Compact"/>
            </w:pPr>
            <w:r>
              <w:t>4.34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0.272</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0.963</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B10 exergy +2%</w:t>
            </w:r>
          </w:p>
        </w:tc>
        <w:tc>
          <w:tcPr>
            <w:tcW w:w="0" w:type="auto"/>
            <w:tcBorders>
              <w:top w:val="single" w:sz="4" w:space="0" w:color="auto"/>
              <w:bottom w:val="single" w:sz="4" w:space="0" w:color="auto"/>
            </w:tcBorders>
          </w:tcPr>
          <w:p w:rsidR="002162D5" w:rsidRDefault="00EF51D1">
            <w:pPr>
              <w:pStyle w:val="Compact"/>
            </w:pPr>
            <w:r>
              <w:t>4.34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0.273</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0.963</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w:r>
              <w:t xml:space="preserve">B11 flat </w:t>
            </w:r>
            <m:oMath>
              <m:r>
                <w:rPr>
                  <w:rFonts w:ascii="Cambria Math" w:hAnsi="Cambria Math"/>
                </w:rPr>
                <m:t>ε</m:t>
              </m:r>
            </m:oMath>
          </w:p>
        </w:tc>
        <w:tc>
          <w:tcPr>
            <w:tcW w:w="0" w:type="auto"/>
            <w:tcBorders>
              <w:top w:val="single" w:sz="4" w:space="0" w:color="auto"/>
              <w:bottom w:val="single" w:sz="4" w:space="0" w:color="auto"/>
            </w:tcBorders>
          </w:tcPr>
          <w:p w:rsidR="002162D5" w:rsidRDefault="00EF51D1">
            <w:pPr>
              <w:pStyle w:val="Compact"/>
            </w:pPr>
            <w:r>
              <w:t>4.34</w:t>
            </w:r>
          </w:p>
        </w:tc>
        <w:tc>
          <w:tcPr>
            <w:tcW w:w="0" w:type="auto"/>
            <w:tcBorders>
              <w:top w:val="single" w:sz="4" w:space="0" w:color="auto"/>
              <w:bottom w:val="single" w:sz="4" w:space="0" w:color="auto"/>
            </w:tcBorders>
          </w:tcPr>
          <w:p w:rsidR="002162D5" w:rsidRDefault="00EF51D1">
            <w:pPr>
              <w:pStyle w:val="Compact"/>
            </w:pPr>
            <w:r>
              <w:t>1975</w:t>
            </w:r>
          </w:p>
        </w:tc>
        <w:tc>
          <w:tcPr>
            <w:tcW w:w="0" w:type="auto"/>
            <w:tcBorders>
              <w:top w:val="single" w:sz="4" w:space="0" w:color="auto"/>
              <w:bottom w:val="single" w:sz="4" w:space="0" w:color="auto"/>
            </w:tcBorders>
          </w:tcPr>
          <w:p w:rsidR="002162D5" w:rsidRDefault="00EF51D1">
            <w:pPr>
              <w:pStyle w:val="Compact"/>
            </w:pPr>
            <w:r>
              <w:t>0.269</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0.963</w:t>
            </w:r>
          </w:p>
        </w:tc>
        <w:tc>
          <w:tcPr>
            <w:tcW w:w="0" w:type="auto"/>
            <w:tcBorders>
              <w:top w:val="single" w:sz="4" w:space="0" w:color="auto"/>
              <w:bottom w:val="single" w:sz="4" w:space="0" w:color="auto"/>
            </w:tcBorders>
          </w:tcPr>
          <w:p w:rsidR="002162D5" w:rsidRDefault="00EF51D1">
            <w:pPr>
              <w:pStyle w:val="Compact"/>
            </w:pPr>
            <w:r>
              <w:t>no</w:t>
            </w:r>
          </w:p>
        </w:tc>
      </w:tr>
      <w:tr w:rsidR="002162D5" w:rsidTr="00BE161F">
        <w:tc>
          <w:tcPr>
            <w:tcW w:w="0" w:type="auto"/>
            <w:tcBorders>
              <w:top w:val="single" w:sz="4" w:space="0" w:color="auto"/>
              <w:bottom w:val="single" w:sz="4" w:space="0" w:color="auto"/>
            </w:tcBorders>
          </w:tcPr>
          <w:p w:rsidR="002162D5" w:rsidRDefault="00EF51D1">
            <w:pPr>
              <w:pStyle w:val="Compact"/>
            </w:pPr>
            <m:oMathPara>
              <m:oMath>
                <m:r>
                  <w:rPr>
                    <w:rFonts w:ascii="Cambria Math" w:hAnsi="Cambria Math"/>
                  </w:rPr>
                  <m:t>Δ</m:t>
                </m:r>
                <m:r>
                  <m:rPr>
                    <m:sty m:val="p"/>
                  </m:rPr>
                  <w:rPr>
                    <w:rFonts w:ascii="Cambria Math" w:hAnsi="Cambria Math"/>
                  </w:rPr>
                  <m:t>ln</m:t>
                </m:r>
                <m:sSup>
                  <m:sSupPr>
                    <m:ctrlPr>
                      <w:rPr>
                        <w:rFonts w:ascii="Cambria Math" w:hAnsi="Cambria Math"/>
                      </w:rPr>
                    </m:ctrlPr>
                  </m:sSupPr>
                  <m:e>
                    <m:r>
                      <w:rPr>
                        <w:rFonts w:ascii="Cambria Math" w:hAnsi="Cambria Math"/>
                      </w:rPr>
                      <m:t>α</m:t>
                    </m:r>
                  </m:e>
                  <m:sup>
                    <m:r>
                      <w:rPr>
                        <w:rFonts w:ascii="Cambria Math" w:hAnsi="Cambria Math"/>
                      </w:rPr>
                      <m:t>w</m:t>
                    </m:r>
                  </m:sup>
                </m:sSup>
              </m:oMath>
            </m:oMathPara>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c>
          <w:tcPr>
            <w:tcW w:w="0" w:type="auto"/>
            <w:tcBorders>
              <w:top w:val="single" w:sz="4" w:space="0" w:color="auto"/>
              <w:bottom w:val="single" w:sz="4" w:space="0" w:color="auto"/>
            </w:tcBorders>
          </w:tcPr>
          <w:p w:rsidR="002162D5" w:rsidRDefault="002162D5">
            <w:pPr>
              <w:pStyle w:val="Compact"/>
            </w:pPr>
          </w:p>
        </w:tc>
      </w:tr>
      <w:tr w:rsidR="002162D5" w:rsidTr="00BE161F">
        <w:tc>
          <w:tcPr>
            <w:tcW w:w="0" w:type="auto"/>
            <w:tcBorders>
              <w:top w:val="single" w:sz="4" w:space="0" w:color="auto"/>
              <w:bottom w:val="single" w:sz="4" w:space="0" w:color="auto"/>
            </w:tcBorders>
          </w:tcPr>
          <w:p w:rsidR="002162D5" w:rsidRDefault="00EF51D1">
            <w:pPr>
              <w:pStyle w:val="Compact"/>
            </w:pPr>
            <w:r>
              <w:t>all eleven branches</w:t>
            </w:r>
          </w:p>
        </w:tc>
        <w:tc>
          <w:tcPr>
            <w:tcW w:w="0" w:type="auto"/>
            <w:tcBorders>
              <w:top w:val="single" w:sz="4" w:space="0" w:color="auto"/>
              <w:bottom w:val="single" w:sz="4" w:space="0" w:color="auto"/>
            </w:tcBorders>
          </w:tcPr>
          <w:p w:rsidR="002162D5" w:rsidRDefault="00EF51D1">
            <w:pPr>
              <w:pStyle w:val="Compact"/>
            </w:pPr>
            <w:r>
              <w:t>2.13</w:t>
            </w:r>
          </w:p>
        </w:tc>
        <w:tc>
          <w:tcPr>
            <w:tcW w:w="0" w:type="auto"/>
            <w:tcBorders>
              <w:top w:val="single" w:sz="4" w:space="0" w:color="auto"/>
              <w:bottom w:val="single" w:sz="4" w:space="0" w:color="auto"/>
            </w:tcBorders>
          </w:tcPr>
          <w:p w:rsidR="002162D5" w:rsidRDefault="00EF51D1">
            <w:pPr>
              <w:pStyle w:val="Compact"/>
            </w:pPr>
            <w:r>
              <w:t>2000</w:t>
            </w:r>
          </w:p>
        </w:tc>
        <w:tc>
          <w:tcPr>
            <w:tcW w:w="0" w:type="auto"/>
            <w:tcBorders>
              <w:top w:val="single" w:sz="4" w:space="0" w:color="auto"/>
              <w:bottom w:val="single" w:sz="4" w:space="0" w:color="auto"/>
            </w:tcBorders>
          </w:tcPr>
          <w:p w:rsidR="002162D5" w:rsidRDefault="00EF51D1">
            <w:pPr>
              <w:pStyle w:val="Compact"/>
            </w:pPr>
            <w:r>
              <w:t>0.67–0.70</w:t>
            </w:r>
          </w:p>
        </w:tc>
        <w:tc>
          <w:tcPr>
            <w:tcW w:w="0" w:type="auto"/>
            <w:tcBorders>
              <w:top w:val="single" w:sz="4" w:space="0" w:color="auto"/>
              <w:bottom w:val="single" w:sz="4" w:space="0" w:color="auto"/>
            </w:tcBorders>
          </w:tcPr>
          <w:p w:rsidR="002162D5" w:rsidRDefault="00EF51D1">
            <w:pPr>
              <w:pStyle w:val="Compact"/>
            </w:pPr>
            <w:r>
              <w:t>0 / 0</w:t>
            </w:r>
          </w:p>
        </w:tc>
        <w:tc>
          <w:tcPr>
            <w:tcW w:w="0" w:type="auto"/>
            <w:tcBorders>
              <w:top w:val="single" w:sz="4" w:space="0" w:color="auto"/>
              <w:bottom w:val="single" w:sz="4" w:space="0" w:color="auto"/>
            </w:tcBorders>
          </w:tcPr>
          <w:p w:rsidR="002162D5" w:rsidRDefault="00EF51D1">
            <w:pPr>
              <w:pStyle w:val="Compact"/>
            </w:pPr>
            <w:r>
              <w:t>0.678</w:t>
            </w:r>
          </w:p>
        </w:tc>
        <w:tc>
          <w:tcPr>
            <w:tcW w:w="0" w:type="auto"/>
            <w:tcBorders>
              <w:top w:val="single" w:sz="4" w:space="0" w:color="auto"/>
              <w:bottom w:val="single" w:sz="4" w:space="0" w:color="auto"/>
            </w:tcBorders>
          </w:tcPr>
          <w:p w:rsidR="002162D5" w:rsidRDefault="00EF51D1">
            <w:pPr>
              <w:pStyle w:val="Compact"/>
            </w:pPr>
            <w:r>
              <w:t>no</w:t>
            </w:r>
          </w:p>
        </w:tc>
      </w:tr>
    </w:tbl>
    <w:p w:rsidR="002162D5" w:rsidRDefault="00EF51D1">
      <w:pPr>
        <w:pStyle w:val="a0"/>
      </w:pPr>
      <w:r>
        <w:t xml:space="preserve">The measured waged component is invariant across every branch, as it must be: nine of the eleven perturbations do not touch it, and the two that do (B7, B8) scale it proportionally, which leaves its log-differences unchanged. Its sup-Wald statistic is 2.13 with a </w:t>
      </w:r>
      <w:r>
        <w:rPr>
          <w:i/>
          <w:iCs/>
        </w:rPr>
        <w:t>p</w:t>
      </w:r>
      <w:r>
        <w:t xml:space="preserve">-value between 0.67 and 0.70 in all eleven, and its OLS-CUSUM statistic is 0.678 against a critical value of 1.358. </w:t>
      </w:r>
      <w:r>
        <w:rPr>
          <w:b/>
          <w:bCs/>
        </w:rPr>
        <w:t>The manuscript’s H3 — that the appropriation shift is not located in the wage relation — therefore rests on a series that no perturbation in this appendix can move.</w:t>
      </w:r>
    </w:p>
    <w:p w:rsidR="002162D5" w:rsidRDefault="00EF51D1">
      <w:pPr>
        <w:pStyle w:val="a0"/>
      </w:pPr>
      <w:r>
        <w:t xml:space="preserve">The total appropriation margin behaves differently, and the pattern is worth reading carefully rather than summarising. In nine of eleven branches there is no break: the sup-Wald </w:t>
      </w:r>
      <w:r>
        <w:rPr>
          <w:i/>
          <w:iCs/>
        </w:rPr>
        <w:t>p</w:t>
      </w:r>
      <w:r>
        <w:t xml:space="preserve">-value ranges from 0.169 to 0.521 and Bai–Perron selects zero breaks under both criteria. That includes both edges of the stated </w:t>
      </w:r>
      <m:oMath>
        <m:r>
          <m:rPr>
            <m:sty m:val="p"/>
          </m:rPr>
          <w:rPr>
            <w:rFonts w:ascii="Cambria Math" w:hAnsi="Cambria Math"/>
          </w:rPr>
          <m:t>±</m:t>
        </m:r>
        <m:r>
          <w:rPr>
            <w:rFonts w:ascii="Cambria Math" w:hAnsi="Cambria Math"/>
          </w:rPr>
          <m:t>40</m:t>
        </m:r>
      </m:oMath>
      <w:r>
        <w:t xml:space="preserve"> per cent band, both directions of waged-hours error, both exergy tilts, the flat-efficiency counterfactual, and a linear interpolation of </w:t>
      </w:r>
      <m:oMath>
        <m:r>
          <w:rPr>
            <w:rFonts w:ascii="Cambria Math" w:hAnsi="Cambria Math"/>
          </w:rPr>
          <m:t>u</m:t>
        </m:r>
      </m:oMath>
      <w:r>
        <w:t>. In the two branches that impose a strong curvature on the unwaged path, a break appears — and the two branches disagree about almost everything except that a break exists.</w:t>
      </w:r>
    </w:p>
    <w:p w:rsidR="002162D5" w:rsidRDefault="00EF51D1">
      <w:pPr>
        <w:pStyle w:val="a0"/>
      </w:pPr>
      <w:r>
        <w:rPr>
          <w:b/>
          <w:bCs/>
        </w:rPr>
        <w:t>Table A.4.</w:t>
      </w:r>
      <w:r>
        <w:t xml:space="preserve"> Regime means of the appropriation margin, per cent per year, by branch.</w:t>
      </w:r>
    </w:p>
    <w:tbl>
      <w:tblPr>
        <w:tblStyle w:val="Table"/>
        <w:tblW w:w="5000" w:type="pct"/>
        <w:tblLook w:val="0020" w:firstRow="1" w:lastRow="0" w:firstColumn="0" w:lastColumn="0" w:noHBand="0" w:noVBand="0"/>
      </w:tblPr>
      <w:tblGrid>
        <w:gridCol w:w="1682"/>
        <w:gridCol w:w="1626"/>
        <w:gridCol w:w="1171"/>
        <w:gridCol w:w="1057"/>
        <w:gridCol w:w="2020"/>
        <w:gridCol w:w="2020"/>
      </w:tblGrid>
      <w:tr w:rsidR="002162D5" w:rsidTr="002162D5">
        <w:trPr>
          <w:cnfStyle w:val="100000000000" w:firstRow="1" w:lastRow="0" w:firstColumn="0" w:lastColumn="0" w:oddVBand="0" w:evenVBand="0" w:oddHBand="0" w:evenHBand="0" w:firstRowFirstColumn="0" w:firstRowLastColumn="0" w:lastRowFirstColumn="0" w:lastRowLastColumn="0"/>
          <w:tblHeader/>
        </w:trPr>
        <w:tc>
          <w:tcPr>
            <w:tcW w:w="0" w:type="auto"/>
          </w:tcPr>
          <w:p w:rsidR="002162D5" w:rsidRDefault="00EF51D1">
            <w:pPr>
              <w:pStyle w:val="Compact"/>
            </w:pPr>
            <w:r>
              <w:t>Branch</w:t>
            </w:r>
          </w:p>
        </w:tc>
        <w:tc>
          <w:tcPr>
            <w:tcW w:w="0" w:type="auto"/>
          </w:tcPr>
          <w:p w:rsidR="002162D5" w:rsidRDefault="00EF51D1">
            <w:pPr>
              <w:pStyle w:val="Compact"/>
            </w:pPr>
            <m:oMath>
              <m:r>
                <w:rPr>
                  <w:rFonts w:ascii="Cambria Math" w:hAnsi="Cambria Math"/>
                </w:rPr>
                <m:t>Δ</m:t>
              </m:r>
              <m:r>
                <m:rPr>
                  <m:sty m:val="p"/>
                </m:rPr>
                <w:rPr>
                  <w:rFonts w:ascii="Cambria Math" w:hAnsi="Cambria Math"/>
                </w:rPr>
                <m:t>ln</m:t>
              </m:r>
              <m:r>
                <w:rPr>
                  <w:rFonts w:ascii="Cambria Math" w:hAnsi="Cambria Math"/>
                </w:rPr>
                <m:t>α</m:t>
              </m:r>
            </m:oMath>
            <w:r>
              <w:t xml:space="preserve"> pre-1974</w:t>
            </w:r>
          </w:p>
        </w:tc>
        <w:tc>
          <w:tcPr>
            <w:tcW w:w="0" w:type="auto"/>
          </w:tcPr>
          <w:p w:rsidR="002162D5" w:rsidRDefault="00EF51D1">
            <w:pPr>
              <w:pStyle w:val="Compact"/>
            </w:pPr>
            <w:r>
              <w:t>post-1974</w:t>
            </w:r>
          </w:p>
        </w:tc>
        <w:tc>
          <w:tcPr>
            <w:tcW w:w="0" w:type="auto"/>
          </w:tcPr>
          <w:p w:rsidR="002162D5" w:rsidRDefault="00EF51D1">
            <w:pPr>
              <w:pStyle w:val="Compact"/>
            </w:pPr>
            <w:r>
              <w:t>change</w:t>
            </w:r>
          </w:p>
        </w:tc>
        <w:tc>
          <w:tcPr>
            <w:tcW w:w="0" w:type="auto"/>
          </w:tcPr>
          <w:p w:rsidR="002162D5" w:rsidRDefault="00EF51D1">
            <w:pPr>
              <w:pStyle w:val="Compact"/>
            </w:pPr>
            <m:oMath>
              <m:r>
                <w:rPr>
                  <w:rFonts w:ascii="Cambria Math" w:hAnsi="Cambria Math"/>
                </w:rPr>
                <m:t>Δ</m:t>
              </m:r>
              <m:r>
                <m:rPr>
                  <m:sty m:val="p"/>
                </m:rPr>
                <w:rPr>
                  <w:rFonts w:ascii="Cambria Math" w:hAnsi="Cambria Math"/>
                </w:rPr>
                <m:t>ln</m:t>
              </m:r>
              <m:r>
                <w:rPr>
                  <w:rFonts w:ascii="Cambria Math" w:hAnsi="Cambria Math"/>
                </w:rPr>
                <m:t>κ</m:t>
              </m:r>
            </m:oMath>
            <w:r>
              <w:t xml:space="preserve"> pre-1974</w:t>
            </w:r>
          </w:p>
        </w:tc>
        <w:tc>
          <w:tcPr>
            <w:tcW w:w="0" w:type="auto"/>
          </w:tcPr>
          <w:p w:rsidR="002162D5" w:rsidRDefault="00EF51D1">
            <w:pPr>
              <w:pStyle w:val="Compact"/>
            </w:pPr>
            <w:r>
              <w:t>post-1974</w:t>
            </w:r>
          </w:p>
        </w:tc>
      </w:tr>
      <w:tr w:rsidR="002162D5">
        <w:tc>
          <w:tcPr>
            <w:tcW w:w="0" w:type="auto"/>
          </w:tcPr>
          <w:p w:rsidR="002162D5" w:rsidRDefault="00EF51D1">
            <w:pPr>
              <w:pStyle w:val="Compact"/>
            </w:pPr>
            <w:r>
              <w:t xml:space="preserve">B1 </w:t>
            </w:r>
            <m:oMath>
              <m:r>
                <w:rPr>
                  <w:rFonts w:ascii="Cambria Math" w:hAnsi="Cambria Math"/>
                </w:rPr>
                <m:t>u</m:t>
              </m:r>
            </m:oMath>
            <w:r>
              <w:t xml:space="preserve"> −40%</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0.254</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0.488</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0.234</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1.705</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1.248</m:t>
                </m:r>
              </m:oMath>
            </m:oMathPara>
          </w:p>
        </w:tc>
      </w:tr>
      <w:tr w:rsidR="002162D5">
        <w:tc>
          <w:tcPr>
            <w:tcW w:w="0" w:type="auto"/>
          </w:tcPr>
          <w:p w:rsidR="002162D5" w:rsidRDefault="00EF51D1">
            <w:pPr>
              <w:pStyle w:val="Compact"/>
            </w:pPr>
            <w:r>
              <w:t>B2 central</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0.395</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0.637</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0.242</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1.564</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1.397</m:t>
                </m:r>
              </m:oMath>
            </m:oMathPara>
          </w:p>
        </w:tc>
      </w:tr>
      <w:tr w:rsidR="002162D5">
        <w:tc>
          <w:tcPr>
            <w:tcW w:w="0" w:type="auto"/>
          </w:tcPr>
          <w:p w:rsidR="002162D5" w:rsidRDefault="00EF51D1">
            <w:pPr>
              <w:pStyle w:val="Compact"/>
            </w:pPr>
            <w:r>
              <w:t xml:space="preserve">B3 </w:t>
            </w:r>
            <m:oMath>
              <m:r>
                <w:rPr>
                  <w:rFonts w:ascii="Cambria Math" w:hAnsi="Cambria Math"/>
                </w:rPr>
                <m:t>u</m:t>
              </m:r>
            </m:oMath>
            <w:r>
              <w:t xml:space="preserve"> +40%</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0.492</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0.731</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0.239</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1.467</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1.491</m:t>
                </m:r>
              </m:oMath>
            </m:oMathPara>
          </w:p>
        </w:tc>
      </w:tr>
      <w:tr w:rsidR="002162D5">
        <w:tc>
          <w:tcPr>
            <w:tcW w:w="0" w:type="auto"/>
          </w:tcPr>
          <w:p w:rsidR="002162D5" w:rsidRDefault="00EF51D1">
            <w:pPr>
              <w:pStyle w:val="Compact"/>
            </w:pPr>
            <w:r>
              <w:t xml:space="preserve">B4 linear </w:t>
            </w:r>
            <m:oMath>
              <m:r>
                <w:rPr>
                  <w:rFonts w:ascii="Cambria Math" w:hAnsi="Cambria Math"/>
                </w:rPr>
                <m:t>u</m:t>
              </m:r>
            </m:oMath>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0.610</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0.540</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0.070</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1.349</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1.300</m:t>
                </m:r>
              </m:oMath>
            </m:oMathPara>
          </w:p>
        </w:tc>
      </w:tr>
      <w:tr w:rsidR="002162D5">
        <w:tc>
          <w:tcPr>
            <w:tcW w:w="0" w:type="auto"/>
          </w:tcPr>
          <w:p w:rsidR="002162D5" w:rsidRDefault="00EF51D1">
            <w:pPr>
              <w:pStyle w:val="Compact"/>
            </w:pPr>
            <w:r>
              <w:t xml:space="preserve">B5 concave </w:t>
            </w:r>
            <m:oMath>
              <m:r>
                <w:rPr>
                  <w:rFonts w:ascii="Cambria Math" w:hAnsi="Cambria Math"/>
                </w:rPr>
                <m:t>u</m:t>
              </m:r>
            </m:oMath>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1.086</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0.325</m:t>
                </m:r>
              </m:oMath>
            </m:oMathPara>
          </w:p>
        </w:tc>
        <w:tc>
          <w:tcPr>
            <w:tcW w:w="0" w:type="auto"/>
          </w:tcPr>
          <w:p w:rsidR="002162D5" w:rsidRDefault="00EF51D1">
            <w:pPr>
              <w:pStyle w:val="Compact"/>
            </w:pPr>
            <m:oMathPara>
              <m:oMath>
                <m:r>
                  <m:rPr>
                    <m:sty m:val="b"/>
                  </m:rPr>
                  <w:rPr>
                    <w:rFonts w:ascii="Cambria Math" w:hAnsi="Cambria Math"/>
                  </w:rPr>
                  <m:t>-0.761</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0.873</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1.085</m:t>
                </m:r>
              </m:oMath>
            </m:oMathPara>
          </w:p>
        </w:tc>
      </w:tr>
      <w:tr w:rsidR="002162D5">
        <w:tc>
          <w:tcPr>
            <w:tcW w:w="0" w:type="auto"/>
          </w:tcPr>
          <w:p w:rsidR="002162D5" w:rsidRDefault="00EF51D1">
            <w:pPr>
              <w:pStyle w:val="Compact"/>
            </w:pPr>
            <w:r>
              <w:t xml:space="preserve">B6 convex </w:t>
            </w:r>
            <m:oMath>
              <m:r>
                <w:rPr>
                  <w:rFonts w:ascii="Cambria Math" w:hAnsi="Cambria Math"/>
                </w:rPr>
                <m:t>u</m:t>
              </m:r>
            </m:oMath>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0.149</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0.748</m:t>
                </m:r>
              </m:oMath>
            </m:oMathPara>
          </w:p>
        </w:tc>
        <w:tc>
          <w:tcPr>
            <w:tcW w:w="0" w:type="auto"/>
          </w:tcPr>
          <w:p w:rsidR="002162D5" w:rsidRDefault="00EF51D1">
            <w:pPr>
              <w:pStyle w:val="Compact"/>
            </w:pPr>
            <m:oMathPara>
              <m:oMath>
                <m:r>
                  <m:rPr>
                    <m:sty m:val="b"/>
                  </m:rPr>
                  <w:rPr>
                    <w:rFonts w:ascii="Cambria Math" w:hAnsi="Cambria Math"/>
                  </w:rPr>
                  <m:t>+0.599</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1.810</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1.508</m:t>
                </m:r>
              </m:oMath>
            </m:oMathPara>
          </w:p>
        </w:tc>
      </w:tr>
      <w:tr w:rsidR="002162D5">
        <w:tc>
          <w:tcPr>
            <w:tcW w:w="0" w:type="auto"/>
          </w:tcPr>
          <w:p w:rsidR="002162D5" w:rsidRDefault="00EF51D1">
            <w:pPr>
              <w:pStyle w:val="Compact"/>
            </w:pPr>
            <w:r>
              <w:t>B7 waged −3%</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0.404</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0.646</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0.242</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1.555</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1.406</m:t>
                </m:r>
              </m:oMath>
            </m:oMathPara>
          </w:p>
        </w:tc>
      </w:tr>
      <w:tr w:rsidR="002162D5">
        <w:tc>
          <w:tcPr>
            <w:tcW w:w="0" w:type="auto"/>
          </w:tcPr>
          <w:p w:rsidR="002162D5" w:rsidRDefault="00EF51D1">
            <w:pPr>
              <w:pStyle w:val="Compact"/>
            </w:pPr>
            <w:r>
              <w:lastRenderedPageBreak/>
              <w:t>B8 waged +3%</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0.386</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0.628</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0.242</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1.573</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1.388</m:t>
                </m:r>
              </m:oMath>
            </m:oMathPara>
          </w:p>
        </w:tc>
      </w:tr>
      <w:tr w:rsidR="002162D5">
        <w:tc>
          <w:tcPr>
            <w:tcW w:w="0" w:type="auto"/>
          </w:tcPr>
          <w:p w:rsidR="002162D5" w:rsidRDefault="00EF51D1">
            <w:pPr>
              <w:pStyle w:val="Compact"/>
            </w:pPr>
            <w:r>
              <w:t>B9–B11</w:t>
            </w:r>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0.395</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0.637</m:t>
                </m:r>
              </m:oMath>
            </m:oMathPara>
          </w:p>
        </w:tc>
        <w:tc>
          <w:tcPr>
            <w:tcW w:w="0" w:type="auto"/>
          </w:tcPr>
          <w:p w:rsidR="002162D5" w:rsidRDefault="00EF51D1">
            <w:pPr>
              <w:pStyle w:val="Compact"/>
            </w:pPr>
            <m:oMathPara>
              <m:oMath>
                <m:r>
                  <m:rPr>
                    <m:sty m:val="p"/>
                  </m:rPr>
                  <w:rPr>
                    <w:rFonts w:ascii="Cambria Math" w:hAnsi="Cambria Math"/>
                  </w:rPr>
                  <m:t>+</m:t>
                </m:r>
                <m:r>
                  <w:rPr>
                    <w:rFonts w:ascii="Cambria Math" w:hAnsi="Cambria Math"/>
                  </w:rPr>
                  <m:t>0.242</m:t>
                </m:r>
              </m:oMath>
            </m:oMathPara>
          </w:p>
        </w:tc>
        <w:tc>
          <w:tcPr>
            <w:tcW w:w="0" w:type="auto"/>
          </w:tcPr>
          <w:p w:rsidR="002162D5" w:rsidRDefault="00EF51D1">
            <w:pPr>
              <w:pStyle w:val="Compact"/>
            </w:pPr>
            <m:oMath>
              <m:r>
                <m:rPr>
                  <m:sty m:val="p"/>
                </m:rPr>
                <w:rPr>
                  <w:rFonts w:ascii="Cambria Math" w:hAnsi="Cambria Math"/>
                </w:rPr>
                <m:t>+</m:t>
              </m:r>
              <m:r>
                <w:rPr>
                  <w:rFonts w:ascii="Cambria Math" w:hAnsi="Cambria Math"/>
                </w:rPr>
                <m:t>1.537</m:t>
              </m:r>
            </m:oMath>
            <w:r>
              <w:t xml:space="preserve"> to </w:t>
            </w:r>
            <m:oMath>
              <m:r>
                <m:rPr>
                  <m:sty m:val="p"/>
                </m:rPr>
                <w:rPr>
                  <w:rFonts w:ascii="Cambria Math" w:hAnsi="Cambria Math"/>
                </w:rPr>
                <m:t>+</m:t>
              </m:r>
              <m:r>
                <w:rPr>
                  <w:rFonts w:ascii="Cambria Math" w:hAnsi="Cambria Math"/>
                </w:rPr>
                <m:t>1.591</m:t>
              </m:r>
            </m:oMath>
          </w:p>
        </w:tc>
        <w:tc>
          <w:tcPr>
            <w:tcW w:w="0" w:type="auto"/>
          </w:tcPr>
          <w:p w:rsidR="002162D5" w:rsidRDefault="00EF51D1">
            <w:pPr>
              <w:pStyle w:val="Compact"/>
            </w:pPr>
            <m:oMath>
              <m:r>
                <m:rPr>
                  <m:sty m:val="p"/>
                </m:rPr>
                <w:rPr>
                  <w:rFonts w:ascii="Cambria Math" w:hAnsi="Cambria Math"/>
                </w:rPr>
                <m:t>-</m:t>
              </m:r>
              <m:r>
                <w:rPr>
                  <w:rFonts w:ascii="Cambria Math" w:hAnsi="Cambria Math"/>
                </w:rPr>
                <m:t>1.370</m:t>
              </m:r>
            </m:oMath>
            <w:r>
              <w:t xml:space="preserve"> to </w:t>
            </w:r>
            <m:oMath>
              <m:r>
                <m:rPr>
                  <m:sty m:val="p"/>
                </m:rPr>
                <w:rPr>
                  <w:rFonts w:ascii="Cambria Math" w:hAnsi="Cambria Math"/>
                </w:rPr>
                <m:t>-</m:t>
              </m:r>
              <m:r>
                <w:rPr>
                  <w:rFonts w:ascii="Cambria Math" w:hAnsi="Cambria Math"/>
                </w:rPr>
                <m:t>1.424</m:t>
              </m:r>
            </m:oMath>
          </w:p>
        </w:tc>
      </w:tr>
    </w:tbl>
    <w:p w:rsidR="002162D5" w:rsidRDefault="00EF51D1">
      <w:pPr>
        <w:pStyle w:val="a0"/>
      </w:pPr>
      <w:r>
        <w:t xml:space="preserve">Under the concave path the appropriation margin </w:t>
      </w:r>
      <w:r>
        <w:rPr>
          <w:i/>
          <w:iCs/>
        </w:rPr>
        <w:t>decelerates</w:t>
      </w:r>
      <w:r>
        <w:t xml:space="preserve"> after 1973, by 0.76 percentage points; under the convex path it </w:t>
      </w:r>
      <w:r>
        <w:rPr>
          <w:i/>
          <w:iCs/>
        </w:rPr>
        <w:t>accelerates</w:t>
      </w:r>
      <w:r>
        <w:t>, by 0.60. The break located in B5 is at 1961 and the break located in B6 is at 1975: in each case the estimator finds the year at which the imposed curve bends, which is exactly what an estimator should do when handed a series whose curvature was chosen rather than measured. The two branches are not competing pieces of evidence about the American economy. They are a demonstration that the shape assumption, not the data, determines the answer.</w:t>
      </w:r>
    </w:p>
    <w:p w:rsidR="002162D5" w:rsidRDefault="00EF51D1">
      <w:pPr>
        <w:pStyle w:val="a0"/>
      </w:pPr>
      <w:r>
        <w:t xml:space="preserve">The correct inference is the one the manuscript already draws in Section 6.2 on independent grounds: </w:t>
      </w:r>
      <w:r>
        <w:rPr>
          <w:b/>
          <w:bCs/>
        </w:rPr>
        <w:t>the timing of the unwaged appropriation margin is not identified by anything currently in the accounts.</w:t>
      </w:r>
      <w:r>
        <w:t xml:space="preserve"> The refutation of H2 in Section 6.1 accordingly rests on the central calibration and on every perturbation that does not re-specify a curve the framework has not measured — and it would be equally correct to say that H2 cannot yet be tested at all. Both readings point to the same research priority, which is the harmonised time-use reconstruction of </w:t>
      </w:r>
      <m:oMath>
        <m:sSub>
          <m:sSubPr>
            <m:ctrlPr>
              <w:rPr>
                <w:rFonts w:ascii="Cambria Math" w:hAnsi="Cambria Math"/>
              </w:rPr>
            </m:ctrlPr>
          </m:sSubPr>
          <m:e>
            <m:r>
              <w:rPr>
                <w:rFonts w:ascii="Cambria Math" w:hAnsi="Cambria Math"/>
              </w:rPr>
              <m:t>u</m:t>
            </m:r>
          </m:e>
          <m:sub>
            <m:r>
              <w:rPr>
                <w:rFonts w:ascii="Cambria Math" w:hAnsi="Cambria Math"/>
              </w:rPr>
              <m:t>t</m:t>
            </m:r>
          </m:sub>
        </m:sSub>
      </m:oMath>
      <w:r>
        <w:t xml:space="preserve"> named in Section 9.3 of the manuscript.</w:t>
      </w:r>
    </w:p>
    <w:p w:rsidR="002162D5" w:rsidRPr="006A1AC7" w:rsidRDefault="00EF51D1">
      <w:pPr>
        <w:pStyle w:val="2"/>
        <w:rPr>
          <w:color w:val="auto"/>
        </w:rPr>
      </w:pPr>
      <w:bookmarkStart w:id="8" w:name="Xfddd5d3ee49e8e0fff75f950ba005e6528cbabb"/>
      <w:bookmarkEnd w:id="6"/>
      <w:r w:rsidRPr="006A1AC7">
        <w:rPr>
          <w:color w:val="auto"/>
        </w:rPr>
        <w:t>A.6 Composition of growth across the band</w:t>
      </w:r>
    </w:p>
    <w:p w:rsidR="002162D5" w:rsidRDefault="00EF51D1">
      <w:pPr>
        <w:pStyle w:val="FirstParagraph"/>
      </w:pPr>
      <w:r>
        <w:rPr>
          <w:b/>
          <w:bCs/>
        </w:rPr>
        <w:t>Table A.5.</w:t>
      </w:r>
      <w:r>
        <w:t xml:space="preserve"> Shares of 1950–2024 log output growth, per cent, by branch.</w:t>
      </w:r>
    </w:p>
    <w:tbl>
      <w:tblPr>
        <w:tblStyle w:val="Table"/>
        <w:tblW w:w="5000" w:type="pct"/>
        <w:tblLook w:val="0020" w:firstRow="1" w:lastRow="0" w:firstColumn="0" w:lastColumn="0" w:noHBand="0" w:noVBand="0"/>
      </w:tblPr>
      <w:tblGrid>
        <w:gridCol w:w="1869"/>
        <w:gridCol w:w="785"/>
        <w:gridCol w:w="796"/>
        <w:gridCol w:w="2233"/>
        <w:gridCol w:w="1940"/>
        <w:gridCol w:w="1953"/>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Branch</w:t>
            </w:r>
          </w:p>
        </w:tc>
        <w:tc>
          <w:tcPr>
            <w:tcW w:w="0" w:type="auto"/>
            <w:tcBorders>
              <w:top w:val="single" w:sz="4" w:space="0" w:color="auto"/>
              <w:bottom w:val="single" w:sz="4" w:space="0" w:color="auto"/>
            </w:tcBorders>
          </w:tcPr>
          <w:p w:rsidR="002162D5" w:rsidRDefault="007E57C6">
            <w:pPr>
              <w:pStyle w:val="Compact"/>
            </w:pPr>
            <m:oMathPara>
              <m:oMath>
                <m:sSub>
                  <m:sSubPr>
                    <m:ctrlPr>
                      <w:rPr>
                        <w:rFonts w:ascii="Cambria Math" w:hAnsi="Cambria Math"/>
                      </w:rPr>
                    </m:ctrlPr>
                  </m:sSubPr>
                  <m:e>
                    <m:r>
                      <w:rPr>
                        <w:rFonts w:ascii="Cambria Math" w:hAnsi="Cambria Math"/>
                      </w:rPr>
                      <m:t>α</m:t>
                    </m:r>
                  </m:e>
                  <m:sub>
                    <m:r>
                      <w:rPr>
                        <w:rFonts w:ascii="Cambria Math" w:hAnsi="Cambria Math"/>
                      </w:rPr>
                      <m:t>1950</m:t>
                    </m:r>
                  </m:sub>
                </m:sSub>
              </m:oMath>
            </m:oMathPara>
          </w:p>
        </w:tc>
        <w:tc>
          <w:tcPr>
            <w:tcW w:w="0" w:type="auto"/>
            <w:tcBorders>
              <w:top w:val="single" w:sz="4" w:space="0" w:color="auto"/>
              <w:bottom w:val="single" w:sz="4" w:space="0" w:color="auto"/>
            </w:tcBorders>
          </w:tcPr>
          <w:p w:rsidR="002162D5" w:rsidRDefault="007E57C6">
            <w:pPr>
              <w:pStyle w:val="Compact"/>
            </w:pPr>
            <m:oMathPara>
              <m:oMath>
                <m:sSub>
                  <m:sSubPr>
                    <m:ctrlPr>
                      <w:rPr>
                        <w:rFonts w:ascii="Cambria Math" w:hAnsi="Cambria Math"/>
                      </w:rPr>
                    </m:ctrlPr>
                  </m:sSubPr>
                  <m:e>
                    <m:r>
                      <w:rPr>
                        <w:rFonts w:ascii="Cambria Math" w:hAnsi="Cambria Math"/>
                      </w:rPr>
                      <m:t>α</m:t>
                    </m:r>
                  </m:e>
                  <m:sub>
                    <m:r>
                      <w:rPr>
                        <w:rFonts w:ascii="Cambria Math" w:hAnsi="Cambria Math"/>
                      </w:rPr>
                      <m:t>2024</m:t>
                    </m:r>
                  </m:sub>
                </m:sSub>
              </m:oMath>
            </m:oMathPara>
          </w:p>
        </w:tc>
        <w:tc>
          <w:tcPr>
            <w:tcW w:w="0" w:type="auto"/>
            <w:tcBorders>
              <w:top w:val="single" w:sz="4" w:space="0" w:color="auto"/>
              <w:bottom w:val="single" w:sz="4" w:space="0" w:color="auto"/>
            </w:tcBorders>
          </w:tcPr>
          <w:p w:rsidR="002162D5" w:rsidRDefault="00EF51D1">
            <w:pPr>
              <w:pStyle w:val="Compact"/>
            </w:pPr>
            <w:r>
              <w:t>human-time margins</w:t>
            </w:r>
          </w:p>
        </w:tc>
        <w:tc>
          <w:tcPr>
            <w:tcW w:w="0" w:type="auto"/>
            <w:tcBorders>
              <w:top w:val="single" w:sz="4" w:space="0" w:color="auto"/>
              <w:bottom w:val="single" w:sz="4" w:space="0" w:color="auto"/>
            </w:tcBorders>
          </w:tcPr>
          <w:p w:rsidR="002162D5" w:rsidRDefault="00EF51D1">
            <w:pPr>
              <w:pStyle w:val="Compact"/>
            </w:pPr>
            <w:r>
              <w:t>physical coupling</w:t>
            </w:r>
          </w:p>
        </w:tc>
        <w:tc>
          <w:tcPr>
            <w:tcW w:w="0" w:type="auto"/>
            <w:tcBorders>
              <w:top w:val="single" w:sz="4" w:space="0" w:color="auto"/>
              <w:bottom w:val="single" w:sz="4" w:space="0" w:color="auto"/>
            </w:tcBorders>
          </w:tcPr>
          <w:p w:rsidR="002162D5" w:rsidRDefault="00EF51D1">
            <w:pPr>
              <w:pStyle w:val="Compact"/>
            </w:pPr>
            <w:r>
              <w:t>valuation residual</w:t>
            </w:r>
          </w:p>
        </w:tc>
      </w:tr>
      <w:tr w:rsidR="002162D5" w:rsidTr="007E57C6">
        <w:tc>
          <w:tcPr>
            <w:tcW w:w="0" w:type="auto"/>
            <w:tcBorders>
              <w:top w:val="single" w:sz="4" w:space="0" w:color="auto"/>
              <w:bottom w:val="single" w:sz="4" w:space="0" w:color="auto"/>
            </w:tcBorders>
          </w:tcPr>
          <w:p w:rsidR="002162D5" w:rsidRDefault="00EF51D1">
            <w:pPr>
              <w:pStyle w:val="Compact"/>
            </w:pPr>
            <w:r>
              <w:t xml:space="preserve">B1 </w:t>
            </w:r>
            <m:oMath>
              <m:r>
                <w:rPr>
                  <w:rFonts w:ascii="Cambria Math" w:hAnsi="Cambria Math"/>
                </w:rPr>
                <m:t>u</m:t>
              </m:r>
            </m:oMath>
            <w:r>
              <w:t xml:space="preserve"> −40%</w:t>
            </w:r>
          </w:p>
        </w:tc>
        <w:tc>
          <w:tcPr>
            <w:tcW w:w="0" w:type="auto"/>
            <w:tcBorders>
              <w:top w:val="single" w:sz="4" w:space="0" w:color="auto"/>
              <w:bottom w:val="single" w:sz="4" w:space="0" w:color="auto"/>
            </w:tcBorders>
          </w:tcPr>
          <w:p w:rsidR="002162D5" w:rsidRDefault="00EF51D1">
            <w:pPr>
              <w:pStyle w:val="Compact"/>
            </w:pPr>
            <w:r>
              <w:t>0.271</w:t>
            </w:r>
          </w:p>
        </w:tc>
        <w:tc>
          <w:tcPr>
            <w:tcW w:w="0" w:type="auto"/>
            <w:tcBorders>
              <w:top w:val="single" w:sz="4" w:space="0" w:color="auto"/>
              <w:bottom w:val="single" w:sz="4" w:space="0" w:color="auto"/>
            </w:tcBorders>
          </w:tcPr>
          <w:p w:rsidR="002162D5" w:rsidRDefault="00EF51D1">
            <w:pPr>
              <w:pStyle w:val="Compact"/>
            </w:pPr>
            <w:r>
              <w:t>0.369</w:t>
            </w:r>
          </w:p>
        </w:tc>
        <w:tc>
          <w:tcPr>
            <w:tcW w:w="0" w:type="auto"/>
            <w:tcBorders>
              <w:top w:val="single" w:sz="4" w:space="0" w:color="auto"/>
              <w:bottom w:val="single" w:sz="4" w:space="0" w:color="auto"/>
            </w:tcBorders>
          </w:tcPr>
          <w:p w:rsidR="002162D5" w:rsidRDefault="00EF51D1">
            <w:pPr>
              <w:pStyle w:val="Compact"/>
            </w:pPr>
            <w:r>
              <w:t>53.5</w:t>
            </w:r>
          </w:p>
        </w:tc>
        <w:tc>
          <w:tcPr>
            <w:tcW w:w="0" w:type="auto"/>
            <w:tcBorders>
              <w:top w:val="single" w:sz="4" w:space="0" w:color="auto"/>
              <w:bottom w:val="single" w:sz="4" w:space="0" w:color="auto"/>
            </w:tcBorders>
          </w:tcPr>
          <w:p w:rsidR="002162D5" w:rsidRDefault="00EF51D1">
            <w:pPr>
              <w:pStyle w:val="Compact"/>
            </w:pPr>
            <w:r>
              <w:t>12.0</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B2 central</w:t>
            </w:r>
          </w:p>
        </w:tc>
        <w:tc>
          <w:tcPr>
            <w:tcW w:w="0" w:type="auto"/>
            <w:tcBorders>
              <w:top w:val="single" w:sz="4" w:space="0" w:color="auto"/>
              <w:bottom w:val="single" w:sz="4" w:space="0" w:color="auto"/>
            </w:tcBorders>
          </w:tcPr>
          <w:p w:rsidR="002162D5" w:rsidRDefault="00EF51D1">
            <w:pPr>
              <w:pStyle w:val="Compact"/>
            </w:pPr>
            <w:r>
              <w:t>0.326</w:t>
            </w:r>
          </w:p>
        </w:tc>
        <w:tc>
          <w:tcPr>
            <w:tcW w:w="0" w:type="auto"/>
            <w:tcBorders>
              <w:top w:val="single" w:sz="4" w:space="0" w:color="auto"/>
              <w:bottom w:val="single" w:sz="4" w:space="0" w:color="auto"/>
            </w:tcBorders>
          </w:tcPr>
          <w:p w:rsidR="002162D5" w:rsidRDefault="00EF51D1">
            <w:pPr>
              <w:pStyle w:val="Compact"/>
            </w:pPr>
            <w:r>
              <w:t>0.494</w:t>
            </w:r>
          </w:p>
        </w:tc>
        <w:tc>
          <w:tcPr>
            <w:tcW w:w="0" w:type="auto"/>
            <w:tcBorders>
              <w:top w:val="single" w:sz="4" w:space="0" w:color="auto"/>
              <w:bottom w:val="single" w:sz="4" w:space="0" w:color="auto"/>
            </w:tcBorders>
          </w:tcPr>
          <w:p w:rsidR="002162D5" w:rsidRDefault="00EF51D1">
            <w:pPr>
              <w:pStyle w:val="Compact"/>
            </w:pPr>
            <w:r>
              <w:t>58.1</w:t>
            </w:r>
          </w:p>
        </w:tc>
        <w:tc>
          <w:tcPr>
            <w:tcW w:w="0" w:type="auto"/>
            <w:tcBorders>
              <w:top w:val="single" w:sz="4" w:space="0" w:color="auto"/>
              <w:bottom w:val="single" w:sz="4" w:space="0" w:color="auto"/>
            </w:tcBorders>
          </w:tcPr>
          <w:p w:rsidR="002162D5" w:rsidRDefault="00EF51D1">
            <w:pPr>
              <w:pStyle w:val="Compact"/>
            </w:pPr>
            <w:r>
              <w:t>7.3</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 xml:space="preserve">B3 </w:t>
            </w:r>
            <m:oMath>
              <m:r>
                <w:rPr>
                  <w:rFonts w:ascii="Cambria Math" w:hAnsi="Cambria Math"/>
                </w:rPr>
                <m:t>u</m:t>
              </m:r>
            </m:oMath>
            <w:r>
              <w:t xml:space="preserve"> +40%</w:t>
            </w:r>
          </w:p>
        </w:tc>
        <w:tc>
          <w:tcPr>
            <w:tcW w:w="0" w:type="auto"/>
            <w:tcBorders>
              <w:top w:val="single" w:sz="4" w:space="0" w:color="auto"/>
              <w:bottom w:val="single" w:sz="4" w:space="0" w:color="auto"/>
            </w:tcBorders>
          </w:tcPr>
          <w:p w:rsidR="002162D5" w:rsidRDefault="00EF51D1">
            <w:pPr>
              <w:pStyle w:val="Compact"/>
            </w:pPr>
            <w:r>
              <w:t>0.381</w:t>
            </w:r>
          </w:p>
        </w:tc>
        <w:tc>
          <w:tcPr>
            <w:tcW w:w="0" w:type="auto"/>
            <w:tcBorders>
              <w:top w:val="single" w:sz="4" w:space="0" w:color="auto"/>
              <w:bottom w:val="single" w:sz="4" w:space="0" w:color="auto"/>
            </w:tcBorders>
          </w:tcPr>
          <w:p w:rsidR="002162D5" w:rsidRDefault="00EF51D1">
            <w:pPr>
              <w:pStyle w:val="Compact"/>
            </w:pPr>
            <w:r>
              <w:t>0.619</w:t>
            </w:r>
          </w:p>
        </w:tc>
        <w:tc>
          <w:tcPr>
            <w:tcW w:w="0" w:type="auto"/>
            <w:tcBorders>
              <w:top w:val="single" w:sz="4" w:space="0" w:color="auto"/>
              <w:bottom w:val="single" w:sz="4" w:space="0" w:color="auto"/>
            </w:tcBorders>
          </w:tcPr>
          <w:p w:rsidR="002162D5" w:rsidRDefault="00EF51D1">
            <w:pPr>
              <w:pStyle w:val="Compact"/>
            </w:pPr>
            <w:r>
              <w:t>61.2</w:t>
            </w:r>
          </w:p>
        </w:tc>
        <w:tc>
          <w:tcPr>
            <w:tcW w:w="0" w:type="auto"/>
            <w:tcBorders>
              <w:top w:val="single" w:sz="4" w:space="0" w:color="auto"/>
              <w:bottom w:val="single" w:sz="4" w:space="0" w:color="auto"/>
            </w:tcBorders>
          </w:tcPr>
          <w:p w:rsidR="002162D5" w:rsidRDefault="00EF51D1">
            <w:pPr>
              <w:pStyle w:val="Compact"/>
            </w:pPr>
            <w:r>
              <w:t>4.3</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B4–B6 shapes</w:t>
            </w:r>
          </w:p>
        </w:tc>
        <w:tc>
          <w:tcPr>
            <w:tcW w:w="0" w:type="auto"/>
            <w:tcBorders>
              <w:top w:val="single" w:sz="4" w:space="0" w:color="auto"/>
              <w:bottom w:val="single" w:sz="4" w:space="0" w:color="auto"/>
            </w:tcBorders>
          </w:tcPr>
          <w:p w:rsidR="002162D5" w:rsidRDefault="00EF51D1">
            <w:pPr>
              <w:pStyle w:val="Compact"/>
            </w:pPr>
            <w:r>
              <w:t>0.326</w:t>
            </w:r>
          </w:p>
        </w:tc>
        <w:tc>
          <w:tcPr>
            <w:tcW w:w="0" w:type="auto"/>
            <w:tcBorders>
              <w:top w:val="single" w:sz="4" w:space="0" w:color="auto"/>
              <w:bottom w:val="single" w:sz="4" w:space="0" w:color="auto"/>
            </w:tcBorders>
          </w:tcPr>
          <w:p w:rsidR="002162D5" w:rsidRDefault="00EF51D1">
            <w:pPr>
              <w:pStyle w:val="Compact"/>
            </w:pPr>
            <w:r>
              <w:t>0.494</w:t>
            </w:r>
          </w:p>
        </w:tc>
        <w:tc>
          <w:tcPr>
            <w:tcW w:w="0" w:type="auto"/>
            <w:tcBorders>
              <w:top w:val="single" w:sz="4" w:space="0" w:color="auto"/>
              <w:bottom w:val="single" w:sz="4" w:space="0" w:color="auto"/>
            </w:tcBorders>
          </w:tcPr>
          <w:p w:rsidR="002162D5" w:rsidRDefault="00EF51D1">
            <w:pPr>
              <w:pStyle w:val="Compact"/>
            </w:pPr>
            <w:r>
              <w:t>58.1</w:t>
            </w:r>
          </w:p>
        </w:tc>
        <w:tc>
          <w:tcPr>
            <w:tcW w:w="0" w:type="auto"/>
            <w:tcBorders>
              <w:top w:val="single" w:sz="4" w:space="0" w:color="auto"/>
              <w:bottom w:val="single" w:sz="4" w:space="0" w:color="auto"/>
            </w:tcBorders>
          </w:tcPr>
          <w:p w:rsidR="002162D5" w:rsidRDefault="00EF51D1">
            <w:pPr>
              <w:pStyle w:val="Compact"/>
            </w:pPr>
            <w:r>
              <w:t>7.3</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B7 waged −3%</w:t>
            </w:r>
          </w:p>
        </w:tc>
        <w:tc>
          <w:tcPr>
            <w:tcW w:w="0" w:type="auto"/>
            <w:tcBorders>
              <w:top w:val="single" w:sz="4" w:space="0" w:color="auto"/>
              <w:bottom w:val="single" w:sz="4" w:space="0" w:color="auto"/>
            </w:tcBorders>
          </w:tcPr>
          <w:p w:rsidR="002162D5" w:rsidRDefault="00EF51D1">
            <w:pPr>
              <w:pStyle w:val="Compact"/>
            </w:pPr>
            <w:r>
              <w:t>0.320</w:t>
            </w:r>
          </w:p>
        </w:tc>
        <w:tc>
          <w:tcPr>
            <w:tcW w:w="0" w:type="auto"/>
            <w:tcBorders>
              <w:top w:val="single" w:sz="4" w:space="0" w:color="auto"/>
              <w:bottom w:val="single" w:sz="4" w:space="0" w:color="auto"/>
            </w:tcBorders>
          </w:tcPr>
          <w:p w:rsidR="002162D5" w:rsidRDefault="00EF51D1">
            <w:pPr>
              <w:pStyle w:val="Compact"/>
            </w:pPr>
            <w:r>
              <w:t>0.489</w:t>
            </w:r>
          </w:p>
        </w:tc>
        <w:tc>
          <w:tcPr>
            <w:tcW w:w="0" w:type="auto"/>
            <w:tcBorders>
              <w:top w:val="single" w:sz="4" w:space="0" w:color="auto"/>
              <w:bottom w:val="single" w:sz="4" w:space="0" w:color="auto"/>
            </w:tcBorders>
          </w:tcPr>
          <w:p w:rsidR="002162D5" w:rsidRDefault="00EF51D1">
            <w:pPr>
              <w:pStyle w:val="Compact"/>
            </w:pPr>
            <w:r>
              <w:t>58.4</w:t>
            </w:r>
          </w:p>
        </w:tc>
        <w:tc>
          <w:tcPr>
            <w:tcW w:w="0" w:type="auto"/>
            <w:tcBorders>
              <w:top w:val="single" w:sz="4" w:space="0" w:color="auto"/>
              <w:bottom w:val="single" w:sz="4" w:space="0" w:color="auto"/>
            </w:tcBorders>
          </w:tcPr>
          <w:p w:rsidR="002162D5" w:rsidRDefault="00EF51D1">
            <w:pPr>
              <w:pStyle w:val="Compact"/>
            </w:pPr>
            <w:r>
              <w:t>7.0</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B8 waged +3%</w:t>
            </w:r>
          </w:p>
        </w:tc>
        <w:tc>
          <w:tcPr>
            <w:tcW w:w="0" w:type="auto"/>
            <w:tcBorders>
              <w:top w:val="single" w:sz="4" w:space="0" w:color="auto"/>
              <w:bottom w:val="single" w:sz="4" w:space="0" w:color="auto"/>
            </w:tcBorders>
          </w:tcPr>
          <w:p w:rsidR="002162D5" w:rsidRDefault="00EF51D1">
            <w:pPr>
              <w:pStyle w:val="Compact"/>
            </w:pPr>
            <w:r>
              <w:t>0.332</w:t>
            </w:r>
          </w:p>
        </w:tc>
        <w:tc>
          <w:tcPr>
            <w:tcW w:w="0" w:type="auto"/>
            <w:tcBorders>
              <w:top w:val="single" w:sz="4" w:space="0" w:color="auto"/>
              <w:bottom w:val="single" w:sz="4" w:space="0" w:color="auto"/>
            </w:tcBorders>
          </w:tcPr>
          <w:p w:rsidR="002162D5" w:rsidRDefault="00EF51D1">
            <w:pPr>
              <w:pStyle w:val="Compact"/>
            </w:pPr>
            <w:r>
              <w:t>0.499</w:t>
            </w:r>
          </w:p>
        </w:tc>
        <w:tc>
          <w:tcPr>
            <w:tcW w:w="0" w:type="auto"/>
            <w:tcBorders>
              <w:top w:val="single" w:sz="4" w:space="0" w:color="auto"/>
              <w:bottom w:val="single" w:sz="4" w:space="0" w:color="auto"/>
            </w:tcBorders>
          </w:tcPr>
          <w:p w:rsidR="002162D5" w:rsidRDefault="00EF51D1">
            <w:pPr>
              <w:pStyle w:val="Compact"/>
            </w:pPr>
            <w:r>
              <w:t>57.9</w:t>
            </w:r>
          </w:p>
        </w:tc>
        <w:tc>
          <w:tcPr>
            <w:tcW w:w="0" w:type="auto"/>
            <w:tcBorders>
              <w:top w:val="single" w:sz="4" w:space="0" w:color="auto"/>
              <w:bottom w:val="single" w:sz="4" w:space="0" w:color="auto"/>
            </w:tcBorders>
          </w:tcPr>
          <w:p w:rsidR="002162D5" w:rsidRDefault="00EF51D1">
            <w:pPr>
              <w:pStyle w:val="Compact"/>
            </w:pPr>
            <w:r>
              <w:t>7.6</w:t>
            </w:r>
          </w:p>
        </w:tc>
        <w:tc>
          <w:tcPr>
            <w:tcW w:w="0" w:type="auto"/>
            <w:tcBorders>
              <w:top w:val="single" w:sz="4" w:space="0" w:color="auto"/>
              <w:bottom w:val="single" w:sz="4" w:space="0" w:color="auto"/>
            </w:tcBorders>
          </w:tcPr>
          <w:p w:rsidR="002162D5" w:rsidRDefault="00EF51D1">
            <w:pPr>
              <w:pStyle w:val="Compact"/>
            </w:pPr>
            <w:r>
              <w:t>34.6</w:t>
            </w:r>
          </w:p>
        </w:tc>
      </w:tr>
      <w:tr w:rsidR="002162D5" w:rsidTr="007E57C6">
        <w:tc>
          <w:tcPr>
            <w:tcW w:w="0" w:type="auto"/>
            <w:tcBorders>
              <w:top w:val="single" w:sz="4" w:space="0" w:color="auto"/>
              <w:bottom w:val="single" w:sz="4" w:space="0" w:color="auto"/>
            </w:tcBorders>
          </w:tcPr>
          <w:p w:rsidR="002162D5" w:rsidRDefault="00EF51D1">
            <w:pPr>
              <w:pStyle w:val="Compact"/>
            </w:pPr>
            <w:r>
              <w:t>B9 exergy −2%</w:t>
            </w:r>
          </w:p>
        </w:tc>
        <w:tc>
          <w:tcPr>
            <w:tcW w:w="0" w:type="auto"/>
            <w:tcBorders>
              <w:top w:val="single" w:sz="4" w:space="0" w:color="auto"/>
              <w:bottom w:val="single" w:sz="4" w:space="0" w:color="auto"/>
            </w:tcBorders>
          </w:tcPr>
          <w:p w:rsidR="002162D5" w:rsidRDefault="00EF51D1">
            <w:pPr>
              <w:pStyle w:val="Compact"/>
            </w:pPr>
            <w:r>
              <w:t>0.326</w:t>
            </w:r>
          </w:p>
        </w:tc>
        <w:tc>
          <w:tcPr>
            <w:tcW w:w="0" w:type="auto"/>
            <w:tcBorders>
              <w:top w:val="single" w:sz="4" w:space="0" w:color="auto"/>
              <w:bottom w:val="single" w:sz="4" w:space="0" w:color="auto"/>
            </w:tcBorders>
          </w:tcPr>
          <w:p w:rsidR="002162D5" w:rsidRDefault="00EF51D1">
            <w:pPr>
              <w:pStyle w:val="Compact"/>
            </w:pPr>
            <w:r>
              <w:t>0.494</w:t>
            </w:r>
          </w:p>
        </w:tc>
        <w:tc>
          <w:tcPr>
            <w:tcW w:w="0" w:type="auto"/>
            <w:tcBorders>
              <w:top w:val="single" w:sz="4" w:space="0" w:color="auto"/>
              <w:bottom w:val="single" w:sz="4" w:space="0" w:color="auto"/>
            </w:tcBorders>
          </w:tcPr>
          <w:p w:rsidR="002162D5" w:rsidRDefault="00EF51D1">
            <w:pPr>
              <w:pStyle w:val="Compact"/>
            </w:pPr>
            <w:r>
              <w:t>58.1</w:t>
            </w:r>
          </w:p>
        </w:tc>
        <w:tc>
          <w:tcPr>
            <w:tcW w:w="0" w:type="auto"/>
            <w:tcBorders>
              <w:top w:val="single" w:sz="4" w:space="0" w:color="auto"/>
              <w:bottom w:val="single" w:sz="4" w:space="0" w:color="auto"/>
            </w:tcBorders>
          </w:tcPr>
          <w:p w:rsidR="002162D5" w:rsidRDefault="00EF51D1">
            <w:pPr>
              <w:pStyle w:val="Compact"/>
            </w:pPr>
            <w:r>
              <w:t>6.5</w:t>
            </w:r>
          </w:p>
        </w:tc>
        <w:tc>
          <w:tcPr>
            <w:tcW w:w="0" w:type="auto"/>
            <w:tcBorders>
              <w:top w:val="single" w:sz="4" w:space="0" w:color="auto"/>
              <w:bottom w:val="single" w:sz="4" w:space="0" w:color="auto"/>
            </w:tcBorders>
          </w:tcPr>
          <w:p w:rsidR="002162D5" w:rsidRDefault="00EF51D1">
            <w:pPr>
              <w:pStyle w:val="Compact"/>
            </w:pPr>
            <w:r>
              <w:t>35.4</w:t>
            </w:r>
          </w:p>
        </w:tc>
      </w:tr>
      <w:tr w:rsidR="002162D5" w:rsidTr="007E57C6">
        <w:tc>
          <w:tcPr>
            <w:tcW w:w="0" w:type="auto"/>
            <w:tcBorders>
              <w:top w:val="single" w:sz="4" w:space="0" w:color="auto"/>
              <w:bottom w:val="single" w:sz="4" w:space="0" w:color="auto"/>
            </w:tcBorders>
          </w:tcPr>
          <w:p w:rsidR="002162D5" w:rsidRDefault="00EF51D1">
            <w:pPr>
              <w:pStyle w:val="Compact"/>
            </w:pPr>
            <w:r>
              <w:t>B10 exergy +2%</w:t>
            </w:r>
          </w:p>
        </w:tc>
        <w:tc>
          <w:tcPr>
            <w:tcW w:w="0" w:type="auto"/>
            <w:tcBorders>
              <w:top w:val="single" w:sz="4" w:space="0" w:color="auto"/>
              <w:bottom w:val="single" w:sz="4" w:space="0" w:color="auto"/>
            </w:tcBorders>
          </w:tcPr>
          <w:p w:rsidR="002162D5" w:rsidRDefault="00EF51D1">
            <w:pPr>
              <w:pStyle w:val="Compact"/>
            </w:pPr>
            <w:r>
              <w:t>0.326</w:t>
            </w:r>
          </w:p>
        </w:tc>
        <w:tc>
          <w:tcPr>
            <w:tcW w:w="0" w:type="auto"/>
            <w:tcBorders>
              <w:top w:val="single" w:sz="4" w:space="0" w:color="auto"/>
              <w:bottom w:val="single" w:sz="4" w:space="0" w:color="auto"/>
            </w:tcBorders>
          </w:tcPr>
          <w:p w:rsidR="002162D5" w:rsidRDefault="00EF51D1">
            <w:pPr>
              <w:pStyle w:val="Compact"/>
            </w:pPr>
            <w:r>
              <w:t>0.494</w:t>
            </w:r>
          </w:p>
        </w:tc>
        <w:tc>
          <w:tcPr>
            <w:tcW w:w="0" w:type="auto"/>
            <w:tcBorders>
              <w:top w:val="single" w:sz="4" w:space="0" w:color="auto"/>
              <w:bottom w:val="single" w:sz="4" w:space="0" w:color="auto"/>
            </w:tcBorders>
          </w:tcPr>
          <w:p w:rsidR="002162D5" w:rsidRDefault="00EF51D1">
            <w:pPr>
              <w:pStyle w:val="Compact"/>
            </w:pPr>
            <w:r>
              <w:t>58.1</w:t>
            </w:r>
          </w:p>
        </w:tc>
        <w:tc>
          <w:tcPr>
            <w:tcW w:w="0" w:type="auto"/>
            <w:tcBorders>
              <w:top w:val="single" w:sz="4" w:space="0" w:color="auto"/>
              <w:bottom w:val="single" w:sz="4" w:space="0" w:color="auto"/>
            </w:tcBorders>
          </w:tcPr>
          <w:p w:rsidR="002162D5" w:rsidRDefault="00EF51D1">
            <w:pPr>
              <w:pStyle w:val="Compact"/>
            </w:pPr>
            <w:r>
              <w:t>8.2</w:t>
            </w:r>
          </w:p>
        </w:tc>
        <w:tc>
          <w:tcPr>
            <w:tcW w:w="0" w:type="auto"/>
            <w:tcBorders>
              <w:top w:val="single" w:sz="4" w:space="0" w:color="auto"/>
              <w:bottom w:val="single" w:sz="4" w:space="0" w:color="auto"/>
            </w:tcBorders>
          </w:tcPr>
          <w:p w:rsidR="002162D5" w:rsidRDefault="00EF51D1">
            <w:pPr>
              <w:pStyle w:val="Compact"/>
            </w:pPr>
            <w:r>
              <w:t>33.7</w:t>
            </w:r>
          </w:p>
        </w:tc>
      </w:tr>
      <w:tr w:rsidR="002162D5" w:rsidTr="007E57C6">
        <w:tc>
          <w:tcPr>
            <w:tcW w:w="0" w:type="auto"/>
            <w:tcBorders>
              <w:top w:val="single" w:sz="4" w:space="0" w:color="auto"/>
              <w:bottom w:val="single" w:sz="4" w:space="0" w:color="auto"/>
            </w:tcBorders>
          </w:tcPr>
          <w:p w:rsidR="002162D5" w:rsidRDefault="00EF51D1">
            <w:pPr>
              <w:pStyle w:val="Compact"/>
            </w:pPr>
            <w:r>
              <w:t xml:space="preserve">B11 flat </w:t>
            </w:r>
            <m:oMath>
              <m:r>
                <w:rPr>
                  <w:rFonts w:ascii="Cambria Math" w:hAnsi="Cambria Math"/>
                </w:rPr>
                <m:t>ε</m:t>
              </m:r>
            </m:oMath>
          </w:p>
        </w:tc>
        <w:tc>
          <w:tcPr>
            <w:tcW w:w="0" w:type="auto"/>
            <w:tcBorders>
              <w:top w:val="single" w:sz="4" w:space="0" w:color="auto"/>
              <w:bottom w:val="single" w:sz="4" w:space="0" w:color="auto"/>
            </w:tcBorders>
          </w:tcPr>
          <w:p w:rsidR="002162D5" w:rsidRDefault="00EF51D1">
            <w:pPr>
              <w:pStyle w:val="Compact"/>
            </w:pPr>
            <w:r>
              <w:t>0.326</w:t>
            </w:r>
          </w:p>
        </w:tc>
        <w:tc>
          <w:tcPr>
            <w:tcW w:w="0" w:type="auto"/>
            <w:tcBorders>
              <w:top w:val="single" w:sz="4" w:space="0" w:color="auto"/>
              <w:bottom w:val="single" w:sz="4" w:space="0" w:color="auto"/>
            </w:tcBorders>
          </w:tcPr>
          <w:p w:rsidR="002162D5" w:rsidRDefault="00EF51D1">
            <w:pPr>
              <w:pStyle w:val="Compact"/>
            </w:pPr>
            <w:r>
              <w:t>0.494</w:t>
            </w:r>
          </w:p>
        </w:tc>
        <w:tc>
          <w:tcPr>
            <w:tcW w:w="0" w:type="auto"/>
            <w:tcBorders>
              <w:top w:val="single" w:sz="4" w:space="0" w:color="auto"/>
              <w:bottom w:val="single" w:sz="4" w:space="0" w:color="auto"/>
            </w:tcBorders>
          </w:tcPr>
          <w:p w:rsidR="002162D5" w:rsidRDefault="00EF51D1">
            <w:pPr>
              <w:pStyle w:val="Compact"/>
            </w:pPr>
            <w:r>
              <w:t>58.1</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15.1</m:t>
                </m:r>
              </m:oMath>
            </m:oMathPara>
          </w:p>
        </w:tc>
        <w:tc>
          <w:tcPr>
            <w:tcW w:w="0" w:type="auto"/>
            <w:tcBorders>
              <w:top w:val="single" w:sz="4" w:space="0" w:color="auto"/>
              <w:bottom w:val="single" w:sz="4" w:space="0" w:color="auto"/>
            </w:tcBorders>
          </w:tcPr>
          <w:p w:rsidR="002162D5" w:rsidRDefault="000B33ED">
            <w:pPr>
              <w:pStyle w:val="Compact"/>
            </w:pPr>
            <w:r>
              <w:t>33.7</w:t>
            </w:r>
          </w:p>
        </w:tc>
      </w:tr>
    </w:tbl>
    <w:p w:rsidR="002162D5" w:rsidRDefault="00EF51D1">
      <w:pPr>
        <w:pStyle w:val="a0"/>
      </w:pPr>
      <w:r>
        <w:t xml:space="preserve">Across the ten branches that retain the measured efficiency series, the human-time share of American log output growth lies between 53.5 and 61.2 per cent and the physical share between 4.3 and 12.0 per cent. The two intervals do not come close to overlapping, which is the sense in which the manuscript’s compositional claim is robust. The alternative shapes for </w:t>
      </w:r>
      <m:oMath>
        <m:r>
          <w:rPr>
            <w:rFonts w:ascii="Cambria Math" w:hAnsi="Cambria Math"/>
          </w:rPr>
          <m:t>u</m:t>
        </m:r>
      </m:oMath>
      <w:r>
        <w:t xml:space="preserve"> leave the shares untouched, since the shares depend on endpoints rather than on the path between them. Branch B11 is reported for completeness and is not a serious specification: holding conversion efficiency at its 1950 value for seventy-five years drives the physical share to </w:t>
      </w:r>
      <m:oMath>
        <m:r>
          <m:rPr>
            <m:sty m:val="p"/>
          </m:rPr>
          <w:rPr>
            <w:rFonts w:ascii="Cambria Math" w:hAnsi="Cambria Math"/>
          </w:rPr>
          <m:t>-</m:t>
        </m:r>
        <m:r>
          <w:rPr>
            <w:rFonts w:ascii="Cambria Math" w:hAnsi="Cambria Math"/>
          </w:rPr>
          <m:t>15.1</m:t>
        </m:r>
      </m:oMath>
      <w:r>
        <w:t xml:space="preserve"> per cent and demonstrates that the Ayres–Warr series is doing real work in the accounting.</w:t>
      </w:r>
    </w:p>
    <w:p w:rsidR="002162D5" w:rsidRPr="006A1AC7" w:rsidRDefault="00EF51D1">
      <w:pPr>
        <w:pStyle w:val="2"/>
        <w:rPr>
          <w:color w:val="auto"/>
        </w:rPr>
      </w:pPr>
      <w:bookmarkStart w:id="9" w:name="Xc436785a1b5f7c0330cabef7561b5117db97378"/>
      <w:bookmarkEnd w:id="8"/>
      <w:r w:rsidRPr="006A1AC7">
        <w:rPr>
          <w:color w:val="auto"/>
        </w:rPr>
        <w:t>A.7 Exact permutation on the benchmark data</w:t>
      </w:r>
    </w:p>
    <w:p w:rsidR="002162D5" w:rsidRDefault="00EF51D1">
      <w:pPr>
        <w:pStyle w:val="FirstParagraph"/>
      </w:pPr>
      <w:r>
        <w:t>The tests above use the annual reconstruction. The companion paper’s inference uses only the twelve published benchmark years, which contain no interpolation of any kind. Table A.6 repeats that exercise across the calibration band: with eleven inter-benchmark growth observations there are exactly 165 admissible partitions, so the permutation test is exact rather than sampled.</w:t>
      </w:r>
    </w:p>
    <w:p w:rsidR="007E57C6" w:rsidRDefault="007E57C6">
      <w:pPr>
        <w:pStyle w:val="a0"/>
        <w:rPr>
          <w:b/>
          <w:bCs/>
        </w:rPr>
      </w:pPr>
    </w:p>
    <w:p w:rsidR="007E57C6" w:rsidRDefault="007E57C6">
      <w:pPr>
        <w:pStyle w:val="a0"/>
        <w:rPr>
          <w:b/>
          <w:bCs/>
        </w:rPr>
      </w:pPr>
    </w:p>
    <w:p w:rsidR="007E57C6" w:rsidRDefault="007E57C6">
      <w:pPr>
        <w:pStyle w:val="a0"/>
        <w:rPr>
          <w:b/>
          <w:bCs/>
        </w:rPr>
      </w:pPr>
    </w:p>
    <w:p w:rsidR="002162D5" w:rsidRDefault="00EF51D1">
      <w:pPr>
        <w:pStyle w:val="a0"/>
      </w:pPr>
      <w:r>
        <w:rPr>
          <w:b/>
          <w:bCs/>
        </w:rPr>
        <w:t>Table A.6.</w:t>
      </w:r>
      <w:r>
        <w:t xml:space="preserve"> Exact permutation test on the eleven benchmark growth observations, difference in means across 1973.</w:t>
      </w:r>
    </w:p>
    <w:tbl>
      <w:tblPr>
        <w:tblStyle w:val="Table"/>
        <w:tblW w:w="5000" w:type="pct"/>
        <w:tblLook w:val="0020" w:firstRow="1" w:lastRow="0" w:firstColumn="0" w:lastColumn="0" w:noHBand="0" w:noVBand="0"/>
      </w:tblPr>
      <w:tblGrid>
        <w:gridCol w:w="2086"/>
        <w:gridCol w:w="1696"/>
        <w:gridCol w:w="836"/>
        <w:gridCol w:w="1688"/>
        <w:gridCol w:w="836"/>
        <w:gridCol w:w="1710"/>
        <w:gridCol w:w="724"/>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Branch</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Δ</m:t>
              </m:r>
              <m:r>
                <m:rPr>
                  <m:sty m:val="p"/>
                </m:rPr>
                <w:rPr>
                  <w:rFonts w:ascii="Cambria Math" w:hAnsi="Cambria Math"/>
                </w:rPr>
                <m:t>ln</m:t>
              </m:r>
              <m:r>
                <w:rPr>
                  <w:rFonts w:ascii="Cambria Math" w:hAnsi="Cambria Math"/>
                </w:rPr>
                <m:t>κ</m:t>
              </m:r>
            </m:oMath>
            <w:r>
              <w:t>: difference</w:t>
            </w:r>
          </w:p>
        </w:tc>
        <w:tc>
          <w:tcPr>
            <w:tcW w:w="0" w:type="auto"/>
            <w:tcBorders>
              <w:top w:val="single" w:sz="4" w:space="0" w:color="auto"/>
              <w:bottom w:val="single" w:sz="4" w:space="0" w:color="auto"/>
            </w:tcBorders>
          </w:tcPr>
          <w:p w:rsidR="002162D5" w:rsidRDefault="00EF51D1">
            <w:pPr>
              <w:pStyle w:val="Compact"/>
            </w:pPr>
            <w:r>
              <w:rPr>
                <w:i/>
                <w:iCs/>
              </w:rPr>
              <w:t>p</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Δ</m:t>
              </m:r>
              <m:r>
                <m:rPr>
                  <m:sty m:val="p"/>
                </m:rPr>
                <w:rPr>
                  <w:rFonts w:ascii="Cambria Math" w:hAnsi="Cambria Math"/>
                </w:rPr>
                <m:t>ln</m:t>
              </m:r>
              <m:r>
                <w:rPr>
                  <w:rFonts w:ascii="Cambria Math" w:hAnsi="Cambria Math"/>
                </w:rPr>
                <m:t>λ</m:t>
              </m:r>
            </m:oMath>
            <w:r>
              <w:t>: difference</w:t>
            </w:r>
          </w:p>
        </w:tc>
        <w:tc>
          <w:tcPr>
            <w:tcW w:w="0" w:type="auto"/>
            <w:tcBorders>
              <w:top w:val="single" w:sz="4" w:space="0" w:color="auto"/>
              <w:bottom w:val="single" w:sz="4" w:space="0" w:color="auto"/>
            </w:tcBorders>
          </w:tcPr>
          <w:p w:rsidR="002162D5" w:rsidRDefault="00EF51D1">
            <w:pPr>
              <w:pStyle w:val="Compact"/>
            </w:pPr>
            <w:r>
              <w:rPr>
                <w:i/>
                <w:iCs/>
              </w:rPr>
              <w:t>p</w:t>
            </w:r>
          </w:p>
        </w:tc>
        <w:tc>
          <w:tcPr>
            <w:tcW w:w="0" w:type="auto"/>
            <w:tcBorders>
              <w:top w:val="single" w:sz="4" w:space="0" w:color="auto"/>
              <w:bottom w:val="single" w:sz="4" w:space="0" w:color="auto"/>
            </w:tcBorders>
          </w:tcPr>
          <w:p w:rsidR="002162D5" w:rsidRDefault="00EF51D1">
            <w:pPr>
              <w:pStyle w:val="Compact"/>
            </w:pPr>
            <m:oMath>
              <m:r>
                <w:rPr>
                  <w:rFonts w:ascii="Cambria Math" w:hAnsi="Cambria Math"/>
                </w:rPr>
                <m:t>Δ</m:t>
              </m:r>
              <m:r>
                <m:rPr>
                  <m:sty m:val="p"/>
                </m:rPr>
                <w:rPr>
                  <w:rFonts w:ascii="Cambria Math" w:hAnsi="Cambria Math"/>
                </w:rPr>
                <m:t>ln</m:t>
              </m:r>
              <m:r>
                <w:rPr>
                  <w:rFonts w:ascii="Cambria Math" w:hAnsi="Cambria Math"/>
                </w:rPr>
                <m:t>α</m:t>
              </m:r>
            </m:oMath>
            <w:r>
              <w:t>: difference</w:t>
            </w:r>
          </w:p>
        </w:tc>
        <w:tc>
          <w:tcPr>
            <w:tcW w:w="0" w:type="auto"/>
            <w:tcBorders>
              <w:top w:val="single" w:sz="4" w:space="0" w:color="auto"/>
              <w:bottom w:val="single" w:sz="4" w:space="0" w:color="auto"/>
            </w:tcBorders>
          </w:tcPr>
          <w:p w:rsidR="002162D5" w:rsidRDefault="00EF51D1">
            <w:pPr>
              <w:pStyle w:val="Compact"/>
            </w:pPr>
            <w:r>
              <w:rPr>
                <w:i/>
                <w:iCs/>
              </w:rPr>
              <w:t>p</w:t>
            </w:r>
          </w:p>
        </w:tc>
      </w:tr>
      <w:tr w:rsidR="002162D5" w:rsidTr="007E57C6">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level </w:t>
            </w:r>
            <m:oMath>
              <m:r>
                <m:rPr>
                  <m:sty m:val="p"/>
                </m:rPr>
                <w:rPr>
                  <w:rFonts w:ascii="Cambria Math" w:hAnsi="Cambria Math"/>
                </w:rPr>
                <m:t>-</m:t>
              </m:r>
              <m:r>
                <w:rPr>
                  <w:rFonts w:ascii="Cambria Math" w:hAnsi="Cambria Math"/>
                </w:rPr>
                <m:t>40</m:t>
              </m:r>
            </m:oMath>
            <w:r>
              <w:t xml:space="preserve"> per cent</w:t>
            </w:r>
          </w:p>
        </w:tc>
        <w:tc>
          <w:tcPr>
            <w:tcW w:w="0" w:type="auto"/>
            <w:tcBorders>
              <w:top w:val="single" w:sz="4" w:space="0" w:color="auto"/>
              <w:bottom w:val="single" w:sz="4" w:space="0" w:color="auto"/>
            </w:tcBorders>
          </w:tcPr>
          <w:p w:rsidR="002162D5" w:rsidRDefault="00EF51D1">
            <w:pPr>
              <w:pStyle w:val="Compact"/>
            </w:pPr>
            <w:r>
              <w:t>2.719</w:t>
            </w:r>
          </w:p>
        </w:tc>
        <w:tc>
          <w:tcPr>
            <w:tcW w:w="0" w:type="auto"/>
            <w:tcBorders>
              <w:top w:val="single" w:sz="4" w:space="0" w:color="auto"/>
              <w:bottom w:val="single" w:sz="4" w:space="0" w:color="auto"/>
            </w:tcBorders>
          </w:tcPr>
          <w:p w:rsidR="002162D5" w:rsidRDefault="00EF51D1">
            <w:pPr>
              <w:pStyle w:val="Compact"/>
            </w:pPr>
            <w:r>
              <w:rPr>
                <w:b/>
                <w:bCs/>
              </w:rPr>
              <w:t>0.0061</w:t>
            </w:r>
          </w:p>
        </w:tc>
        <w:tc>
          <w:tcPr>
            <w:tcW w:w="0" w:type="auto"/>
            <w:tcBorders>
              <w:top w:val="single" w:sz="4" w:space="0" w:color="auto"/>
              <w:bottom w:val="single" w:sz="4" w:space="0" w:color="auto"/>
            </w:tcBorders>
          </w:tcPr>
          <w:p w:rsidR="002162D5" w:rsidRDefault="00EF51D1">
            <w:pPr>
              <w:pStyle w:val="Compact"/>
            </w:pPr>
            <w:r>
              <w:t>2.024</w:t>
            </w:r>
          </w:p>
        </w:tc>
        <w:tc>
          <w:tcPr>
            <w:tcW w:w="0" w:type="auto"/>
            <w:tcBorders>
              <w:top w:val="single" w:sz="4" w:space="0" w:color="auto"/>
              <w:bottom w:val="single" w:sz="4" w:space="0" w:color="auto"/>
            </w:tcBorders>
          </w:tcPr>
          <w:p w:rsidR="002162D5" w:rsidRDefault="00EF51D1">
            <w:pPr>
              <w:pStyle w:val="Compact"/>
            </w:pPr>
            <w:r>
              <w:rPr>
                <w:b/>
                <w:bCs/>
              </w:rPr>
              <w:t>0.0182</w:t>
            </w:r>
          </w:p>
        </w:tc>
        <w:tc>
          <w:tcPr>
            <w:tcW w:w="0" w:type="auto"/>
            <w:tcBorders>
              <w:top w:val="single" w:sz="4" w:space="0" w:color="auto"/>
              <w:bottom w:val="single" w:sz="4" w:space="0" w:color="auto"/>
            </w:tcBorders>
          </w:tcPr>
          <w:p w:rsidR="002162D5" w:rsidRDefault="00EF51D1">
            <w:pPr>
              <w:pStyle w:val="Compact"/>
            </w:pPr>
            <w:r>
              <w:t>0.184</w:t>
            </w:r>
          </w:p>
        </w:tc>
        <w:tc>
          <w:tcPr>
            <w:tcW w:w="0" w:type="auto"/>
            <w:tcBorders>
              <w:top w:val="single" w:sz="4" w:space="0" w:color="auto"/>
              <w:bottom w:val="single" w:sz="4" w:space="0" w:color="auto"/>
            </w:tcBorders>
          </w:tcPr>
          <w:p w:rsidR="002162D5" w:rsidRDefault="00EF51D1">
            <w:pPr>
              <w:pStyle w:val="Compact"/>
            </w:pPr>
            <w:r>
              <w:t>0.545</w:t>
            </w:r>
          </w:p>
        </w:tc>
      </w:tr>
      <w:tr w:rsidR="002162D5" w:rsidTr="007E57C6">
        <w:tc>
          <w:tcPr>
            <w:tcW w:w="0" w:type="auto"/>
            <w:tcBorders>
              <w:top w:val="single" w:sz="4" w:space="0" w:color="auto"/>
              <w:bottom w:val="single" w:sz="4" w:space="0" w:color="auto"/>
            </w:tcBorders>
          </w:tcPr>
          <w:p w:rsidR="002162D5" w:rsidRDefault="00EF51D1">
            <w:pPr>
              <w:pStyle w:val="Compact"/>
            </w:pPr>
            <w:r>
              <w:t>central calibration</w:t>
            </w:r>
          </w:p>
        </w:tc>
        <w:tc>
          <w:tcPr>
            <w:tcW w:w="0" w:type="auto"/>
            <w:tcBorders>
              <w:top w:val="single" w:sz="4" w:space="0" w:color="auto"/>
              <w:bottom w:val="single" w:sz="4" w:space="0" w:color="auto"/>
            </w:tcBorders>
          </w:tcPr>
          <w:p w:rsidR="002162D5" w:rsidRDefault="00EF51D1">
            <w:pPr>
              <w:pStyle w:val="Compact"/>
            </w:pPr>
            <w:r>
              <w:t>2.794</w:t>
            </w:r>
          </w:p>
        </w:tc>
        <w:tc>
          <w:tcPr>
            <w:tcW w:w="0" w:type="auto"/>
            <w:tcBorders>
              <w:top w:val="single" w:sz="4" w:space="0" w:color="auto"/>
              <w:bottom w:val="single" w:sz="4" w:space="0" w:color="auto"/>
            </w:tcBorders>
          </w:tcPr>
          <w:p w:rsidR="002162D5" w:rsidRDefault="00EF51D1">
            <w:pPr>
              <w:pStyle w:val="Compact"/>
            </w:pPr>
            <w:r>
              <w:rPr>
                <w:b/>
                <w:bCs/>
              </w:rPr>
              <w:t>0.0061</w:t>
            </w:r>
          </w:p>
        </w:tc>
        <w:tc>
          <w:tcPr>
            <w:tcW w:w="0" w:type="auto"/>
            <w:tcBorders>
              <w:top w:val="single" w:sz="4" w:space="0" w:color="auto"/>
              <w:bottom w:val="single" w:sz="4" w:space="0" w:color="auto"/>
            </w:tcBorders>
          </w:tcPr>
          <w:p w:rsidR="002162D5" w:rsidRDefault="00EF51D1">
            <w:pPr>
              <w:pStyle w:val="Compact"/>
            </w:pPr>
            <w:r>
              <w:t>2.024</w:t>
            </w:r>
          </w:p>
        </w:tc>
        <w:tc>
          <w:tcPr>
            <w:tcW w:w="0" w:type="auto"/>
            <w:tcBorders>
              <w:top w:val="single" w:sz="4" w:space="0" w:color="auto"/>
              <w:bottom w:val="single" w:sz="4" w:space="0" w:color="auto"/>
            </w:tcBorders>
          </w:tcPr>
          <w:p w:rsidR="002162D5" w:rsidRDefault="00EF51D1">
            <w:pPr>
              <w:pStyle w:val="Compact"/>
            </w:pPr>
            <w:r>
              <w:rPr>
                <w:b/>
                <w:bCs/>
              </w:rPr>
              <w:t>0.0182</w:t>
            </w:r>
          </w:p>
        </w:tc>
        <w:tc>
          <w:tcPr>
            <w:tcW w:w="0" w:type="auto"/>
            <w:tcBorders>
              <w:top w:val="single" w:sz="4" w:space="0" w:color="auto"/>
              <w:bottom w:val="single" w:sz="4" w:space="0" w:color="auto"/>
            </w:tcBorders>
          </w:tcPr>
          <w:p w:rsidR="002162D5" w:rsidRDefault="00EF51D1">
            <w:pPr>
              <w:pStyle w:val="Compact"/>
            </w:pPr>
            <w:r>
              <w:t>0.259</w:t>
            </w:r>
          </w:p>
        </w:tc>
        <w:tc>
          <w:tcPr>
            <w:tcW w:w="0" w:type="auto"/>
            <w:tcBorders>
              <w:top w:val="single" w:sz="4" w:space="0" w:color="auto"/>
              <w:bottom w:val="single" w:sz="4" w:space="0" w:color="auto"/>
            </w:tcBorders>
          </w:tcPr>
          <w:p w:rsidR="002162D5" w:rsidRDefault="00EF51D1">
            <w:pPr>
              <w:pStyle w:val="Compact"/>
            </w:pPr>
            <w:r>
              <w:t>0.309</w:t>
            </w:r>
          </w:p>
        </w:tc>
      </w:tr>
      <w:tr w:rsidR="002162D5" w:rsidTr="007E57C6">
        <w:tc>
          <w:tcPr>
            <w:tcW w:w="0" w:type="auto"/>
            <w:tcBorders>
              <w:top w:val="single" w:sz="4" w:space="0" w:color="auto"/>
              <w:bottom w:val="single" w:sz="4" w:space="0" w:color="auto"/>
            </w:tcBorders>
          </w:tcPr>
          <w:p w:rsidR="002162D5" w:rsidRDefault="00EF51D1">
            <w:pPr>
              <w:pStyle w:val="Compact"/>
            </w:pPr>
            <m:oMath>
              <m:r>
                <w:rPr>
                  <w:rFonts w:ascii="Cambria Math" w:hAnsi="Cambria Math"/>
                </w:rPr>
                <m:t>u</m:t>
              </m:r>
            </m:oMath>
            <w:r>
              <w:t xml:space="preserve"> level </w:t>
            </w:r>
            <m:oMath>
              <m:r>
                <m:rPr>
                  <m:sty m:val="p"/>
                </m:rPr>
                <w:rPr>
                  <w:rFonts w:ascii="Cambria Math" w:hAnsi="Cambria Math"/>
                </w:rPr>
                <m:t>+</m:t>
              </m:r>
              <m:r>
                <w:rPr>
                  <w:rFonts w:ascii="Cambria Math" w:hAnsi="Cambria Math"/>
                </w:rPr>
                <m:t>40</m:t>
              </m:r>
            </m:oMath>
            <w:r>
              <w:t xml:space="preserve"> per cent</w:t>
            </w:r>
          </w:p>
        </w:tc>
        <w:tc>
          <w:tcPr>
            <w:tcW w:w="0" w:type="auto"/>
            <w:tcBorders>
              <w:top w:val="single" w:sz="4" w:space="0" w:color="auto"/>
              <w:bottom w:val="single" w:sz="4" w:space="0" w:color="auto"/>
            </w:tcBorders>
          </w:tcPr>
          <w:p w:rsidR="002162D5" w:rsidRDefault="00EF51D1">
            <w:pPr>
              <w:pStyle w:val="Compact"/>
            </w:pPr>
            <w:r>
              <w:t>2.833</w:t>
            </w:r>
          </w:p>
        </w:tc>
        <w:tc>
          <w:tcPr>
            <w:tcW w:w="0" w:type="auto"/>
            <w:tcBorders>
              <w:top w:val="single" w:sz="4" w:space="0" w:color="auto"/>
              <w:bottom w:val="single" w:sz="4" w:space="0" w:color="auto"/>
            </w:tcBorders>
          </w:tcPr>
          <w:p w:rsidR="002162D5" w:rsidRDefault="00EF51D1">
            <w:pPr>
              <w:pStyle w:val="Compact"/>
            </w:pPr>
            <w:r>
              <w:rPr>
                <w:b/>
                <w:bCs/>
              </w:rPr>
              <w:t>0.0061</w:t>
            </w:r>
          </w:p>
        </w:tc>
        <w:tc>
          <w:tcPr>
            <w:tcW w:w="0" w:type="auto"/>
            <w:tcBorders>
              <w:top w:val="single" w:sz="4" w:space="0" w:color="auto"/>
              <w:bottom w:val="single" w:sz="4" w:space="0" w:color="auto"/>
            </w:tcBorders>
          </w:tcPr>
          <w:p w:rsidR="002162D5" w:rsidRDefault="00EF51D1">
            <w:pPr>
              <w:pStyle w:val="Compact"/>
            </w:pPr>
            <w:r>
              <w:t>2.024</w:t>
            </w:r>
          </w:p>
        </w:tc>
        <w:tc>
          <w:tcPr>
            <w:tcW w:w="0" w:type="auto"/>
            <w:tcBorders>
              <w:top w:val="single" w:sz="4" w:space="0" w:color="auto"/>
              <w:bottom w:val="single" w:sz="4" w:space="0" w:color="auto"/>
            </w:tcBorders>
          </w:tcPr>
          <w:p w:rsidR="002162D5" w:rsidRDefault="00EF51D1">
            <w:pPr>
              <w:pStyle w:val="Compact"/>
            </w:pPr>
            <w:r>
              <w:rPr>
                <w:b/>
                <w:bCs/>
              </w:rPr>
              <w:t>0.0182</w:t>
            </w:r>
          </w:p>
        </w:tc>
        <w:tc>
          <w:tcPr>
            <w:tcW w:w="0" w:type="auto"/>
            <w:tcBorders>
              <w:top w:val="single" w:sz="4" w:space="0" w:color="auto"/>
              <w:bottom w:val="single" w:sz="4" w:space="0" w:color="auto"/>
            </w:tcBorders>
          </w:tcPr>
          <w:p w:rsidR="002162D5" w:rsidRDefault="00EF51D1">
            <w:pPr>
              <w:pStyle w:val="Compact"/>
            </w:pPr>
            <w:r>
              <w:t>0.298</w:t>
            </w:r>
          </w:p>
        </w:tc>
        <w:tc>
          <w:tcPr>
            <w:tcW w:w="0" w:type="auto"/>
            <w:tcBorders>
              <w:top w:val="single" w:sz="4" w:space="0" w:color="auto"/>
              <w:bottom w:val="single" w:sz="4" w:space="0" w:color="auto"/>
            </w:tcBorders>
          </w:tcPr>
          <w:p w:rsidR="002162D5" w:rsidRDefault="00EF51D1">
            <w:pPr>
              <w:pStyle w:val="Compact"/>
            </w:pPr>
            <w:r>
              <w:t>0.182</w:t>
            </w:r>
          </w:p>
        </w:tc>
      </w:tr>
    </w:tbl>
    <w:p w:rsidR="002162D5" w:rsidRDefault="00EF51D1">
      <w:pPr>
        <w:pStyle w:val="a0"/>
      </w:pPr>
      <w:r>
        <w:rPr>
          <w:i/>
          <w:iCs/>
        </w:rPr>
        <w:t>Note.</w:t>
      </w:r>
      <w:r>
        <w:t xml:space="preserve"> Differences in percentage points per year, absolute value. All 165 partitions enumerated; no sampling.</w:t>
      </w:r>
    </w:p>
    <w:p w:rsidR="002162D5" w:rsidRDefault="00EF51D1">
      <w:pPr>
        <w:pStyle w:val="a0"/>
      </w:pPr>
      <w:r>
        <w:t xml:space="preserve">The coupling and valuation margins reject at the smallest attainable </w:t>
      </w:r>
      <w:r>
        <w:rPr>
          <w:i/>
          <w:iCs/>
        </w:rPr>
        <w:t>p</w:t>
      </w:r>
      <w:r>
        <w:t>-value in this design across the whole band; the appropriation margin does not reject anywhere in it. The annual and benchmark-only inferences agree, which is the point of reporting both.</w:t>
      </w:r>
    </w:p>
    <w:p w:rsidR="002162D5" w:rsidRDefault="00EF51D1">
      <w:pPr>
        <w:pStyle w:val="a0"/>
      </w:pPr>
      <w:r>
        <w:rPr>
          <w:noProof/>
        </w:rPr>
        <w:drawing>
          <wp:inline distT="0" distB="0" distL="0" distR="0" wp14:anchorId="6FE6F182" wp14:editId="09CC0E47">
            <wp:extent cx="5334000" cy="2238811"/>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out/figS1.png"/>
                    <pic:cNvPicPr>
                      <a:picLocks noChangeAspect="1" noChangeArrowheads="1"/>
                    </pic:cNvPicPr>
                  </pic:nvPicPr>
                  <pic:blipFill>
                    <a:blip r:embed="rId7"/>
                    <a:stretch>
                      <a:fillRect/>
                    </a:stretch>
                  </pic:blipFill>
                  <pic:spPr bwMode="auto">
                    <a:xfrm>
                      <a:off x="0" y="0"/>
                      <a:ext cx="5334000" cy="2238811"/>
                    </a:xfrm>
                    <a:prstGeom prst="rect">
                      <a:avLst/>
                    </a:prstGeom>
                    <a:noFill/>
                    <a:ln w="9525">
                      <a:noFill/>
                      <a:headEnd/>
                      <a:tailEnd/>
                    </a:ln>
                  </pic:spPr>
                </pic:pic>
              </a:graphicData>
            </a:graphic>
          </wp:inline>
        </w:drawing>
      </w:r>
    </w:p>
    <w:p w:rsidR="002162D5" w:rsidRDefault="00EF51D1" w:rsidP="00972551">
      <w:pPr>
        <w:pStyle w:val="a0"/>
      </w:pPr>
      <w:r>
        <w:rPr>
          <w:b/>
          <w:bCs/>
        </w:rPr>
        <w:t>Figure S1.</w:t>
      </w:r>
      <w:r>
        <w:t xml:space="preserve"> Robustness of the break results to the calibration. (a) Bootstrapped sup-Wald </w:t>
      </w:r>
      <w:r>
        <w:rPr>
          <w:i/>
          <w:iCs/>
        </w:rPr>
        <w:t>p</w:t>
      </w:r>
      <w:r>
        <w:t>-values for the three margins across the eleven branches, log scale, with the five per cent line marked. The coupling margin (filled red) rejects in every branch; the measured waged margin (open circles) rejects in none; the total appropriation margin (filled green) rejects only in the two branches that impose curvature on the unwaged path. (b) Human-time and physical shares of 1950–2024 log output growth by branch.</w:t>
      </w:r>
    </w:p>
    <w:p w:rsidR="002162D5" w:rsidRPr="006A1AC7" w:rsidRDefault="00EF51D1">
      <w:pPr>
        <w:pStyle w:val="1"/>
        <w:rPr>
          <w:color w:val="auto"/>
        </w:rPr>
      </w:pPr>
      <w:bookmarkStart w:id="10" w:name="X3318373d972ed0c36d789561216822d207dd27e"/>
      <w:bookmarkEnd w:id="1"/>
      <w:bookmarkEnd w:id="9"/>
      <w:r w:rsidRPr="006A1AC7">
        <w:rPr>
          <w:color w:val="auto"/>
        </w:rPr>
        <w:t>Section B. Outlier and influence diagnostics</w:t>
      </w:r>
    </w:p>
    <w:p w:rsidR="002162D5" w:rsidRPr="006A1AC7" w:rsidRDefault="00EF51D1">
      <w:pPr>
        <w:pStyle w:val="2"/>
        <w:rPr>
          <w:color w:val="auto"/>
        </w:rPr>
      </w:pPr>
      <w:bookmarkStart w:id="11" w:name="b.1-country-level-diagnostics"/>
      <w:r w:rsidRPr="006A1AC7">
        <w:rPr>
          <w:color w:val="auto"/>
        </w:rPr>
        <w:t>B.1 Country-level diagnostics</w:t>
      </w:r>
    </w:p>
    <w:p w:rsidR="002162D5" w:rsidRDefault="00EF51D1">
      <w:pPr>
        <w:pStyle w:val="FirstParagraph"/>
      </w:pPr>
      <w:r>
        <w:t>The encompassing specification of Table 4, Panel A of the manuscript regresses the realised change in the debt ratio over 2000–2024 on the debt ratio in 2000 and the demographic wedge, across thirty-two economies. Table B.1 gives the standard influence measures for every observation.</w:t>
      </w:r>
    </w:p>
    <w:p w:rsidR="007E57C6" w:rsidRDefault="007E57C6">
      <w:pPr>
        <w:pStyle w:val="a0"/>
        <w:rPr>
          <w:b/>
          <w:bCs/>
        </w:rPr>
      </w:pPr>
    </w:p>
    <w:p w:rsidR="007E57C6" w:rsidRDefault="007E57C6">
      <w:pPr>
        <w:pStyle w:val="a0"/>
        <w:rPr>
          <w:b/>
          <w:bCs/>
        </w:rPr>
      </w:pPr>
    </w:p>
    <w:p w:rsidR="007E57C6" w:rsidRDefault="007E57C6">
      <w:pPr>
        <w:pStyle w:val="a0"/>
        <w:rPr>
          <w:b/>
          <w:bCs/>
        </w:rPr>
      </w:pPr>
    </w:p>
    <w:p w:rsidR="002162D5" w:rsidRDefault="00EF51D1">
      <w:pPr>
        <w:pStyle w:val="a0"/>
      </w:pPr>
      <w:r>
        <w:rPr>
          <w:b/>
          <w:bCs/>
        </w:rPr>
        <w:t>Table B.1.</w:t>
      </w:r>
      <w:r>
        <w:t xml:space="preserve"> Influence diagnostics, encompassing specification, ordered by Cook’s distance. Conventional thresholds: Cook’s </w:t>
      </w:r>
      <m:oMath>
        <m:r>
          <w:rPr>
            <w:rFonts w:ascii="Cambria Math" w:hAnsi="Cambria Math"/>
          </w:rPr>
          <m:t>D</m:t>
        </m:r>
        <m:r>
          <m:rPr>
            <m:sty m:val="p"/>
          </m:rPr>
          <w:rPr>
            <w:rFonts w:ascii="Cambria Math" w:hAnsi="Cambria Math"/>
          </w:rPr>
          <m:t>&gt;</m:t>
        </m:r>
        <m:r>
          <w:rPr>
            <w:rFonts w:ascii="Cambria Math" w:hAnsi="Cambria Math"/>
          </w:rPr>
          <m:t>4</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0.125</m:t>
        </m:r>
      </m:oMath>
      <w:r>
        <w:t xml:space="preserve">; leverage </w:t>
      </w:r>
      <m:oMath>
        <m:sSub>
          <m:sSubPr>
            <m:ctrlPr>
              <w:rPr>
                <w:rFonts w:ascii="Cambria Math" w:hAnsi="Cambria Math"/>
              </w:rPr>
            </m:ctrlPr>
          </m:sSubPr>
          <m:e>
            <m:r>
              <w:rPr>
                <w:rFonts w:ascii="Cambria Math" w:hAnsi="Cambria Math"/>
              </w:rPr>
              <m:t>h</m:t>
            </m:r>
          </m:e>
          <m:sub>
            <m:r>
              <w:rPr>
                <w:rFonts w:ascii="Cambria Math" w:hAnsi="Cambria Math"/>
              </w:rPr>
              <m:t>ii</m:t>
            </m:r>
          </m:sub>
        </m:sSub>
        <m:r>
          <m:rPr>
            <m:sty m:val="p"/>
          </m:rPr>
          <w:rPr>
            <w:rFonts w:ascii="Cambria Math" w:hAnsi="Cambria Math"/>
          </w:rPr>
          <m:t>&gt;</m:t>
        </m:r>
        <m:r>
          <w:rPr>
            <w:rFonts w:ascii="Cambria Math" w:hAnsi="Cambria Math"/>
          </w:rPr>
          <m:t>2k</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0.188</m:t>
        </m:r>
      </m:oMath>
      <w:r>
        <w:t xml:space="preserve">; </w:t>
      </w:r>
      <m:oMath>
        <m:d>
          <m:dPr>
            <m:begChr m:val="|"/>
            <m:endChr m:val="|"/>
            <m:ctrlPr>
              <w:rPr>
                <w:rFonts w:ascii="Cambria Math" w:hAnsi="Cambria Math"/>
              </w:rPr>
            </m:ctrlPr>
          </m:dPr>
          <m:e>
            <m:r>
              <m:rPr>
                <m:nor/>
              </m:rPr>
              <m:t>DFFITS</m:t>
            </m:r>
          </m:e>
        </m:d>
        <m:r>
          <m:rPr>
            <m:sty m:val="p"/>
          </m:rPr>
          <w:rPr>
            <w:rFonts w:ascii="Cambria Math" w:hAnsi="Cambria Math"/>
          </w:rPr>
          <m:t>&gt;</m:t>
        </m:r>
        <m:r>
          <w:rPr>
            <w:rFonts w:ascii="Cambria Math" w:hAnsi="Cambria Math"/>
          </w:rPr>
          <m:t>2</m:t>
        </m:r>
        <m:rad>
          <m:radPr>
            <m:degHide m:val="1"/>
            <m:ctrlPr>
              <w:rPr>
                <w:rFonts w:ascii="Cambria Math" w:hAnsi="Cambria Math"/>
              </w:rPr>
            </m:ctrlPr>
          </m:radPr>
          <m:deg/>
          <m:e>
            <m:r>
              <w:rPr>
                <w:rFonts w:ascii="Cambria Math" w:hAnsi="Cambria Math"/>
              </w:rPr>
              <m:t>k</m:t>
            </m:r>
            <m:r>
              <m:rPr>
                <m:sty m:val="p"/>
              </m:rPr>
              <w:rPr>
                <w:rFonts w:ascii="Cambria Math" w:hAnsi="Cambria Math"/>
              </w:rPr>
              <m:t>/</m:t>
            </m:r>
            <m:r>
              <w:rPr>
                <w:rFonts w:ascii="Cambria Math" w:hAnsi="Cambria Math"/>
              </w:rPr>
              <m:t>n</m:t>
            </m:r>
          </m:e>
        </m:rad>
        <m:r>
          <m:rPr>
            <m:sty m:val="p"/>
          </m:rPr>
          <w:rPr>
            <w:rFonts w:ascii="Cambria Math" w:hAnsi="Cambria Math"/>
          </w:rPr>
          <m:t>=</m:t>
        </m:r>
        <m:r>
          <w:rPr>
            <w:rFonts w:ascii="Cambria Math" w:hAnsi="Cambria Math"/>
          </w:rPr>
          <m:t>0.612</m:t>
        </m:r>
      </m:oMath>
      <w:r>
        <w:t>.</w:t>
      </w:r>
    </w:p>
    <w:tbl>
      <w:tblPr>
        <w:tblStyle w:val="Table"/>
        <w:tblW w:w="5000" w:type="pct"/>
        <w:tblLook w:val="0020" w:firstRow="1" w:lastRow="0" w:firstColumn="0" w:lastColumn="0" w:noHBand="0" w:noVBand="0"/>
      </w:tblPr>
      <w:tblGrid>
        <w:gridCol w:w="1154"/>
        <w:gridCol w:w="732"/>
        <w:gridCol w:w="832"/>
        <w:gridCol w:w="821"/>
        <w:gridCol w:w="627"/>
        <w:gridCol w:w="832"/>
        <w:gridCol w:w="1090"/>
        <w:gridCol w:w="874"/>
        <w:gridCol w:w="778"/>
        <w:gridCol w:w="972"/>
        <w:gridCol w:w="864"/>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Economy</w:t>
            </w:r>
          </w:p>
        </w:tc>
        <w:tc>
          <w:tcPr>
            <w:tcW w:w="0" w:type="auto"/>
            <w:tcBorders>
              <w:top w:val="single" w:sz="4" w:space="0" w:color="auto"/>
              <w:bottom w:val="single" w:sz="4" w:space="0" w:color="auto"/>
            </w:tcBorders>
          </w:tcPr>
          <w:p w:rsidR="002162D5" w:rsidRDefault="00EF51D1">
            <w:pPr>
              <w:pStyle w:val="Compact"/>
            </w:pPr>
            <m:oMathPara>
              <m:oMath>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2000</m:t>
                    </m:r>
                  </m:sub>
                </m:sSub>
              </m:oMath>
            </m:oMathPara>
          </w:p>
        </w:tc>
        <w:tc>
          <w:tcPr>
            <w:tcW w:w="0" w:type="auto"/>
            <w:tcBorders>
              <w:top w:val="single" w:sz="4" w:space="0" w:color="auto"/>
              <w:bottom w:val="single" w:sz="4" w:space="0" w:color="auto"/>
            </w:tcBorders>
          </w:tcPr>
          <w:p w:rsidR="002162D5" w:rsidRDefault="00EF51D1">
            <w:pPr>
              <w:pStyle w:val="Compact"/>
            </w:pPr>
            <w:r>
              <w:t>wedge</w:t>
            </w:r>
          </w:p>
        </w:tc>
        <w:tc>
          <w:tcPr>
            <w:tcW w:w="0" w:type="auto"/>
            <w:tcBorders>
              <w:top w:val="single" w:sz="4" w:space="0" w:color="auto"/>
              <w:bottom w:val="single" w:sz="4" w:space="0" w:color="auto"/>
            </w:tcBorders>
          </w:tcPr>
          <w:p w:rsidR="002162D5" w:rsidRDefault="00EF51D1">
            <w:pPr>
              <w:pStyle w:val="Compact"/>
            </w:pPr>
            <w:r>
              <w:t xml:space="preserve">realised </w:t>
            </w:r>
            <m:oMath>
              <m:r>
                <w:rPr>
                  <w:rFonts w:ascii="Cambria Math" w:hAnsi="Cambria Math"/>
                </w:rPr>
                <m:t>ΔD</m:t>
              </m:r>
              <m:r>
                <m:rPr>
                  <m:sty m:val="p"/>
                </m:rPr>
                <w:rPr>
                  <w:rFonts w:ascii="Cambria Math" w:hAnsi="Cambria Math"/>
                </w:rPr>
                <m:t>/</m:t>
              </m:r>
              <m:r>
                <w:rPr>
                  <w:rFonts w:ascii="Cambria Math" w:hAnsi="Cambria Math"/>
                </w:rPr>
                <m:t>Y</m:t>
              </m:r>
            </m:oMath>
          </w:p>
        </w:tc>
        <w:tc>
          <w:tcPr>
            <w:tcW w:w="0" w:type="auto"/>
            <w:tcBorders>
              <w:top w:val="single" w:sz="4" w:space="0" w:color="auto"/>
              <w:bottom w:val="single" w:sz="4" w:space="0" w:color="auto"/>
            </w:tcBorders>
          </w:tcPr>
          <w:p w:rsidR="002162D5" w:rsidRDefault="00EF51D1">
            <w:pPr>
              <w:pStyle w:val="Compact"/>
            </w:pPr>
            <w:r>
              <w:t>fitted</w:t>
            </w:r>
          </w:p>
        </w:tc>
        <w:tc>
          <w:tcPr>
            <w:tcW w:w="0" w:type="auto"/>
            <w:tcBorders>
              <w:top w:val="single" w:sz="4" w:space="0" w:color="auto"/>
              <w:bottom w:val="single" w:sz="4" w:space="0" w:color="auto"/>
            </w:tcBorders>
          </w:tcPr>
          <w:p w:rsidR="002162D5" w:rsidRDefault="00EF51D1">
            <w:pPr>
              <w:pStyle w:val="Compact"/>
            </w:pPr>
            <w:r>
              <w:t>residual</w:t>
            </w:r>
          </w:p>
        </w:tc>
        <w:tc>
          <w:tcPr>
            <w:tcW w:w="0" w:type="auto"/>
            <w:tcBorders>
              <w:top w:val="single" w:sz="4" w:space="0" w:color="auto"/>
              <w:bottom w:val="single" w:sz="4" w:space="0" w:color="auto"/>
            </w:tcBorders>
          </w:tcPr>
          <w:p w:rsidR="002162D5" w:rsidRDefault="00EF51D1">
            <w:pPr>
              <w:pStyle w:val="Compact"/>
            </w:pPr>
            <w:r>
              <w:t>studentised</w:t>
            </w:r>
          </w:p>
        </w:tc>
        <w:tc>
          <w:tcPr>
            <w:tcW w:w="0" w:type="auto"/>
            <w:tcBorders>
              <w:top w:val="single" w:sz="4" w:space="0" w:color="auto"/>
              <w:bottom w:val="single" w:sz="4" w:space="0" w:color="auto"/>
            </w:tcBorders>
          </w:tcPr>
          <w:p w:rsidR="002162D5" w:rsidRDefault="00EF51D1">
            <w:pPr>
              <w:pStyle w:val="Compact"/>
            </w:pPr>
            <w:r>
              <w:t>leverage</w:t>
            </w:r>
          </w:p>
        </w:tc>
        <w:tc>
          <w:tcPr>
            <w:tcW w:w="0" w:type="auto"/>
            <w:tcBorders>
              <w:top w:val="single" w:sz="4" w:space="0" w:color="auto"/>
              <w:bottom w:val="single" w:sz="4" w:space="0" w:color="auto"/>
            </w:tcBorders>
          </w:tcPr>
          <w:p w:rsidR="002162D5" w:rsidRDefault="00EF51D1">
            <w:pPr>
              <w:pStyle w:val="Compact"/>
            </w:pPr>
            <w:r>
              <w:t xml:space="preserve">Cook’s </w:t>
            </w:r>
            <m:oMath>
              <m:r>
                <w:rPr>
                  <w:rFonts w:ascii="Cambria Math" w:hAnsi="Cambria Math"/>
                </w:rPr>
                <m:t>D</m:t>
              </m:r>
            </m:oMath>
          </w:p>
        </w:tc>
        <w:tc>
          <w:tcPr>
            <w:tcW w:w="0" w:type="auto"/>
            <w:tcBorders>
              <w:top w:val="single" w:sz="4" w:space="0" w:color="auto"/>
              <w:bottom w:val="single" w:sz="4" w:space="0" w:color="auto"/>
            </w:tcBorders>
          </w:tcPr>
          <w:p w:rsidR="002162D5" w:rsidRDefault="00EF51D1">
            <w:pPr>
              <w:pStyle w:val="Compact"/>
            </w:pPr>
            <w:r>
              <w:t>DFBETA (wedge)</w:t>
            </w:r>
          </w:p>
        </w:tc>
        <w:tc>
          <w:tcPr>
            <w:tcW w:w="0" w:type="auto"/>
            <w:tcBorders>
              <w:top w:val="single" w:sz="4" w:space="0" w:color="auto"/>
              <w:bottom w:val="single" w:sz="4" w:space="0" w:color="auto"/>
            </w:tcBorders>
          </w:tcPr>
          <w:p w:rsidR="002162D5" w:rsidRDefault="00EF51D1">
            <w:pPr>
              <w:pStyle w:val="Compact"/>
            </w:pPr>
            <w:r>
              <w:t>DFFITS</w:t>
            </w:r>
          </w:p>
        </w:tc>
      </w:tr>
      <w:tr w:rsidR="002162D5" w:rsidTr="007E57C6">
        <w:tc>
          <w:tcPr>
            <w:tcW w:w="0" w:type="auto"/>
            <w:tcBorders>
              <w:top w:val="single" w:sz="4" w:space="0" w:color="auto"/>
              <w:bottom w:val="single" w:sz="4" w:space="0" w:color="auto"/>
            </w:tcBorders>
          </w:tcPr>
          <w:p w:rsidR="002162D5" w:rsidRDefault="00EF51D1">
            <w:pPr>
              <w:pStyle w:val="Compact"/>
            </w:pPr>
            <w:r>
              <w:t>Japan</w:t>
            </w:r>
          </w:p>
        </w:tc>
        <w:tc>
          <w:tcPr>
            <w:tcW w:w="0" w:type="auto"/>
            <w:tcBorders>
              <w:top w:val="single" w:sz="4" w:space="0" w:color="auto"/>
              <w:bottom w:val="single" w:sz="4" w:space="0" w:color="auto"/>
            </w:tcBorders>
          </w:tcPr>
          <w:p w:rsidR="002162D5" w:rsidRDefault="00EF51D1">
            <w:pPr>
              <w:pStyle w:val="Compact"/>
            </w:pPr>
            <w:r>
              <w:t>137</w:t>
            </w:r>
          </w:p>
        </w:tc>
        <w:tc>
          <w:tcPr>
            <w:tcW w:w="0" w:type="auto"/>
            <w:tcBorders>
              <w:top w:val="single" w:sz="4" w:space="0" w:color="auto"/>
              <w:bottom w:val="single" w:sz="4" w:space="0" w:color="auto"/>
            </w:tcBorders>
          </w:tcPr>
          <w:p w:rsidR="002162D5" w:rsidRDefault="00EF51D1">
            <w:pPr>
              <w:pStyle w:val="Compact"/>
            </w:pPr>
            <w:r>
              <w:t>8.52</w:t>
            </w:r>
          </w:p>
        </w:tc>
        <w:tc>
          <w:tcPr>
            <w:tcW w:w="0" w:type="auto"/>
            <w:tcBorders>
              <w:top w:val="single" w:sz="4" w:space="0" w:color="auto"/>
              <w:bottom w:val="single" w:sz="4" w:space="0" w:color="auto"/>
            </w:tcBorders>
          </w:tcPr>
          <w:p w:rsidR="002162D5" w:rsidRDefault="00EF51D1">
            <w:pPr>
              <w:pStyle w:val="Compact"/>
            </w:pPr>
            <w:r>
              <w:t>114</w:t>
            </w:r>
          </w:p>
        </w:tc>
        <w:tc>
          <w:tcPr>
            <w:tcW w:w="0" w:type="auto"/>
            <w:tcBorders>
              <w:top w:val="single" w:sz="4" w:space="0" w:color="auto"/>
              <w:bottom w:val="single" w:sz="4" w:space="0" w:color="auto"/>
            </w:tcBorders>
          </w:tcPr>
          <w:p w:rsidR="002162D5" w:rsidRDefault="00EF51D1">
            <w:pPr>
              <w:pStyle w:val="Compact"/>
            </w:pPr>
            <w:r>
              <w:t>49.1</w:t>
            </w:r>
          </w:p>
        </w:tc>
        <w:tc>
          <w:tcPr>
            <w:tcW w:w="0" w:type="auto"/>
            <w:tcBorders>
              <w:top w:val="single" w:sz="4" w:space="0" w:color="auto"/>
              <w:bottom w:val="single" w:sz="4" w:space="0" w:color="auto"/>
            </w:tcBorders>
          </w:tcPr>
          <w:p w:rsidR="002162D5" w:rsidRDefault="00EF51D1">
            <w:pPr>
              <w:pStyle w:val="Compact"/>
            </w:pPr>
            <w:r>
              <w:t>64.9</w:t>
            </w:r>
          </w:p>
        </w:tc>
        <w:tc>
          <w:tcPr>
            <w:tcW w:w="0" w:type="auto"/>
            <w:tcBorders>
              <w:top w:val="single" w:sz="4" w:space="0" w:color="auto"/>
              <w:bottom w:val="single" w:sz="4" w:space="0" w:color="auto"/>
            </w:tcBorders>
          </w:tcPr>
          <w:p w:rsidR="002162D5" w:rsidRDefault="00EF51D1">
            <w:pPr>
              <w:pStyle w:val="Compact"/>
            </w:pPr>
            <w:r>
              <w:rPr>
                <w:b/>
                <w:bCs/>
              </w:rPr>
              <w:t>3.14</w:t>
            </w:r>
          </w:p>
        </w:tc>
        <w:tc>
          <w:tcPr>
            <w:tcW w:w="0" w:type="auto"/>
            <w:tcBorders>
              <w:top w:val="single" w:sz="4" w:space="0" w:color="auto"/>
              <w:bottom w:val="single" w:sz="4" w:space="0" w:color="auto"/>
            </w:tcBorders>
          </w:tcPr>
          <w:p w:rsidR="002162D5" w:rsidRDefault="00EF51D1">
            <w:pPr>
              <w:pStyle w:val="Compact"/>
            </w:pPr>
            <w:r>
              <w:rPr>
                <w:b/>
                <w:bCs/>
              </w:rPr>
              <w:t>0.330</w:t>
            </w:r>
          </w:p>
        </w:tc>
        <w:tc>
          <w:tcPr>
            <w:tcW w:w="0" w:type="auto"/>
            <w:tcBorders>
              <w:top w:val="single" w:sz="4" w:space="0" w:color="auto"/>
              <w:bottom w:val="single" w:sz="4" w:space="0" w:color="auto"/>
            </w:tcBorders>
          </w:tcPr>
          <w:p w:rsidR="002162D5" w:rsidRDefault="00EF51D1">
            <w:pPr>
              <w:pStyle w:val="Compact"/>
            </w:pPr>
            <w:r>
              <w:rPr>
                <w:b/>
                <w:bCs/>
              </w:rPr>
              <w:t>1.244</w:t>
            </w:r>
          </w:p>
        </w:tc>
        <w:tc>
          <w:tcPr>
            <w:tcW w:w="0" w:type="auto"/>
            <w:tcBorders>
              <w:top w:val="single" w:sz="4" w:space="0" w:color="auto"/>
              <w:bottom w:val="single" w:sz="4" w:space="0" w:color="auto"/>
            </w:tcBorders>
          </w:tcPr>
          <w:p w:rsidR="002162D5" w:rsidRDefault="00EF51D1">
            <w:pPr>
              <w:pStyle w:val="Compact"/>
            </w:pPr>
            <w:r>
              <w:t>0.659</w:t>
            </w:r>
          </w:p>
        </w:tc>
        <w:tc>
          <w:tcPr>
            <w:tcW w:w="0" w:type="auto"/>
            <w:tcBorders>
              <w:top w:val="single" w:sz="4" w:space="0" w:color="auto"/>
              <w:bottom w:val="single" w:sz="4" w:space="0" w:color="auto"/>
            </w:tcBorders>
          </w:tcPr>
          <w:p w:rsidR="002162D5" w:rsidRDefault="00EF51D1">
            <w:pPr>
              <w:pStyle w:val="Compact"/>
            </w:pPr>
            <w:r>
              <w:rPr>
                <w:b/>
                <w:bCs/>
              </w:rPr>
              <w:t>2.208</w:t>
            </w:r>
          </w:p>
        </w:tc>
      </w:tr>
      <w:tr w:rsidR="002162D5" w:rsidTr="007E57C6">
        <w:tc>
          <w:tcPr>
            <w:tcW w:w="0" w:type="auto"/>
            <w:tcBorders>
              <w:top w:val="single" w:sz="4" w:space="0" w:color="auto"/>
              <w:bottom w:val="single" w:sz="4" w:space="0" w:color="auto"/>
            </w:tcBorders>
          </w:tcPr>
          <w:p w:rsidR="002162D5" w:rsidRDefault="00EF51D1">
            <w:pPr>
              <w:pStyle w:val="Compact"/>
            </w:pPr>
            <w:r>
              <w:t>Belgium</w:t>
            </w:r>
          </w:p>
        </w:tc>
        <w:tc>
          <w:tcPr>
            <w:tcW w:w="0" w:type="auto"/>
            <w:tcBorders>
              <w:top w:val="single" w:sz="4" w:space="0" w:color="auto"/>
              <w:bottom w:val="single" w:sz="4" w:space="0" w:color="auto"/>
            </w:tcBorders>
          </w:tcPr>
          <w:p w:rsidR="002162D5" w:rsidRDefault="00EF51D1">
            <w:pPr>
              <w:pStyle w:val="Compact"/>
            </w:pPr>
            <w:r>
              <w:t>108</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3.48</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m:t>
                </m:r>
              </m:oMath>
            </m:oMathPara>
          </w:p>
        </w:tc>
        <w:tc>
          <w:tcPr>
            <w:tcW w:w="0" w:type="auto"/>
            <w:tcBorders>
              <w:top w:val="single" w:sz="4" w:space="0" w:color="auto"/>
              <w:bottom w:val="single" w:sz="4" w:space="0" w:color="auto"/>
            </w:tcBorders>
          </w:tcPr>
          <w:p w:rsidR="002162D5" w:rsidRDefault="00EF51D1">
            <w:pPr>
              <w:pStyle w:val="Compact"/>
            </w:pPr>
            <w:r>
              <w:t>32.0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35.0</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1.33</m:t>
                </m:r>
              </m:oMath>
            </m:oMathPara>
          </w:p>
        </w:tc>
        <w:tc>
          <w:tcPr>
            <w:tcW w:w="0" w:type="auto"/>
            <w:tcBorders>
              <w:top w:val="single" w:sz="4" w:space="0" w:color="auto"/>
              <w:bottom w:val="single" w:sz="4" w:space="0" w:color="auto"/>
            </w:tcBorders>
          </w:tcPr>
          <w:p w:rsidR="002162D5" w:rsidRDefault="00EF51D1">
            <w:pPr>
              <w:pStyle w:val="Compact"/>
            </w:pPr>
            <w:r>
              <w:t>0.144</w:t>
            </w:r>
          </w:p>
        </w:tc>
        <w:tc>
          <w:tcPr>
            <w:tcW w:w="0" w:type="auto"/>
            <w:tcBorders>
              <w:top w:val="single" w:sz="4" w:space="0" w:color="auto"/>
              <w:bottom w:val="single" w:sz="4" w:space="0" w:color="auto"/>
            </w:tcBorders>
          </w:tcPr>
          <w:p w:rsidR="002162D5" w:rsidRDefault="00EF51D1">
            <w:pPr>
              <w:pStyle w:val="Compact"/>
            </w:pPr>
            <w:r>
              <w:t>0.097</w:t>
            </w:r>
          </w:p>
        </w:tc>
        <w:tc>
          <w:tcPr>
            <w:tcW w:w="0" w:type="auto"/>
            <w:tcBorders>
              <w:top w:val="single" w:sz="4" w:space="0" w:color="auto"/>
              <w:bottom w:val="single" w:sz="4" w:space="0" w:color="auto"/>
            </w:tcBorders>
          </w:tcPr>
          <w:p w:rsidR="002162D5" w:rsidRDefault="00EF51D1">
            <w:pPr>
              <w:pStyle w:val="Compact"/>
            </w:pPr>
            <w:r>
              <w:t>0.042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0.545</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China</w:t>
            </w:r>
          </w:p>
        </w:tc>
        <w:tc>
          <w:tcPr>
            <w:tcW w:w="0" w:type="auto"/>
            <w:tcBorders>
              <w:top w:val="single" w:sz="4" w:space="0" w:color="auto"/>
              <w:bottom w:val="single" w:sz="4" w:space="0" w:color="auto"/>
            </w:tcBorders>
          </w:tcPr>
          <w:p w:rsidR="002162D5" w:rsidRDefault="00EF51D1">
            <w:pPr>
              <w:pStyle w:val="Compact"/>
            </w:pPr>
            <w:r>
              <w:t>22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7.10</m:t>
                </m:r>
              </m:oMath>
            </m:oMathPara>
          </w:p>
        </w:tc>
        <w:tc>
          <w:tcPr>
            <w:tcW w:w="0" w:type="auto"/>
            <w:tcBorders>
              <w:top w:val="single" w:sz="4" w:space="0" w:color="auto"/>
              <w:bottom w:val="single" w:sz="4" w:space="0" w:color="auto"/>
            </w:tcBorders>
          </w:tcPr>
          <w:p w:rsidR="002162D5" w:rsidRDefault="00EF51D1">
            <w:pPr>
              <w:pStyle w:val="Compact"/>
            </w:pPr>
            <w:r>
              <w:t>66</w:t>
            </w:r>
          </w:p>
        </w:tc>
        <w:tc>
          <w:tcPr>
            <w:tcW w:w="0" w:type="auto"/>
            <w:tcBorders>
              <w:top w:val="single" w:sz="4" w:space="0" w:color="auto"/>
              <w:bottom w:val="single" w:sz="4" w:space="0" w:color="auto"/>
            </w:tcBorders>
          </w:tcPr>
          <w:p w:rsidR="002162D5" w:rsidRDefault="00EF51D1">
            <w:pPr>
              <w:pStyle w:val="Compact"/>
            </w:pPr>
            <w:r>
              <w:t>20.6</w:t>
            </w:r>
          </w:p>
        </w:tc>
        <w:tc>
          <w:tcPr>
            <w:tcW w:w="0" w:type="auto"/>
            <w:tcBorders>
              <w:top w:val="single" w:sz="4" w:space="0" w:color="auto"/>
              <w:bottom w:val="single" w:sz="4" w:space="0" w:color="auto"/>
            </w:tcBorders>
          </w:tcPr>
          <w:p w:rsidR="002162D5" w:rsidRDefault="00EF51D1">
            <w:pPr>
              <w:pStyle w:val="Compact"/>
            </w:pPr>
            <w:r>
              <w:t>45.4</w:t>
            </w:r>
          </w:p>
        </w:tc>
        <w:tc>
          <w:tcPr>
            <w:tcW w:w="0" w:type="auto"/>
            <w:tcBorders>
              <w:top w:val="single" w:sz="4" w:space="0" w:color="auto"/>
              <w:bottom w:val="single" w:sz="4" w:space="0" w:color="auto"/>
            </w:tcBorders>
          </w:tcPr>
          <w:p w:rsidR="002162D5" w:rsidRDefault="00EF51D1">
            <w:pPr>
              <w:pStyle w:val="Compact"/>
            </w:pPr>
            <w:r>
              <w:t>1.69</w:t>
            </w:r>
          </w:p>
        </w:tc>
        <w:tc>
          <w:tcPr>
            <w:tcW w:w="0" w:type="auto"/>
            <w:tcBorders>
              <w:top w:val="single" w:sz="4" w:space="0" w:color="auto"/>
              <w:bottom w:val="single" w:sz="4" w:space="0" w:color="auto"/>
            </w:tcBorders>
          </w:tcPr>
          <w:p w:rsidR="002162D5" w:rsidRDefault="00EF51D1">
            <w:pPr>
              <w:pStyle w:val="Compact"/>
            </w:pPr>
            <w:r>
              <w:t>0.079</w:t>
            </w:r>
          </w:p>
        </w:tc>
        <w:tc>
          <w:tcPr>
            <w:tcW w:w="0" w:type="auto"/>
            <w:tcBorders>
              <w:top w:val="single" w:sz="4" w:space="0" w:color="auto"/>
              <w:bottom w:val="single" w:sz="4" w:space="0" w:color="auto"/>
            </w:tcBorders>
          </w:tcPr>
          <w:p w:rsidR="002162D5" w:rsidRDefault="00EF51D1">
            <w:pPr>
              <w:pStyle w:val="Compact"/>
            </w:pPr>
            <w:r>
              <w:t>0.077</w:t>
            </w:r>
          </w:p>
        </w:tc>
        <w:tc>
          <w:tcPr>
            <w:tcW w:w="0" w:type="auto"/>
            <w:tcBorders>
              <w:top w:val="single" w:sz="4" w:space="0" w:color="auto"/>
              <w:bottom w:val="single" w:sz="4" w:space="0" w:color="auto"/>
            </w:tcBorders>
          </w:tcPr>
          <w:p w:rsidR="002162D5" w:rsidRDefault="00EF51D1">
            <w:pPr>
              <w:pStyle w:val="Compact"/>
            </w:pPr>
            <w:r>
              <w:t>0.083</w:t>
            </w:r>
          </w:p>
        </w:tc>
        <w:tc>
          <w:tcPr>
            <w:tcW w:w="0" w:type="auto"/>
            <w:tcBorders>
              <w:top w:val="single" w:sz="4" w:space="0" w:color="auto"/>
              <w:bottom w:val="single" w:sz="4" w:space="0" w:color="auto"/>
            </w:tcBorders>
          </w:tcPr>
          <w:p w:rsidR="002162D5" w:rsidRDefault="00EF51D1">
            <w:pPr>
              <w:pStyle w:val="Compact"/>
            </w:pPr>
            <w:r>
              <w:t>0.497</w:t>
            </w:r>
          </w:p>
        </w:tc>
      </w:tr>
      <w:tr w:rsidR="002162D5" w:rsidTr="007E57C6">
        <w:tc>
          <w:tcPr>
            <w:tcW w:w="0" w:type="auto"/>
            <w:tcBorders>
              <w:top w:val="single" w:sz="4" w:space="0" w:color="auto"/>
              <w:bottom w:val="single" w:sz="4" w:space="0" w:color="auto"/>
            </w:tcBorders>
          </w:tcPr>
          <w:p w:rsidR="002162D5" w:rsidRDefault="00EF51D1">
            <w:pPr>
              <w:pStyle w:val="Compact"/>
            </w:pPr>
            <w:r>
              <w:t>Türkiye</w:t>
            </w:r>
          </w:p>
        </w:tc>
        <w:tc>
          <w:tcPr>
            <w:tcW w:w="0" w:type="auto"/>
            <w:tcBorders>
              <w:top w:val="single" w:sz="4" w:space="0" w:color="auto"/>
              <w:bottom w:val="single" w:sz="4" w:space="0" w:color="auto"/>
            </w:tcBorders>
          </w:tcPr>
          <w:p w:rsidR="002162D5" w:rsidRDefault="00EF51D1">
            <w:pPr>
              <w:pStyle w:val="Compact"/>
            </w:pPr>
            <w:r>
              <w:t>51</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19.59</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25</m:t>
                </m:r>
              </m:oMath>
            </m:oMathPara>
          </w:p>
        </w:tc>
        <w:tc>
          <w:tcPr>
            <w:tcW w:w="0" w:type="auto"/>
            <w:tcBorders>
              <w:top w:val="single" w:sz="4" w:space="0" w:color="auto"/>
              <w:bottom w:val="single" w:sz="4" w:space="0" w:color="auto"/>
            </w:tcBorders>
          </w:tcPr>
          <w:p w:rsidR="002162D5" w:rsidRDefault="00EF51D1">
            <w:pPr>
              <w:pStyle w:val="Compact"/>
            </w:pPr>
            <w:r>
              <w:t>7.7</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32.7</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1.21</m:t>
                </m:r>
              </m:oMath>
            </m:oMathPara>
          </w:p>
        </w:tc>
        <w:tc>
          <w:tcPr>
            <w:tcW w:w="0" w:type="auto"/>
            <w:tcBorders>
              <w:top w:val="single" w:sz="4" w:space="0" w:color="auto"/>
              <w:bottom w:val="single" w:sz="4" w:space="0" w:color="auto"/>
            </w:tcBorders>
          </w:tcPr>
          <w:p w:rsidR="002162D5" w:rsidRDefault="00EF51D1">
            <w:pPr>
              <w:pStyle w:val="Compact"/>
            </w:pPr>
            <w:r>
              <w:t>0.103</w:t>
            </w:r>
          </w:p>
        </w:tc>
        <w:tc>
          <w:tcPr>
            <w:tcW w:w="0" w:type="auto"/>
            <w:tcBorders>
              <w:top w:val="single" w:sz="4" w:space="0" w:color="auto"/>
              <w:bottom w:val="single" w:sz="4" w:space="0" w:color="auto"/>
            </w:tcBorders>
          </w:tcPr>
          <w:p w:rsidR="002162D5" w:rsidRDefault="00EF51D1">
            <w:pPr>
              <w:pStyle w:val="Compact"/>
            </w:pPr>
            <w:r>
              <w:t>0.055</w:t>
            </w:r>
          </w:p>
        </w:tc>
        <w:tc>
          <w:tcPr>
            <w:tcW w:w="0" w:type="auto"/>
            <w:tcBorders>
              <w:top w:val="single" w:sz="4" w:space="0" w:color="auto"/>
              <w:bottom w:val="single" w:sz="4" w:space="0" w:color="auto"/>
            </w:tcBorders>
          </w:tcPr>
          <w:p w:rsidR="002162D5" w:rsidRDefault="00EF51D1">
            <w:pPr>
              <w:pStyle w:val="Compact"/>
            </w:pPr>
            <w:r>
              <w:t>0.340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0.410</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Israel</w:t>
            </w:r>
          </w:p>
        </w:tc>
        <w:tc>
          <w:tcPr>
            <w:tcW w:w="0" w:type="auto"/>
            <w:tcBorders>
              <w:top w:val="single" w:sz="4" w:space="0" w:color="auto"/>
              <w:bottom w:val="single" w:sz="4" w:space="0" w:color="auto"/>
            </w:tcBorders>
          </w:tcPr>
          <w:p w:rsidR="002162D5" w:rsidRDefault="00EF51D1">
            <w:pPr>
              <w:pStyle w:val="Compact"/>
            </w:pPr>
            <w:r>
              <w:t>82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21.04</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13</m:t>
                </m:r>
              </m:oMath>
            </m:oMathPara>
          </w:p>
        </w:tc>
        <w:tc>
          <w:tcPr>
            <w:tcW w:w="0" w:type="auto"/>
            <w:tcBorders>
              <w:top w:val="single" w:sz="4" w:space="0" w:color="auto"/>
              <w:bottom w:val="single" w:sz="4" w:space="0" w:color="auto"/>
            </w:tcBorders>
          </w:tcPr>
          <w:p w:rsidR="002162D5" w:rsidRDefault="00EF51D1">
            <w:pPr>
              <w:pStyle w:val="Compact"/>
            </w:pPr>
            <w:r>
              <w:t>8.5</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21.5</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0.82</m:t>
                </m:r>
              </m:oMath>
            </m:oMathPara>
          </w:p>
        </w:tc>
        <w:tc>
          <w:tcPr>
            <w:tcW w:w="0" w:type="auto"/>
            <w:tcBorders>
              <w:top w:val="single" w:sz="4" w:space="0" w:color="auto"/>
              <w:bottom w:val="single" w:sz="4" w:space="0" w:color="auto"/>
            </w:tcBorders>
          </w:tcPr>
          <w:p w:rsidR="002162D5" w:rsidRDefault="00EF51D1">
            <w:pPr>
              <w:pStyle w:val="Compact"/>
            </w:pPr>
            <w:r>
              <w:t>0.184</w:t>
            </w:r>
          </w:p>
        </w:tc>
        <w:tc>
          <w:tcPr>
            <w:tcW w:w="0" w:type="auto"/>
            <w:tcBorders>
              <w:top w:val="single" w:sz="4" w:space="0" w:color="auto"/>
              <w:bottom w:val="single" w:sz="4" w:space="0" w:color="auto"/>
            </w:tcBorders>
          </w:tcPr>
          <w:p w:rsidR="002162D5" w:rsidRDefault="00EF51D1">
            <w:pPr>
              <w:pStyle w:val="Compact"/>
            </w:pPr>
            <w:r>
              <w:t>0.051</w:t>
            </w:r>
          </w:p>
        </w:tc>
        <w:tc>
          <w:tcPr>
            <w:tcW w:w="0" w:type="auto"/>
            <w:tcBorders>
              <w:top w:val="single" w:sz="4" w:space="0" w:color="auto"/>
              <w:bottom w:val="single" w:sz="4" w:space="0" w:color="auto"/>
            </w:tcBorders>
          </w:tcPr>
          <w:p w:rsidR="002162D5" w:rsidRDefault="00EF51D1">
            <w:pPr>
              <w:pStyle w:val="Compact"/>
            </w:pPr>
            <w:r>
              <w:t>0.320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0.389</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Denmark</w:t>
            </w:r>
          </w:p>
        </w:tc>
        <w:tc>
          <w:tcPr>
            <w:tcW w:w="0" w:type="auto"/>
            <w:tcBorders>
              <w:top w:val="single" w:sz="4" w:space="0" w:color="auto"/>
              <w:bottom w:val="single" w:sz="4" w:space="0" w:color="auto"/>
            </w:tcBorders>
          </w:tcPr>
          <w:p w:rsidR="002162D5" w:rsidRDefault="00EF51D1">
            <w:pPr>
              <w:pStyle w:val="Compact"/>
            </w:pPr>
            <w:r>
              <w:t>52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3.00</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21</m:t>
                </m:r>
              </m:oMath>
            </m:oMathPara>
          </w:p>
        </w:tc>
        <w:tc>
          <w:tcPr>
            <w:tcW w:w="0" w:type="auto"/>
            <w:tcBorders>
              <w:top w:val="single" w:sz="4" w:space="0" w:color="auto"/>
              <w:bottom w:val="single" w:sz="4" w:space="0" w:color="auto"/>
            </w:tcBorders>
          </w:tcPr>
          <w:p w:rsidR="002162D5" w:rsidRDefault="00EF51D1">
            <w:pPr>
              <w:pStyle w:val="Compact"/>
            </w:pPr>
            <w:r>
              <w:t>28.0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49.0</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1.80</m:t>
                </m:r>
              </m:oMath>
            </m:oMathPara>
          </w:p>
        </w:tc>
        <w:tc>
          <w:tcPr>
            <w:tcW w:w="0" w:type="auto"/>
            <w:tcBorders>
              <w:top w:val="single" w:sz="4" w:space="0" w:color="auto"/>
              <w:bottom w:val="single" w:sz="4" w:space="0" w:color="auto"/>
            </w:tcBorders>
          </w:tcPr>
          <w:p w:rsidR="002162D5" w:rsidRDefault="00EF51D1">
            <w:pPr>
              <w:pStyle w:val="Compact"/>
            </w:pPr>
            <w:r>
              <w:t>0.038</w:t>
            </w:r>
          </w:p>
        </w:tc>
        <w:tc>
          <w:tcPr>
            <w:tcW w:w="0" w:type="auto"/>
            <w:tcBorders>
              <w:top w:val="single" w:sz="4" w:space="0" w:color="auto"/>
              <w:bottom w:val="single" w:sz="4" w:space="0" w:color="auto"/>
            </w:tcBorders>
          </w:tcPr>
          <w:p w:rsidR="002162D5" w:rsidRDefault="00EF51D1">
            <w:pPr>
              <w:pStyle w:val="Compact"/>
            </w:pPr>
            <w:r>
              <w:t>0.040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0.146</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0.358</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South Africa</w:t>
            </w:r>
          </w:p>
        </w:tc>
        <w:tc>
          <w:tcPr>
            <w:tcW w:w="0" w:type="auto"/>
            <w:tcBorders>
              <w:top w:val="single" w:sz="4" w:space="0" w:color="auto"/>
              <w:bottom w:val="single" w:sz="4" w:space="0" w:color="auto"/>
            </w:tcBorders>
          </w:tcPr>
          <w:p w:rsidR="002162D5" w:rsidRDefault="00EF51D1">
            <w:pPr>
              <w:pStyle w:val="Compact"/>
            </w:pPr>
            <w:r>
              <w:t>42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19.88</m:t>
                </m:r>
              </m:oMath>
            </m:oMathPara>
          </w:p>
        </w:tc>
        <w:tc>
          <w:tcPr>
            <w:tcW w:w="0" w:type="auto"/>
            <w:tcBorders>
              <w:top w:val="single" w:sz="4" w:space="0" w:color="auto"/>
              <w:bottom w:val="single" w:sz="4" w:space="0" w:color="auto"/>
            </w:tcBorders>
          </w:tcPr>
          <w:p w:rsidR="002162D5" w:rsidRDefault="00EF51D1">
            <w:pPr>
              <w:pStyle w:val="Compact"/>
            </w:pPr>
            <w:r>
              <w:t>33</w:t>
            </w:r>
          </w:p>
        </w:tc>
        <w:tc>
          <w:tcPr>
            <w:tcW w:w="0" w:type="auto"/>
            <w:tcBorders>
              <w:top w:val="single" w:sz="4" w:space="0" w:color="auto"/>
              <w:bottom w:val="single" w:sz="4" w:space="0" w:color="auto"/>
            </w:tcBorders>
          </w:tcPr>
          <w:p w:rsidR="002162D5" w:rsidRDefault="00EF51D1">
            <w:pPr>
              <w:pStyle w:val="Compact"/>
            </w:pPr>
            <w:r>
              <w:t>6.6</w:t>
            </w:r>
          </w:p>
        </w:tc>
        <w:tc>
          <w:tcPr>
            <w:tcW w:w="0" w:type="auto"/>
            <w:tcBorders>
              <w:top w:val="single" w:sz="4" w:space="0" w:color="auto"/>
              <w:bottom w:val="single" w:sz="4" w:space="0" w:color="auto"/>
            </w:tcBorders>
          </w:tcPr>
          <w:p w:rsidR="002162D5" w:rsidRDefault="00EF51D1">
            <w:pPr>
              <w:pStyle w:val="Compact"/>
            </w:pPr>
            <w:r>
              <w:t>26.4</w:t>
            </w:r>
          </w:p>
        </w:tc>
        <w:tc>
          <w:tcPr>
            <w:tcW w:w="0" w:type="auto"/>
            <w:tcBorders>
              <w:top w:val="single" w:sz="4" w:space="0" w:color="auto"/>
              <w:bottom w:val="single" w:sz="4" w:space="0" w:color="auto"/>
            </w:tcBorders>
          </w:tcPr>
          <w:p w:rsidR="002162D5" w:rsidRDefault="00EF51D1">
            <w:pPr>
              <w:pStyle w:val="Compact"/>
            </w:pPr>
            <w:r>
              <w:t>0.97</w:t>
            </w:r>
          </w:p>
        </w:tc>
        <w:tc>
          <w:tcPr>
            <w:tcW w:w="0" w:type="auto"/>
            <w:tcBorders>
              <w:top w:val="single" w:sz="4" w:space="0" w:color="auto"/>
              <w:bottom w:val="single" w:sz="4" w:space="0" w:color="auto"/>
            </w:tcBorders>
          </w:tcPr>
          <w:p w:rsidR="002162D5" w:rsidRDefault="00EF51D1">
            <w:pPr>
              <w:pStyle w:val="Compact"/>
            </w:pPr>
            <w:r>
              <w:t>0.105</w:t>
            </w:r>
          </w:p>
        </w:tc>
        <w:tc>
          <w:tcPr>
            <w:tcW w:w="0" w:type="auto"/>
            <w:tcBorders>
              <w:top w:val="single" w:sz="4" w:space="0" w:color="auto"/>
              <w:bottom w:val="single" w:sz="4" w:space="0" w:color="auto"/>
            </w:tcBorders>
          </w:tcPr>
          <w:p w:rsidR="002162D5" w:rsidRDefault="00EF51D1">
            <w:pPr>
              <w:pStyle w:val="Compact"/>
            </w:pPr>
            <w:r>
              <w:t>0.037</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0.263</m:t>
                </m:r>
              </m:oMath>
            </m:oMathPara>
          </w:p>
        </w:tc>
        <w:tc>
          <w:tcPr>
            <w:tcW w:w="0" w:type="auto"/>
            <w:tcBorders>
              <w:top w:val="single" w:sz="4" w:space="0" w:color="auto"/>
              <w:bottom w:val="single" w:sz="4" w:space="0" w:color="auto"/>
            </w:tcBorders>
          </w:tcPr>
          <w:p w:rsidR="002162D5" w:rsidRDefault="00EF51D1">
            <w:pPr>
              <w:pStyle w:val="Compact"/>
            </w:pPr>
            <w:r>
              <w:t>0.331</w:t>
            </w:r>
          </w:p>
        </w:tc>
      </w:tr>
      <w:tr w:rsidR="002162D5" w:rsidTr="007E57C6">
        <w:tc>
          <w:tcPr>
            <w:tcW w:w="0" w:type="auto"/>
            <w:tcBorders>
              <w:top w:val="single" w:sz="4" w:space="0" w:color="auto"/>
              <w:bottom w:val="single" w:sz="4" w:space="0" w:color="auto"/>
            </w:tcBorders>
          </w:tcPr>
          <w:p w:rsidR="002162D5" w:rsidRDefault="00EF51D1">
            <w:pPr>
              <w:pStyle w:val="Compact"/>
            </w:pPr>
            <w:r>
              <w:t>United Kingdom</w:t>
            </w:r>
          </w:p>
        </w:tc>
        <w:tc>
          <w:tcPr>
            <w:tcW w:w="0" w:type="auto"/>
            <w:tcBorders>
              <w:top w:val="single" w:sz="4" w:space="0" w:color="auto"/>
              <w:bottom w:val="single" w:sz="4" w:space="0" w:color="auto"/>
            </w:tcBorders>
          </w:tcPr>
          <w:p w:rsidR="002162D5" w:rsidRDefault="00EF51D1">
            <w:pPr>
              <w:pStyle w:val="Compact"/>
            </w:pPr>
            <w:r>
              <w:t>37</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5.78</m:t>
                </m:r>
              </m:oMath>
            </m:oMathPara>
          </w:p>
        </w:tc>
        <w:tc>
          <w:tcPr>
            <w:tcW w:w="0" w:type="auto"/>
            <w:tcBorders>
              <w:top w:val="single" w:sz="4" w:space="0" w:color="auto"/>
              <w:bottom w:val="single" w:sz="4" w:space="0" w:color="auto"/>
            </w:tcBorders>
          </w:tcPr>
          <w:p w:rsidR="002162D5" w:rsidRDefault="00EF51D1">
            <w:pPr>
              <w:pStyle w:val="Compact"/>
            </w:pPr>
            <w:r>
              <w:t>64</w:t>
            </w:r>
          </w:p>
        </w:tc>
        <w:tc>
          <w:tcPr>
            <w:tcW w:w="0" w:type="auto"/>
            <w:tcBorders>
              <w:top w:val="single" w:sz="4" w:space="0" w:color="auto"/>
              <w:bottom w:val="single" w:sz="4" w:space="0" w:color="auto"/>
            </w:tcBorders>
          </w:tcPr>
          <w:p w:rsidR="002162D5" w:rsidRDefault="00EF51D1">
            <w:pPr>
              <w:pStyle w:val="Compact"/>
            </w:pPr>
            <w:r>
              <w:t>23.4</w:t>
            </w:r>
          </w:p>
        </w:tc>
        <w:tc>
          <w:tcPr>
            <w:tcW w:w="0" w:type="auto"/>
            <w:tcBorders>
              <w:top w:val="single" w:sz="4" w:space="0" w:color="auto"/>
              <w:bottom w:val="single" w:sz="4" w:space="0" w:color="auto"/>
            </w:tcBorders>
          </w:tcPr>
          <w:p w:rsidR="002162D5" w:rsidRDefault="00EF51D1">
            <w:pPr>
              <w:pStyle w:val="Compact"/>
            </w:pPr>
            <w:r>
              <w:t>40.6</w:t>
            </w:r>
          </w:p>
        </w:tc>
        <w:tc>
          <w:tcPr>
            <w:tcW w:w="0" w:type="auto"/>
            <w:tcBorders>
              <w:top w:val="single" w:sz="4" w:space="0" w:color="auto"/>
              <w:bottom w:val="single" w:sz="4" w:space="0" w:color="auto"/>
            </w:tcBorders>
          </w:tcPr>
          <w:p w:rsidR="002162D5" w:rsidRDefault="00EF51D1">
            <w:pPr>
              <w:pStyle w:val="Compact"/>
            </w:pPr>
            <w:r>
              <w:t>1.47</w:t>
            </w:r>
          </w:p>
        </w:tc>
        <w:tc>
          <w:tcPr>
            <w:tcW w:w="0" w:type="auto"/>
            <w:tcBorders>
              <w:top w:val="single" w:sz="4" w:space="0" w:color="auto"/>
              <w:bottom w:val="single" w:sz="4" w:space="0" w:color="auto"/>
            </w:tcBorders>
          </w:tcPr>
          <w:p w:rsidR="002162D5" w:rsidRDefault="00EF51D1">
            <w:pPr>
              <w:pStyle w:val="Compact"/>
            </w:pPr>
            <w:r>
              <w:t>0.048</w:t>
            </w:r>
          </w:p>
        </w:tc>
        <w:tc>
          <w:tcPr>
            <w:tcW w:w="0" w:type="auto"/>
            <w:tcBorders>
              <w:top w:val="single" w:sz="4" w:space="0" w:color="auto"/>
              <w:bottom w:val="single" w:sz="4" w:space="0" w:color="auto"/>
            </w:tcBorders>
          </w:tcPr>
          <w:p w:rsidR="002162D5" w:rsidRDefault="00EF51D1">
            <w:pPr>
              <w:pStyle w:val="Compact"/>
            </w:pPr>
            <w:r>
              <w:t>0.035</w:t>
            </w:r>
          </w:p>
        </w:tc>
        <w:tc>
          <w:tcPr>
            <w:tcW w:w="0" w:type="auto"/>
            <w:tcBorders>
              <w:top w:val="single" w:sz="4" w:space="0" w:color="auto"/>
              <w:bottom w:val="single" w:sz="4" w:space="0" w:color="auto"/>
            </w:tcBorders>
          </w:tcPr>
          <w:p w:rsidR="002162D5" w:rsidRDefault="00EF51D1">
            <w:pPr>
              <w:pStyle w:val="Compact"/>
            </w:pPr>
            <w:r>
              <w:t>0.072</w:t>
            </w:r>
          </w:p>
        </w:tc>
        <w:tc>
          <w:tcPr>
            <w:tcW w:w="0" w:type="auto"/>
            <w:tcBorders>
              <w:top w:val="single" w:sz="4" w:space="0" w:color="auto"/>
              <w:bottom w:val="single" w:sz="4" w:space="0" w:color="auto"/>
            </w:tcBorders>
          </w:tcPr>
          <w:p w:rsidR="002162D5" w:rsidRDefault="00EF51D1">
            <w:pPr>
              <w:pStyle w:val="Compact"/>
            </w:pPr>
            <w:r>
              <w:t>0.329</w:t>
            </w:r>
          </w:p>
        </w:tc>
      </w:tr>
      <w:tr w:rsidR="002162D5" w:rsidTr="007E57C6">
        <w:tc>
          <w:tcPr>
            <w:tcW w:w="0" w:type="auto"/>
            <w:tcBorders>
              <w:top w:val="single" w:sz="4" w:space="0" w:color="auto"/>
              <w:bottom w:val="single" w:sz="4" w:space="0" w:color="auto"/>
            </w:tcBorders>
          </w:tcPr>
          <w:p w:rsidR="002162D5" w:rsidRDefault="00EF51D1">
            <w:pPr>
              <w:pStyle w:val="Compact"/>
            </w:pPr>
            <w:r>
              <w:t>Germany</w:t>
            </w:r>
          </w:p>
        </w:tc>
        <w:tc>
          <w:tcPr>
            <w:tcW w:w="0" w:type="auto"/>
            <w:tcBorders>
              <w:top w:val="single" w:sz="4" w:space="0" w:color="auto"/>
              <w:bottom w:val="single" w:sz="4" w:space="0" w:color="auto"/>
            </w:tcBorders>
          </w:tcPr>
          <w:p w:rsidR="002162D5" w:rsidRDefault="00EF51D1">
            <w:pPr>
              <w:pStyle w:val="Compact"/>
            </w:pPr>
            <w:r>
              <w:t>59</w:t>
            </w:r>
          </w:p>
        </w:tc>
        <w:tc>
          <w:tcPr>
            <w:tcW w:w="0" w:type="auto"/>
            <w:tcBorders>
              <w:top w:val="single" w:sz="4" w:space="0" w:color="auto"/>
              <w:bottom w:val="single" w:sz="4" w:space="0" w:color="auto"/>
            </w:tcBorders>
          </w:tcPr>
          <w:p w:rsidR="002162D5" w:rsidRDefault="00EF51D1">
            <w:pPr>
              <w:pStyle w:val="Compact"/>
            </w:pPr>
            <w:r>
              <w:t>2.42</w:t>
            </w:r>
          </w:p>
        </w:tc>
        <w:tc>
          <w:tcPr>
            <w:tcW w:w="0" w:type="auto"/>
            <w:tcBorders>
              <w:top w:val="single" w:sz="4" w:space="0" w:color="auto"/>
              <w:bottom w:val="single" w:sz="4" w:space="0" w:color="auto"/>
            </w:tcBorders>
          </w:tcPr>
          <w:p w:rsidR="002162D5" w:rsidRDefault="00EF51D1">
            <w:pPr>
              <w:pStyle w:val="Compact"/>
            </w:pPr>
            <w:r>
              <w:t>4</w:t>
            </w:r>
          </w:p>
        </w:tc>
        <w:tc>
          <w:tcPr>
            <w:tcW w:w="0" w:type="auto"/>
            <w:tcBorders>
              <w:top w:val="single" w:sz="4" w:space="0" w:color="auto"/>
              <w:bottom w:val="single" w:sz="4" w:space="0" w:color="auto"/>
            </w:tcBorders>
          </w:tcPr>
          <w:p w:rsidR="002162D5" w:rsidRDefault="00EF51D1">
            <w:pPr>
              <w:pStyle w:val="Compact"/>
            </w:pPr>
            <w:r>
              <w:t>35.2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31.2</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1.12</m:t>
                </m:r>
              </m:oMath>
            </m:oMathPara>
          </w:p>
        </w:tc>
        <w:tc>
          <w:tcPr>
            <w:tcW w:w="0" w:type="auto"/>
            <w:tcBorders>
              <w:top w:val="single" w:sz="4" w:space="0" w:color="auto"/>
              <w:bottom w:val="single" w:sz="4" w:space="0" w:color="auto"/>
            </w:tcBorders>
          </w:tcPr>
          <w:p w:rsidR="002162D5" w:rsidRDefault="00EF51D1">
            <w:pPr>
              <w:pStyle w:val="Compact"/>
            </w:pPr>
            <w:r>
              <w:t>0.065</w:t>
            </w:r>
          </w:p>
        </w:tc>
        <w:tc>
          <w:tcPr>
            <w:tcW w:w="0" w:type="auto"/>
            <w:tcBorders>
              <w:top w:val="single" w:sz="4" w:space="0" w:color="auto"/>
              <w:bottom w:val="single" w:sz="4" w:space="0" w:color="auto"/>
            </w:tcBorders>
          </w:tcPr>
          <w:p w:rsidR="002162D5" w:rsidRDefault="00EF51D1">
            <w:pPr>
              <w:pStyle w:val="Compact"/>
            </w:pPr>
            <w:r>
              <w:t>0.029</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0.211</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0.295</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United States</w:t>
            </w:r>
          </w:p>
        </w:tc>
        <w:tc>
          <w:tcPr>
            <w:tcW w:w="0" w:type="auto"/>
            <w:tcBorders>
              <w:top w:val="single" w:sz="4" w:space="0" w:color="auto"/>
              <w:bottom w:val="single" w:sz="4" w:space="0" w:color="auto"/>
            </w:tcBorders>
          </w:tcPr>
          <w:p w:rsidR="002162D5" w:rsidRDefault="00EF51D1">
            <w:pPr>
              <w:pStyle w:val="Compact"/>
            </w:pPr>
            <w:r>
              <w:t>53</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7.95</m:t>
                </m:r>
              </m:oMath>
            </m:oMathPara>
          </w:p>
        </w:tc>
        <w:tc>
          <w:tcPr>
            <w:tcW w:w="0" w:type="auto"/>
            <w:tcBorders>
              <w:top w:val="single" w:sz="4" w:space="0" w:color="auto"/>
              <w:bottom w:val="single" w:sz="4" w:space="0" w:color="auto"/>
            </w:tcBorders>
          </w:tcPr>
          <w:p w:rsidR="002162D5" w:rsidRDefault="00EF51D1">
            <w:pPr>
              <w:pStyle w:val="Compact"/>
            </w:pPr>
            <w:r>
              <w:t>68</w:t>
            </w:r>
          </w:p>
        </w:tc>
        <w:tc>
          <w:tcPr>
            <w:tcW w:w="0" w:type="auto"/>
            <w:tcBorders>
              <w:top w:val="single" w:sz="4" w:space="0" w:color="auto"/>
              <w:bottom w:val="single" w:sz="4" w:space="0" w:color="auto"/>
            </w:tcBorders>
          </w:tcPr>
          <w:p w:rsidR="002162D5" w:rsidRDefault="00EF51D1">
            <w:pPr>
              <w:pStyle w:val="Compact"/>
            </w:pPr>
            <w:r>
              <w:t>22.1</w:t>
            </w:r>
          </w:p>
        </w:tc>
        <w:tc>
          <w:tcPr>
            <w:tcW w:w="0" w:type="auto"/>
            <w:tcBorders>
              <w:top w:val="single" w:sz="4" w:space="0" w:color="auto"/>
              <w:bottom w:val="single" w:sz="4" w:space="0" w:color="auto"/>
            </w:tcBorders>
          </w:tcPr>
          <w:p w:rsidR="002162D5" w:rsidRDefault="00EF51D1">
            <w:pPr>
              <w:pStyle w:val="Compact"/>
            </w:pPr>
            <w:r>
              <w:t>45.9</w:t>
            </w:r>
          </w:p>
        </w:tc>
        <w:tc>
          <w:tcPr>
            <w:tcW w:w="0" w:type="auto"/>
            <w:tcBorders>
              <w:top w:val="single" w:sz="4" w:space="0" w:color="auto"/>
              <w:bottom w:val="single" w:sz="4" w:space="0" w:color="auto"/>
            </w:tcBorders>
          </w:tcPr>
          <w:p w:rsidR="002162D5" w:rsidRDefault="00EF51D1">
            <w:pPr>
              <w:pStyle w:val="Compact"/>
            </w:pPr>
            <w:r>
              <w:t>1.67</w:t>
            </w:r>
          </w:p>
        </w:tc>
        <w:tc>
          <w:tcPr>
            <w:tcW w:w="0" w:type="auto"/>
            <w:tcBorders>
              <w:top w:val="single" w:sz="4" w:space="0" w:color="auto"/>
              <w:bottom w:val="single" w:sz="4" w:space="0" w:color="auto"/>
            </w:tcBorders>
          </w:tcPr>
          <w:p w:rsidR="002162D5" w:rsidRDefault="00EF51D1">
            <w:pPr>
              <w:pStyle w:val="Compact"/>
            </w:pPr>
            <w:r>
              <w:t>0.032</w:t>
            </w:r>
          </w:p>
        </w:tc>
        <w:tc>
          <w:tcPr>
            <w:tcW w:w="0" w:type="auto"/>
            <w:tcBorders>
              <w:top w:val="single" w:sz="4" w:space="0" w:color="auto"/>
              <w:bottom w:val="single" w:sz="4" w:space="0" w:color="auto"/>
            </w:tcBorders>
          </w:tcPr>
          <w:p w:rsidR="002162D5" w:rsidRDefault="00EF51D1">
            <w:pPr>
              <w:pStyle w:val="Compact"/>
            </w:pPr>
            <w:r>
              <w:t>0.029</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0.044</m:t>
                </m:r>
              </m:oMath>
            </m:oMathPara>
          </w:p>
        </w:tc>
        <w:tc>
          <w:tcPr>
            <w:tcW w:w="0" w:type="auto"/>
            <w:tcBorders>
              <w:top w:val="single" w:sz="4" w:space="0" w:color="auto"/>
              <w:bottom w:val="single" w:sz="4" w:space="0" w:color="auto"/>
            </w:tcBorders>
          </w:tcPr>
          <w:p w:rsidR="002162D5" w:rsidRDefault="00EF51D1">
            <w:pPr>
              <w:pStyle w:val="Compact"/>
            </w:pPr>
            <w:r>
              <w:t>0.304</w:t>
            </w:r>
          </w:p>
        </w:tc>
      </w:tr>
      <w:tr w:rsidR="002162D5" w:rsidTr="007E57C6">
        <w:tc>
          <w:tcPr>
            <w:tcW w:w="0" w:type="auto"/>
            <w:tcBorders>
              <w:top w:val="single" w:sz="4" w:space="0" w:color="auto"/>
              <w:bottom w:val="single" w:sz="4" w:space="0" w:color="auto"/>
            </w:tcBorders>
          </w:tcPr>
          <w:p w:rsidR="002162D5" w:rsidRDefault="00EF51D1">
            <w:pPr>
              <w:pStyle w:val="Compact"/>
            </w:pPr>
            <w:r>
              <w:t>Sweden</w:t>
            </w:r>
          </w:p>
        </w:tc>
        <w:tc>
          <w:tcPr>
            <w:tcW w:w="0" w:type="auto"/>
            <w:tcBorders>
              <w:top w:val="single" w:sz="4" w:space="0" w:color="auto"/>
              <w:bottom w:val="single" w:sz="4" w:space="0" w:color="auto"/>
            </w:tcBorders>
          </w:tcPr>
          <w:p w:rsidR="002162D5" w:rsidRDefault="00EF51D1">
            <w:pPr>
              <w:pStyle w:val="Compact"/>
            </w:pPr>
            <w:r>
              <w:t>51</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6.66</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17</m:t>
                </m:r>
              </m:oMath>
            </m:oMathPara>
          </w:p>
        </w:tc>
        <w:tc>
          <w:tcPr>
            <w:tcW w:w="0" w:type="auto"/>
            <w:tcBorders>
              <w:top w:val="single" w:sz="4" w:space="0" w:color="auto"/>
              <w:bottom w:val="single" w:sz="4" w:space="0" w:color="auto"/>
            </w:tcBorders>
          </w:tcPr>
          <w:p w:rsidR="002162D5" w:rsidRDefault="00EF51D1">
            <w:pPr>
              <w:pStyle w:val="Compact"/>
            </w:pPr>
            <w:r>
              <w:t>23.5</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40.5</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1.45</m:t>
                </m:r>
              </m:oMath>
            </m:oMathPara>
          </w:p>
        </w:tc>
        <w:tc>
          <w:tcPr>
            <w:tcW w:w="0" w:type="auto"/>
            <w:tcBorders>
              <w:top w:val="single" w:sz="4" w:space="0" w:color="auto"/>
              <w:bottom w:val="single" w:sz="4" w:space="0" w:color="auto"/>
            </w:tcBorders>
          </w:tcPr>
          <w:p w:rsidR="002162D5" w:rsidRDefault="00EF51D1">
            <w:pPr>
              <w:pStyle w:val="Compact"/>
            </w:pPr>
            <w:r>
              <w:t>0.032</w:t>
            </w:r>
          </w:p>
        </w:tc>
        <w:tc>
          <w:tcPr>
            <w:tcW w:w="0" w:type="auto"/>
            <w:tcBorders>
              <w:top w:val="single" w:sz="4" w:space="0" w:color="auto"/>
              <w:bottom w:val="single" w:sz="4" w:space="0" w:color="auto"/>
            </w:tcBorders>
          </w:tcPr>
          <w:p w:rsidR="002162D5" w:rsidRDefault="00EF51D1">
            <w:pPr>
              <w:pStyle w:val="Compact"/>
            </w:pPr>
            <w:r>
              <w:t>0.023</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0.007</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0.265</m:t>
                </m:r>
              </m:oMath>
            </m:oMathPara>
          </w:p>
        </w:tc>
      </w:tr>
      <w:tr w:rsidR="002162D5" w:rsidTr="007E57C6">
        <w:tc>
          <w:tcPr>
            <w:tcW w:w="0" w:type="auto"/>
            <w:tcBorders>
              <w:top w:val="single" w:sz="4" w:space="0" w:color="auto"/>
              <w:bottom w:val="single" w:sz="4" w:space="0" w:color="auto"/>
            </w:tcBorders>
          </w:tcPr>
          <w:p w:rsidR="002162D5" w:rsidRDefault="00EF51D1">
            <w:pPr>
              <w:pStyle w:val="Compact"/>
            </w:pPr>
            <w:r>
              <w:t>Netherlands</w:t>
            </w:r>
          </w:p>
        </w:tc>
        <w:tc>
          <w:tcPr>
            <w:tcW w:w="0" w:type="auto"/>
            <w:tcBorders>
              <w:top w:val="single" w:sz="4" w:space="0" w:color="auto"/>
              <w:bottom w:val="single" w:sz="4" w:space="0" w:color="auto"/>
            </w:tcBorders>
          </w:tcPr>
          <w:p w:rsidR="002162D5" w:rsidRDefault="00EF51D1">
            <w:pPr>
              <w:pStyle w:val="Compact"/>
            </w:pPr>
            <w:r>
              <w:t>52</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3.00</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8</m:t>
                </m:r>
              </m:oMath>
            </m:oMathPara>
          </w:p>
        </w:tc>
        <w:tc>
          <w:tcPr>
            <w:tcW w:w="0" w:type="auto"/>
            <w:tcBorders>
              <w:top w:val="single" w:sz="4" w:space="0" w:color="auto"/>
              <w:bottom w:val="single" w:sz="4" w:space="0" w:color="auto"/>
            </w:tcBorders>
          </w:tcPr>
          <w:p w:rsidR="002162D5" w:rsidRDefault="00EF51D1">
            <w:pPr>
              <w:pStyle w:val="Compact"/>
            </w:pPr>
            <w:r>
              <w:t>28.0</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36.0</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1.29</m:t>
                </m:r>
              </m:oMath>
            </m:oMathPara>
          </w:p>
        </w:tc>
        <w:tc>
          <w:tcPr>
            <w:tcW w:w="0" w:type="auto"/>
            <w:tcBorders>
              <w:top w:val="single" w:sz="4" w:space="0" w:color="auto"/>
              <w:bottom w:val="single" w:sz="4" w:space="0" w:color="auto"/>
            </w:tcBorders>
          </w:tcPr>
          <w:p w:rsidR="002162D5" w:rsidRDefault="00EF51D1">
            <w:pPr>
              <w:pStyle w:val="Compact"/>
            </w:pPr>
            <w:r>
              <w:t>0.038</w:t>
            </w:r>
          </w:p>
        </w:tc>
        <w:tc>
          <w:tcPr>
            <w:tcW w:w="0" w:type="auto"/>
            <w:tcBorders>
              <w:top w:val="single" w:sz="4" w:space="0" w:color="auto"/>
              <w:bottom w:val="single" w:sz="4" w:space="0" w:color="auto"/>
            </w:tcBorders>
          </w:tcPr>
          <w:p w:rsidR="002162D5" w:rsidRDefault="00EF51D1">
            <w:pPr>
              <w:pStyle w:val="Compact"/>
            </w:pPr>
            <w:r>
              <w:t>0.021</w:t>
            </w:r>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0.105</m:t>
                </m:r>
              </m:oMath>
            </m:oMathPara>
          </w:p>
        </w:tc>
        <w:tc>
          <w:tcPr>
            <w:tcW w:w="0" w:type="auto"/>
            <w:tcBorders>
              <w:top w:val="single" w:sz="4" w:space="0" w:color="auto"/>
              <w:bottom w:val="single" w:sz="4" w:space="0" w:color="auto"/>
            </w:tcBorders>
          </w:tcPr>
          <w:p w:rsidR="002162D5" w:rsidRDefault="00EF51D1">
            <w:pPr>
              <w:pStyle w:val="Compact"/>
            </w:pPr>
            <m:oMathPara>
              <m:oMath>
                <m:r>
                  <m:rPr>
                    <m:sty m:val="p"/>
                  </m:rPr>
                  <w:rPr>
                    <w:rFonts w:ascii="Cambria Math" w:hAnsi="Cambria Math"/>
                  </w:rPr>
                  <m:t>-</m:t>
                </m:r>
                <m:r>
                  <w:rPr>
                    <w:rFonts w:ascii="Cambria Math" w:hAnsi="Cambria Math"/>
                  </w:rPr>
                  <m:t>0.256</m:t>
                </m:r>
              </m:oMath>
            </m:oMathPara>
          </w:p>
        </w:tc>
      </w:tr>
    </w:tbl>
    <w:p w:rsidR="002162D5" w:rsidRDefault="00EF51D1">
      <w:pPr>
        <w:pStyle w:val="a0"/>
      </w:pPr>
      <w:r>
        <w:rPr>
          <w:i/>
          <w:iCs/>
        </w:rPr>
        <w:t>Note.</w:t>
      </w:r>
      <w:r>
        <w:t xml:space="preserve"> The remaining twenty economies all have Cook’s </w:t>
      </w:r>
      <m:oMath>
        <m:r>
          <w:rPr>
            <w:rFonts w:ascii="Cambria Math" w:hAnsi="Cambria Math"/>
          </w:rPr>
          <m:t>D</m:t>
        </m:r>
        <m:r>
          <m:rPr>
            <m:sty m:val="p"/>
          </m:rPr>
          <w:rPr>
            <w:rFonts w:ascii="Cambria Math" w:hAnsi="Cambria Math"/>
          </w:rPr>
          <m:t>&lt;</m:t>
        </m:r>
        <m:r>
          <w:rPr>
            <w:rFonts w:ascii="Cambria Math" w:hAnsi="Cambria Math"/>
          </w:rPr>
          <m:t>0.021</m:t>
        </m:r>
      </m:oMath>
      <w:r>
        <w:t xml:space="preserve">. The full table is in </w:t>
      </w:r>
      <w:r>
        <w:rPr>
          <w:rStyle w:val="VerbatimChar"/>
        </w:rPr>
        <w:t>data/supp_B_influence.csv</w:t>
      </w:r>
      <w:r>
        <w:t>.</w:t>
      </w:r>
    </w:p>
    <w:p w:rsidR="002162D5" w:rsidRDefault="00EF51D1">
      <w:pPr>
        <w:pStyle w:val="a0"/>
      </w:pPr>
      <w:r>
        <w:rPr>
          <w:b/>
          <w:bCs/>
        </w:rPr>
        <w:t>Japan is the only observation flagged on any of the three criteria, and it is flagged on all three.</w:t>
      </w:r>
      <w:r>
        <w:t xml:space="preserve"> Its Cook’s distance of 1.244 is ten times the conventional threshold and thirteen times that of the next observation; its leverage of 0.330 is nearly twice the threshold; its studentised residual of 3.14 places it outside the range in which the fitted model has anything to say about it. Japan combines the highest debt ratio in 2000, the most negative demographic trajectory, and by far the largest realised debt accumulation. It is the observation the framework most wants to be right about, and it is the observation on which no cross-section can rest.</w:t>
      </w:r>
    </w:p>
    <w:p w:rsidR="002162D5" w:rsidRDefault="00EF51D1">
      <w:pPr>
        <w:pStyle w:val="a0"/>
      </w:pPr>
      <w:r>
        <w:t xml:space="preserve">The second and third rows are instructive for a different reason. Belgium and China are influential because their outcomes are poorly fitted, not because their regressors are extreme; neither carries an unusual wedge. The economies with the largest influence </w:t>
      </w:r>
      <w:r>
        <w:rPr>
          <w:i/>
          <w:iCs/>
        </w:rPr>
        <w:t>on the wedge coefficient specifically</w:t>
      </w:r>
      <w:r>
        <w:t xml:space="preserve"> — the DFBETA column — are Japan (0.659), Türkiye (0.340), Israel (0.320) and South Africa (</w:t>
      </w:r>
      <m:oMath>
        <m:r>
          <m:rPr>
            <m:sty m:val="p"/>
          </m:rPr>
          <w:rPr>
            <w:rFonts w:ascii="Cambria Math" w:hAnsi="Cambria Math"/>
          </w:rPr>
          <m:t>-</m:t>
        </m:r>
        <m:r>
          <w:rPr>
            <w:rFonts w:ascii="Cambria Math" w:hAnsi="Cambria Math"/>
          </w:rPr>
          <m:t>0.263</m:t>
        </m:r>
      </m:oMath>
      <w:r>
        <w:t>), that is, one extreme ageing economy and three economies at the opposite end of the demographic distribution. The coefficient is identified off the tails, which is the expected geometry when the regressor of interest has a broad and roughly symmetric spread and the outcome is noisy.</w:t>
      </w:r>
    </w:p>
    <w:p w:rsidR="002162D5" w:rsidRPr="006A1AC7" w:rsidRDefault="00EF51D1">
      <w:pPr>
        <w:pStyle w:val="2"/>
        <w:rPr>
          <w:color w:val="auto"/>
        </w:rPr>
      </w:pPr>
      <w:bookmarkStart w:id="12" w:name="b.2-estimator-by-subsample"/>
      <w:bookmarkEnd w:id="11"/>
      <w:r w:rsidRPr="006A1AC7">
        <w:rPr>
          <w:color w:val="auto"/>
        </w:rPr>
        <w:lastRenderedPageBreak/>
        <w:t>B.2 Estimator by subsample</w:t>
      </w:r>
    </w:p>
    <w:p w:rsidR="002162D5" w:rsidRDefault="00EF51D1">
      <w:pPr>
        <w:pStyle w:val="FirstParagraph"/>
      </w:pPr>
      <w:r>
        <w:t>Table B.2 crosses three estimators with nine samples. It is the direct answer to the question of what happens when the influential economies are removed.</w:t>
      </w:r>
    </w:p>
    <w:p w:rsidR="002162D5" w:rsidRDefault="00EF51D1">
      <w:pPr>
        <w:pStyle w:val="a0"/>
      </w:pPr>
      <w:r>
        <w:rPr>
          <w:b/>
          <w:bCs/>
        </w:rPr>
        <w:t>Table B.2.</w:t>
      </w:r>
      <w:r>
        <w:t xml:space="preserve"> The wedge coefficient across estimators and subsamples. Outcome is the realised change in </w:t>
      </w:r>
      <m:oMath>
        <m:r>
          <w:rPr>
            <w:rFonts w:ascii="Cambria Math" w:hAnsi="Cambria Math"/>
          </w:rPr>
          <m:t>D</m:t>
        </m:r>
        <m:r>
          <m:rPr>
            <m:sty m:val="p"/>
          </m:rPr>
          <w:rPr>
            <w:rFonts w:ascii="Cambria Math" w:hAnsi="Cambria Math"/>
          </w:rPr>
          <m:t>/</m:t>
        </m:r>
        <m:r>
          <w:rPr>
            <w:rFonts w:ascii="Cambria Math" w:hAnsi="Cambria Math"/>
          </w:rPr>
          <m:t>Y</m:t>
        </m:r>
      </m:oMath>
      <w:r>
        <w:t xml:space="preserve">, 2000–2024; every specification also contains </w:t>
      </w:r>
      <m:oMath>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2000</m:t>
            </m:r>
          </m:sub>
        </m:sSub>
      </m:oMath>
      <w:r>
        <w:t xml:space="preserve"> and a constant.</w:t>
      </w:r>
    </w:p>
    <w:p w:rsidR="002162D5" w:rsidRDefault="00EF51D1">
      <w:pPr>
        <w:pStyle w:val="a0"/>
      </w:pPr>
      <w:r>
        <w:rPr>
          <w:i/>
          <w:iCs/>
        </w:rPr>
        <w:t>Panel A — point estimates and significance</w:t>
      </w:r>
    </w:p>
    <w:tbl>
      <w:tblPr>
        <w:tblStyle w:val="Table"/>
        <w:tblW w:w="5000" w:type="pct"/>
        <w:tblLook w:val="0020" w:firstRow="1" w:lastRow="0" w:firstColumn="0" w:lastColumn="0" w:noHBand="0" w:noVBand="0"/>
      </w:tblPr>
      <w:tblGrid>
        <w:gridCol w:w="1780"/>
        <w:gridCol w:w="436"/>
        <w:gridCol w:w="737"/>
        <w:gridCol w:w="670"/>
        <w:gridCol w:w="733"/>
        <w:gridCol w:w="813"/>
        <w:gridCol w:w="804"/>
        <w:gridCol w:w="809"/>
        <w:gridCol w:w="935"/>
        <w:gridCol w:w="927"/>
        <w:gridCol w:w="932"/>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Sample</w:t>
            </w:r>
          </w:p>
        </w:tc>
        <w:tc>
          <w:tcPr>
            <w:tcW w:w="0" w:type="auto"/>
            <w:tcBorders>
              <w:top w:val="single" w:sz="4" w:space="0" w:color="auto"/>
              <w:bottom w:val="single" w:sz="4" w:space="0" w:color="auto"/>
            </w:tcBorders>
          </w:tcPr>
          <w:p w:rsidR="002162D5" w:rsidRDefault="00EF51D1">
            <w:pPr>
              <w:pStyle w:val="Compact"/>
            </w:pPr>
            <m:oMathPara>
              <m:oMath>
                <m:r>
                  <w:rPr>
                    <w:rFonts w:ascii="Cambria Math" w:hAnsi="Cambria Math"/>
                  </w:rPr>
                  <m:t>n</m:t>
                </m:r>
              </m:oMath>
            </m:oMathPara>
          </w:p>
        </w:tc>
        <w:tc>
          <w:tcPr>
            <w:tcW w:w="0" w:type="auto"/>
            <w:tcBorders>
              <w:top w:val="single" w:sz="4" w:space="0" w:color="auto"/>
              <w:bottom w:val="single" w:sz="4" w:space="0" w:color="auto"/>
            </w:tcBorders>
          </w:tcPr>
          <w:p w:rsidR="002162D5" w:rsidRDefault="00EF51D1">
            <w:pPr>
              <w:pStyle w:val="Compact"/>
            </w:pPr>
            <w:r>
              <w:t xml:space="preserve">OLS </w:t>
            </w:r>
            <m:oMath>
              <m:r>
                <w:rPr>
                  <w:rFonts w:ascii="Cambria Math" w:hAnsi="Cambria Math"/>
                </w:rPr>
                <m:t>b</m:t>
              </m:r>
            </m:oMath>
          </w:p>
        </w:tc>
        <w:tc>
          <w:tcPr>
            <w:tcW w:w="0" w:type="auto"/>
            <w:tcBorders>
              <w:top w:val="single" w:sz="4" w:space="0" w:color="auto"/>
              <w:bottom w:val="single" w:sz="4" w:space="0" w:color="auto"/>
            </w:tcBorders>
          </w:tcPr>
          <w:p w:rsidR="002162D5" w:rsidRDefault="00EF51D1">
            <w:pPr>
              <w:pStyle w:val="Compact"/>
            </w:pPr>
            <w:r>
              <w:t xml:space="preserve">OLS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 xml:space="preserve">OLS </w:t>
            </w:r>
            <w:r>
              <w:rPr>
                <w:i/>
                <w:iCs/>
              </w:rPr>
              <w:t>p</w:t>
            </w:r>
          </w:p>
        </w:tc>
        <w:tc>
          <w:tcPr>
            <w:tcW w:w="0" w:type="auto"/>
            <w:tcBorders>
              <w:top w:val="single" w:sz="4" w:space="0" w:color="auto"/>
              <w:bottom w:val="single" w:sz="4" w:space="0" w:color="auto"/>
            </w:tcBorders>
          </w:tcPr>
          <w:p w:rsidR="002162D5" w:rsidRDefault="00EF51D1">
            <w:pPr>
              <w:pStyle w:val="Compact"/>
            </w:pPr>
            <w:r>
              <w:t xml:space="preserve">Huber </w:t>
            </w:r>
            <m:oMath>
              <m:r>
                <w:rPr>
                  <w:rFonts w:ascii="Cambria Math" w:hAnsi="Cambria Math"/>
                </w:rPr>
                <m:t>b</m:t>
              </m:r>
            </m:oMath>
          </w:p>
        </w:tc>
        <w:tc>
          <w:tcPr>
            <w:tcW w:w="0" w:type="auto"/>
            <w:tcBorders>
              <w:top w:val="single" w:sz="4" w:space="0" w:color="auto"/>
              <w:bottom w:val="single" w:sz="4" w:space="0" w:color="auto"/>
            </w:tcBorders>
          </w:tcPr>
          <w:p w:rsidR="002162D5" w:rsidRDefault="00EF51D1">
            <w:pPr>
              <w:pStyle w:val="Compact"/>
            </w:pPr>
            <w:r>
              <w:t xml:space="preserve">Huber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 xml:space="preserve">Huber </w:t>
            </w:r>
            <w:r>
              <w:rPr>
                <w:i/>
                <w:iCs/>
              </w:rPr>
              <w:t>p</w:t>
            </w:r>
          </w:p>
        </w:tc>
        <w:tc>
          <w:tcPr>
            <w:tcW w:w="0" w:type="auto"/>
            <w:tcBorders>
              <w:top w:val="single" w:sz="4" w:space="0" w:color="auto"/>
              <w:bottom w:val="single" w:sz="4" w:space="0" w:color="auto"/>
            </w:tcBorders>
          </w:tcPr>
          <w:p w:rsidR="002162D5" w:rsidRDefault="00EF51D1">
            <w:pPr>
              <w:pStyle w:val="Compact"/>
            </w:pPr>
            <w:r>
              <w:t xml:space="preserve">Median </w:t>
            </w:r>
            <m:oMath>
              <m:r>
                <w:rPr>
                  <w:rFonts w:ascii="Cambria Math" w:hAnsi="Cambria Math"/>
                </w:rPr>
                <m:t>b</m:t>
              </m:r>
            </m:oMath>
          </w:p>
        </w:tc>
        <w:tc>
          <w:tcPr>
            <w:tcW w:w="0" w:type="auto"/>
            <w:tcBorders>
              <w:top w:val="single" w:sz="4" w:space="0" w:color="auto"/>
              <w:bottom w:val="single" w:sz="4" w:space="0" w:color="auto"/>
            </w:tcBorders>
          </w:tcPr>
          <w:p w:rsidR="002162D5" w:rsidRDefault="00EF51D1">
            <w:pPr>
              <w:pStyle w:val="Compact"/>
            </w:pPr>
            <w:r>
              <w:t xml:space="preserve">Median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 xml:space="preserve">Median </w:t>
            </w:r>
            <w:r>
              <w:rPr>
                <w:i/>
                <w:iCs/>
              </w:rPr>
              <w:t>p</w:t>
            </w:r>
          </w:p>
        </w:tc>
      </w:tr>
      <w:tr w:rsidR="002162D5" w:rsidTr="007E57C6">
        <w:tc>
          <w:tcPr>
            <w:tcW w:w="0" w:type="auto"/>
            <w:tcBorders>
              <w:top w:val="single" w:sz="4" w:space="0" w:color="auto"/>
              <w:bottom w:val="single" w:sz="4" w:space="0" w:color="auto"/>
            </w:tcBorders>
          </w:tcPr>
          <w:p w:rsidR="002162D5" w:rsidRDefault="00EF51D1">
            <w:pPr>
              <w:pStyle w:val="Compact"/>
            </w:pPr>
            <w:r>
              <w:t>full sample</w:t>
            </w:r>
          </w:p>
        </w:tc>
        <w:tc>
          <w:tcPr>
            <w:tcW w:w="0" w:type="auto"/>
            <w:tcBorders>
              <w:top w:val="single" w:sz="4" w:space="0" w:color="auto"/>
              <w:bottom w:val="single" w:sz="4" w:space="0" w:color="auto"/>
            </w:tcBorders>
          </w:tcPr>
          <w:p w:rsidR="002162D5" w:rsidRDefault="00EF51D1">
            <w:pPr>
              <w:pStyle w:val="Compact"/>
            </w:pPr>
            <w:r>
              <w:t>32</w:t>
            </w:r>
          </w:p>
        </w:tc>
        <w:tc>
          <w:tcPr>
            <w:tcW w:w="0" w:type="auto"/>
            <w:tcBorders>
              <w:top w:val="single" w:sz="4" w:space="0" w:color="auto"/>
              <w:bottom w:val="single" w:sz="4" w:space="0" w:color="auto"/>
            </w:tcBorders>
          </w:tcPr>
          <w:p w:rsidR="002162D5" w:rsidRDefault="00EF51D1">
            <w:pPr>
              <w:pStyle w:val="Compact"/>
            </w:pPr>
            <w:r>
              <w:t>1.221</w:t>
            </w:r>
          </w:p>
        </w:tc>
        <w:tc>
          <w:tcPr>
            <w:tcW w:w="0" w:type="auto"/>
            <w:tcBorders>
              <w:top w:val="single" w:sz="4" w:space="0" w:color="auto"/>
              <w:bottom w:val="single" w:sz="4" w:space="0" w:color="auto"/>
            </w:tcBorders>
          </w:tcPr>
          <w:p w:rsidR="002162D5" w:rsidRDefault="00EF51D1">
            <w:pPr>
              <w:pStyle w:val="Compact"/>
            </w:pPr>
            <w:r>
              <w:rPr>
                <w:b/>
                <w:bCs/>
              </w:rPr>
              <w:t>2.21</w:t>
            </w:r>
          </w:p>
        </w:tc>
        <w:tc>
          <w:tcPr>
            <w:tcW w:w="0" w:type="auto"/>
            <w:tcBorders>
              <w:top w:val="single" w:sz="4" w:space="0" w:color="auto"/>
              <w:bottom w:val="single" w:sz="4" w:space="0" w:color="auto"/>
            </w:tcBorders>
          </w:tcPr>
          <w:p w:rsidR="002162D5" w:rsidRDefault="00EF51D1">
            <w:pPr>
              <w:pStyle w:val="Compact"/>
            </w:pPr>
            <w:r>
              <w:rPr>
                <w:b/>
                <w:bCs/>
              </w:rPr>
              <w:t>0.027</w:t>
            </w:r>
          </w:p>
        </w:tc>
        <w:tc>
          <w:tcPr>
            <w:tcW w:w="0" w:type="auto"/>
            <w:tcBorders>
              <w:top w:val="single" w:sz="4" w:space="0" w:color="auto"/>
              <w:bottom w:val="single" w:sz="4" w:space="0" w:color="auto"/>
            </w:tcBorders>
          </w:tcPr>
          <w:p w:rsidR="002162D5" w:rsidRDefault="00EF51D1">
            <w:pPr>
              <w:pStyle w:val="Compact"/>
            </w:pPr>
            <w:r>
              <w:t>1.063</w:t>
            </w:r>
          </w:p>
        </w:tc>
        <w:tc>
          <w:tcPr>
            <w:tcW w:w="0" w:type="auto"/>
            <w:tcBorders>
              <w:top w:val="single" w:sz="4" w:space="0" w:color="auto"/>
              <w:bottom w:val="single" w:sz="4" w:space="0" w:color="auto"/>
            </w:tcBorders>
          </w:tcPr>
          <w:p w:rsidR="002162D5" w:rsidRDefault="00EF51D1">
            <w:pPr>
              <w:pStyle w:val="Compact"/>
            </w:pPr>
            <w:r>
              <w:t>1.54</w:t>
            </w:r>
          </w:p>
        </w:tc>
        <w:tc>
          <w:tcPr>
            <w:tcW w:w="0" w:type="auto"/>
            <w:tcBorders>
              <w:top w:val="single" w:sz="4" w:space="0" w:color="auto"/>
              <w:bottom w:val="single" w:sz="4" w:space="0" w:color="auto"/>
            </w:tcBorders>
          </w:tcPr>
          <w:p w:rsidR="002162D5" w:rsidRDefault="00EF51D1">
            <w:pPr>
              <w:pStyle w:val="Compact"/>
            </w:pPr>
            <w:r>
              <w:t>0.124</w:t>
            </w:r>
          </w:p>
        </w:tc>
        <w:tc>
          <w:tcPr>
            <w:tcW w:w="0" w:type="auto"/>
            <w:tcBorders>
              <w:top w:val="single" w:sz="4" w:space="0" w:color="auto"/>
              <w:bottom w:val="single" w:sz="4" w:space="0" w:color="auto"/>
            </w:tcBorders>
          </w:tcPr>
          <w:p w:rsidR="002162D5" w:rsidRDefault="00EF51D1">
            <w:pPr>
              <w:pStyle w:val="Compact"/>
            </w:pPr>
            <w:r>
              <w:t>0.782</w:t>
            </w:r>
          </w:p>
        </w:tc>
        <w:tc>
          <w:tcPr>
            <w:tcW w:w="0" w:type="auto"/>
            <w:tcBorders>
              <w:top w:val="single" w:sz="4" w:space="0" w:color="auto"/>
              <w:bottom w:val="single" w:sz="4" w:space="0" w:color="auto"/>
            </w:tcBorders>
          </w:tcPr>
          <w:p w:rsidR="002162D5" w:rsidRDefault="00EF51D1">
            <w:pPr>
              <w:pStyle w:val="Compact"/>
            </w:pPr>
            <w:r>
              <w:t>0.89</w:t>
            </w:r>
          </w:p>
        </w:tc>
        <w:tc>
          <w:tcPr>
            <w:tcW w:w="0" w:type="auto"/>
            <w:tcBorders>
              <w:top w:val="single" w:sz="4" w:space="0" w:color="auto"/>
              <w:bottom w:val="single" w:sz="4" w:space="0" w:color="auto"/>
            </w:tcBorders>
          </w:tcPr>
          <w:p w:rsidR="002162D5" w:rsidRDefault="00EF51D1">
            <w:pPr>
              <w:pStyle w:val="Compact"/>
            </w:pPr>
            <w:r>
              <w:t>0.383</w:t>
            </w:r>
          </w:p>
        </w:tc>
      </w:tr>
      <w:tr w:rsidR="002162D5" w:rsidTr="007E57C6">
        <w:tc>
          <w:tcPr>
            <w:tcW w:w="0" w:type="auto"/>
            <w:tcBorders>
              <w:top w:val="single" w:sz="4" w:space="0" w:color="auto"/>
              <w:bottom w:val="single" w:sz="4" w:space="0" w:color="auto"/>
            </w:tcBorders>
          </w:tcPr>
          <w:p w:rsidR="002162D5" w:rsidRDefault="00EF51D1">
            <w:pPr>
              <w:pStyle w:val="Compact"/>
            </w:pPr>
            <w:r>
              <w:t>drop Japan</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0.871</w:t>
            </w:r>
          </w:p>
        </w:tc>
        <w:tc>
          <w:tcPr>
            <w:tcW w:w="0" w:type="auto"/>
            <w:tcBorders>
              <w:top w:val="single" w:sz="4" w:space="0" w:color="auto"/>
              <w:bottom w:val="single" w:sz="4" w:space="0" w:color="auto"/>
            </w:tcBorders>
          </w:tcPr>
          <w:p w:rsidR="002162D5" w:rsidRDefault="00EF51D1">
            <w:pPr>
              <w:pStyle w:val="Compact"/>
            </w:pPr>
            <w:r>
              <w:rPr>
                <w:b/>
                <w:bCs/>
              </w:rPr>
              <w:t>1.96</w:t>
            </w:r>
          </w:p>
        </w:tc>
        <w:tc>
          <w:tcPr>
            <w:tcW w:w="0" w:type="auto"/>
            <w:tcBorders>
              <w:top w:val="single" w:sz="4" w:space="0" w:color="auto"/>
              <w:bottom w:val="single" w:sz="4" w:space="0" w:color="auto"/>
            </w:tcBorders>
          </w:tcPr>
          <w:p w:rsidR="002162D5" w:rsidRDefault="00EF51D1">
            <w:pPr>
              <w:pStyle w:val="Compact"/>
            </w:pPr>
            <w:r>
              <w:rPr>
                <w:b/>
                <w:bCs/>
              </w:rPr>
              <w:t>0.050</w:t>
            </w:r>
          </w:p>
        </w:tc>
        <w:tc>
          <w:tcPr>
            <w:tcW w:w="0" w:type="auto"/>
            <w:tcBorders>
              <w:top w:val="single" w:sz="4" w:space="0" w:color="auto"/>
              <w:bottom w:val="single" w:sz="4" w:space="0" w:color="auto"/>
            </w:tcBorders>
          </w:tcPr>
          <w:p w:rsidR="002162D5" w:rsidRDefault="00EF51D1">
            <w:pPr>
              <w:pStyle w:val="Compact"/>
            </w:pPr>
            <w:r>
              <w:t>0.873</w:t>
            </w:r>
          </w:p>
        </w:tc>
        <w:tc>
          <w:tcPr>
            <w:tcW w:w="0" w:type="auto"/>
            <w:tcBorders>
              <w:top w:val="single" w:sz="4" w:space="0" w:color="auto"/>
              <w:bottom w:val="single" w:sz="4" w:space="0" w:color="auto"/>
            </w:tcBorders>
          </w:tcPr>
          <w:p w:rsidR="002162D5" w:rsidRDefault="00EF51D1">
            <w:pPr>
              <w:pStyle w:val="Compact"/>
            </w:pPr>
            <w:r>
              <w:t>1.33</w:t>
            </w:r>
          </w:p>
        </w:tc>
        <w:tc>
          <w:tcPr>
            <w:tcW w:w="0" w:type="auto"/>
            <w:tcBorders>
              <w:top w:val="single" w:sz="4" w:space="0" w:color="auto"/>
              <w:bottom w:val="single" w:sz="4" w:space="0" w:color="auto"/>
            </w:tcBorders>
          </w:tcPr>
          <w:p w:rsidR="002162D5" w:rsidRDefault="00EF51D1">
            <w:pPr>
              <w:pStyle w:val="Compact"/>
            </w:pPr>
            <w:r>
              <w:t>0.183</w:t>
            </w:r>
          </w:p>
        </w:tc>
        <w:tc>
          <w:tcPr>
            <w:tcW w:w="0" w:type="auto"/>
            <w:tcBorders>
              <w:top w:val="single" w:sz="4" w:space="0" w:color="auto"/>
              <w:bottom w:val="single" w:sz="4" w:space="0" w:color="auto"/>
            </w:tcBorders>
          </w:tcPr>
          <w:p w:rsidR="002162D5" w:rsidRDefault="00EF51D1">
            <w:pPr>
              <w:pStyle w:val="Compact"/>
            </w:pPr>
            <w:r>
              <w:t>0.755</w:t>
            </w:r>
          </w:p>
        </w:tc>
        <w:tc>
          <w:tcPr>
            <w:tcW w:w="0" w:type="auto"/>
            <w:tcBorders>
              <w:top w:val="single" w:sz="4" w:space="0" w:color="auto"/>
              <w:bottom w:val="single" w:sz="4" w:space="0" w:color="auto"/>
            </w:tcBorders>
          </w:tcPr>
          <w:p w:rsidR="002162D5" w:rsidRDefault="00EF51D1">
            <w:pPr>
              <w:pStyle w:val="Compact"/>
            </w:pPr>
            <w:r>
              <w:t>0.84</w:t>
            </w:r>
          </w:p>
        </w:tc>
        <w:tc>
          <w:tcPr>
            <w:tcW w:w="0" w:type="auto"/>
            <w:tcBorders>
              <w:top w:val="single" w:sz="4" w:space="0" w:color="auto"/>
              <w:bottom w:val="single" w:sz="4" w:space="0" w:color="auto"/>
            </w:tcBorders>
          </w:tcPr>
          <w:p w:rsidR="002162D5" w:rsidRDefault="00EF51D1">
            <w:pPr>
              <w:pStyle w:val="Compact"/>
            </w:pPr>
            <w:r>
              <w:t>0.409</w:t>
            </w:r>
          </w:p>
        </w:tc>
      </w:tr>
      <w:tr w:rsidR="002162D5" w:rsidTr="007E57C6">
        <w:tc>
          <w:tcPr>
            <w:tcW w:w="0" w:type="auto"/>
            <w:tcBorders>
              <w:top w:val="single" w:sz="4" w:space="0" w:color="auto"/>
              <w:bottom w:val="single" w:sz="4" w:space="0" w:color="auto"/>
            </w:tcBorders>
          </w:tcPr>
          <w:p w:rsidR="002162D5" w:rsidRDefault="00EF51D1">
            <w:pPr>
              <w:pStyle w:val="Compact"/>
            </w:pPr>
            <w:r>
              <w:t>drop Italy</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1.247</w:t>
            </w:r>
          </w:p>
        </w:tc>
        <w:tc>
          <w:tcPr>
            <w:tcW w:w="0" w:type="auto"/>
            <w:tcBorders>
              <w:top w:val="single" w:sz="4" w:space="0" w:color="auto"/>
              <w:bottom w:val="single" w:sz="4" w:space="0" w:color="auto"/>
            </w:tcBorders>
          </w:tcPr>
          <w:p w:rsidR="002162D5" w:rsidRDefault="00EF51D1">
            <w:pPr>
              <w:pStyle w:val="Compact"/>
            </w:pPr>
            <w:r>
              <w:rPr>
                <w:b/>
                <w:bCs/>
              </w:rPr>
              <w:t>2.05</w:t>
            </w:r>
          </w:p>
        </w:tc>
        <w:tc>
          <w:tcPr>
            <w:tcW w:w="0" w:type="auto"/>
            <w:tcBorders>
              <w:top w:val="single" w:sz="4" w:space="0" w:color="auto"/>
              <w:bottom w:val="single" w:sz="4" w:space="0" w:color="auto"/>
            </w:tcBorders>
          </w:tcPr>
          <w:p w:rsidR="002162D5" w:rsidRDefault="00EF51D1">
            <w:pPr>
              <w:pStyle w:val="Compact"/>
            </w:pPr>
            <w:r>
              <w:rPr>
                <w:b/>
                <w:bCs/>
              </w:rPr>
              <w:t>0.040</w:t>
            </w:r>
          </w:p>
        </w:tc>
        <w:tc>
          <w:tcPr>
            <w:tcW w:w="0" w:type="auto"/>
            <w:tcBorders>
              <w:top w:val="single" w:sz="4" w:space="0" w:color="auto"/>
              <w:bottom w:val="single" w:sz="4" w:space="0" w:color="auto"/>
            </w:tcBorders>
          </w:tcPr>
          <w:p w:rsidR="002162D5" w:rsidRDefault="00EF51D1">
            <w:pPr>
              <w:pStyle w:val="Compact"/>
            </w:pPr>
            <w:r>
              <w:t>1.069</w:t>
            </w:r>
          </w:p>
        </w:tc>
        <w:tc>
          <w:tcPr>
            <w:tcW w:w="0" w:type="auto"/>
            <w:tcBorders>
              <w:top w:val="single" w:sz="4" w:space="0" w:color="auto"/>
              <w:bottom w:val="single" w:sz="4" w:space="0" w:color="auto"/>
            </w:tcBorders>
          </w:tcPr>
          <w:p w:rsidR="002162D5" w:rsidRDefault="00EF51D1">
            <w:pPr>
              <w:pStyle w:val="Compact"/>
            </w:pPr>
            <w:r>
              <w:t>1.47</w:t>
            </w:r>
          </w:p>
        </w:tc>
        <w:tc>
          <w:tcPr>
            <w:tcW w:w="0" w:type="auto"/>
            <w:tcBorders>
              <w:top w:val="single" w:sz="4" w:space="0" w:color="auto"/>
              <w:bottom w:val="single" w:sz="4" w:space="0" w:color="auto"/>
            </w:tcBorders>
          </w:tcPr>
          <w:p w:rsidR="002162D5" w:rsidRDefault="00EF51D1">
            <w:pPr>
              <w:pStyle w:val="Compact"/>
            </w:pPr>
            <w:r>
              <w:t>0.141</w:t>
            </w:r>
          </w:p>
        </w:tc>
        <w:tc>
          <w:tcPr>
            <w:tcW w:w="0" w:type="auto"/>
            <w:tcBorders>
              <w:top w:val="single" w:sz="4" w:space="0" w:color="auto"/>
              <w:bottom w:val="single" w:sz="4" w:space="0" w:color="auto"/>
            </w:tcBorders>
          </w:tcPr>
          <w:p w:rsidR="002162D5" w:rsidRDefault="00EF51D1">
            <w:pPr>
              <w:pStyle w:val="Compact"/>
            </w:pPr>
            <w:r>
              <w:t>1.292</w:t>
            </w:r>
          </w:p>
        </w:tc>
        <w:tc>
          <w:tcPr>
            <w:tcW w:w="0" w:type="auto"/>
            <w:tcBorders>
              <w:top w:val="single" w:sz="4" w:space="0" w:color="auto"/>
              <w:bottom w:val="single" w:sz="4" w:space="0" w:color="auto"/>
            </w:tcBorders>
          </w:tcPr>
          <w:p w:rsidR="002162D5" w:rsidRDefault="00EF51D1">
            <w:pPr>
              <w:pStyle w:val="Compact"/>
            </w:pPr>
            <w:r>
              <w:t>1.28</w:t>
            </w:r>
          </w:p>
        </w:tc>
        <w:tc>
          <w:tcPr>
            <w:tcW w:w="0" w:type="auto"/>
            <w:tcBorders>
              <w:top w:val="single" w:sz="4" w:space="0" w:color="auto"/>
              <w:bottom w:val="single" w:sz="4" w:space="0" w:color="auto"/>
            </w:tcBorders>
          </w:tcPr>
          <w:p w:rsidR="002162D5" w:rsidRDefault="00EF51D1">
            <w:pPr>
              <w:pStyle w:val="Compact"/>
            </w:pPr>
            <w:r>
              <w:t>0.210</w:t>
            </w:r>
          </w:p>
        </w:tc>
      </w:tr>
      <w:tr w:rsidR="002162D5" w:rsidTr="007E57C6">
        <w:tc>
          <w:tcPr>
            <w:tcW w:w="0" w:type="auto"/>
            <w:tcBorders>
              <w:top w:val="single" w:sz="4" w:space="0" w:color="auto"/>
              <w:bottom w:val="single" w:sz="4" w:space="0" w:color="auto"/>
            </w:tcBorders>
          </w:tcPr>
          <w:p w:rsidR="002162D5" w:rsidRDefault="00EF51D1">
            <w:pPr>
              <w:pStyle w:val="Compact"/>
            </w:pPr>
            <w:r>
              <w:t>drop Greece</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1.193</w:t>
            </w:r>
          </w:p>
        </w:tc>
        <w:tc>
          <w:tcPr>
            <w:tcW w:w="0" w:type="auto"/>
            <w:tcBorders>
              <w:top w:val="single" w:sz="4" w:space="0" w:color="auto"/>
              <w:bottom w:val="single" w:sz="4" w:space="0" w:color="auto"/>
            </w:tcBorders>
          </w:tcPr>
          <w:p w:rsidR="002162D5" w:rsidRDefault="00EF51D1">
            <w:pPr>
              <w:pStyle w:val="Compact"/>
            </w:pPr>
            <w:r>
              <w:t>1.77</w:t>
            </w:r>
          </w:p>
        </w:tc>
        <w:tc>
          <w:tcPr>
            <w:tcW w:w="0" w:type="auto"/>
            <w:tcBorders>
              <w:top w:val="single" w:sz="4" w:space="0" w:color="auto"/>
              <w:bottom w:val="single" w:sz="4" w:space="0" w:color="auto"/>
            </w:tcBorders>
          </w:tcPr>
          <w:p w:rsidR="002162D5" w:rsidRDefault="00EF51D1">
            <w:pPr>
              <w:pStyle w:val="Compact"/>
            </w:pPr>
            <w:r>
              <w:t>0.077</w:t>
            </w:r>
          </w:p>
        </w:tc>
        <w:tc>
          <w:tcPr>
            <w:tcW w:w="0" w:type="auto"/>
            <w:tcBorders>
              <w:top w:val="single" w:sz="4" w:space="0" w:color="auto"/>
              <w:bottom w:val="single" w:sz="4" w:space="0" w:color="auto"/>
            </w:tcBorders>
          </w:tcPr>
          <w:p w:rsidR="002162D5" w:rsidRDefault="00EF51D1">
            <w:pPr>
              <w:pStyle w:val="Compact"/>
            </w:pPr>
            <w:r>
              <w:t>0.918</w:t>
            </w:r>
          </w:p>
        </w:tc>
        <w:tc>
          <w:tcPr>
            <w:tcW w:w="0" w:type="auto"/>
            <w:tcBorders>
              <w:top w:val="single" w:sz="4" w:space="0" w:color="auto"/>
              <w:bottom w:val="single" w:sz="4" w:space="0" w:color="auto"/>
            </w:tcBorders>
          </w:tcPr>
          <w:p w:rsidR="002162D5" w:rsidRDefault="00EF51D1">
            <w:pPr>
              <w:pStyle w:val="Compact"/>
            </w:pPr>
            <w:r>
              <w:t>1.28</w:t>
            </w:r>
          </w:p>
        </w:tc>
        <w:tc>
          <w:tcPr>
            <w:tcW w:w="0" w:type="auto"/>
            <w:tcBorders>
              <w:top w:val="single" w:sz="4" w:space="0" w:color="auto"/>
              <w:bottom w:val="single" w:sz="4" w:space="0" w:color="auto"/>
            </w:tcBorders>
          </w:tcPr>
          <w:p w:rsidR="002162D5" w:rsidRDefault="00EF51D1">
            <w:pPr>
              <w:pStyle w:val="Compact"/>
            </w:pPr>
            <w:r>
              <w:t>0.201</w:t>
            </w:r>
          </w:p>
        </w:tc>
        <w:tc>
          <w:tcPr>
            <w:tcW w:w="0" w:type="auto"/>
            <w:tcBorders>
              <w:top w:val="single" w:sz="4" w:space="0" w:color="auto"/>
              <w:bottom w:val="single" w:sz="4" w:space="0" w:color="auto"/>
            </w:tcBorders>
          </w:tcPr>
          <w:p w:rsidR="002162D5" w:rsidRDefault="00EF51D1">
            <w:pPr>
              <w:pStyle w:val="Compact"/>
            </w:pPr>
            <w:r>
              <w:t>0.763</w:t>
            </w:r>
          </w:p>
        </w:tc>
        <w:tc>
          <w:tcPr>
            <w:tcW w:w="0" w:type="auto"/>
            <w:tcBorders>
              <w:top w:val="single" w:sz="4" w:space="0" w:color="auto"/>
              <w:bottom w:val="single" w:sz="4" w:space="0" w:color="auto"/>
            </w:tcBorders>
          </w:tcPr>
          <w:p w:rsidR="002162D5" w:rsidRDefault="00EF51D1">
            <w:pPr>
              <w:pStyle w:val="Compact"/>
            </w:pPr>
            <w:r>
              <w:t>0.81</w:t>
            </w:r>
          </w:p>
        </w:tc>
        <w:tc>
          <w:tcPr>
            <w:tcW w:w="0" w:type="auto"/>
            <w:tcBorders>
              <w:top w:val="single" w:sz="4" w:space="0" w:color="auto"/>
              <w:bottom w:val="single" w:sz="4" w:space="0" w:color="auto"/>
            </w:tcBorders>
          </w:tcPr>
          <w:p w:rsidR="002162D5" w:rsidRDefault="00EF51D1">
            <w:pPr>
              <w:pStyle w:val="Compact"/>
            </w:pPr>
            <w:r>
              <w:t>0.427</w:t>
            </w:r>
          </w:p>
        </w:tc>
      </w:tr>
      <w:tr w:rsidR="002162D5" w:rsidTr="007E57C6">
        <w:tc>
          <w:tcPr>
            <w:tcW w:w="0" w:type="auto"/>
            <w:tcBorders>
              <w:top w:val="single" w:sz="4" w:space="0" w:color="auto"/>
              <w:bottom w:val="single" w:sz="4" w:space="0" w:color="auto"/>
            </w:tcBorders>
          </w:tcPr>
          <w:p w:rsidR="002162D5" w:rsidRDefault="00EF51D1">
            <w:pPr>
              <w:pStyle w:val="Compact"/>
            </w:pPr>
            <w:r>
              <w:rPr>
                <w:b/>
                <w:bCs/>
              </w:rPr>
              <w:t>drop JPN, ITA, GRC</w:t>
            </w:r>
          </w:p>
        </w:tc>
        <w:tc>
          <w:tcPr>
            <w:tcW w:w="0" w:type="auto"/>
            <w:tcBorders>
              <w:top w:val="single" w:sz="4" w:space="0" w:color="auto"/>
              <w:bottom w:val="single" w:sz="4" w:space="0" w:color="auto"/>
            </w:tcBorders>
          </w:tcPr>
          <w:p w:rsidR="002162D5" w:rsidRDefault="00EF51D1">
            <w:pPr>
              <w:pStyle w:val="Compact"/>
            </w:pPr>
            <w:r>
              <w:t>29</w:t>
            </w:r>
          </w:p>
        </w:tc>
        <w:tc>
          <w:tcPr>
            <w:tcW w:w="0" w:type="auto"/>
            <w:tcBorders>
              <w:top w:val="single" w:sz="4" w:space="0" w:color="auto"/>
              <w:bottom w:val="single" w:sz="4" w:space="0" w:color="auto"/>
            </w:tcBorders>
          </w:tcPr>
          <w:p w:rsidR="002162D5" w:rsidRDefault="00EF51D1">
            <w:pPr>
              <w:pStyle w:val="Compact"/>
            </w:pPr>
            <w:r>
              <w:rPr>
                <w:b/>
                <w:bCs/>
              </w:rPr>
              <w:t>0.547</w:t>
            </w:r>
          </w:p>
        </w:tc>
        <w:tc>
          <w:tcPr>
            <w:tcW w:w="0" w:type="auto"/>
            <w:tcBorders>
              <w:top w:val="single" w:sz="4" w:space="0" w:color="auto"/>
              <w:bottom w:val="single" w:sz="4" w:space="0" w:color="auto"/>
            </w:tcBorders>
          </w:tcPr>
          <w:p w:rsidR="002162D5" w:rsidRDefault="00EF51D1">
            <w:pPr>
              <w:pStyle w:val="Compact"/>
            </w:pPr>
            <w:r>
              <w:rPr>
                <w:b/>
                <w:bCs/>
              </w:rPr>
              <w:t>1.25</w:t>
            </w:r>
          </w:p>
        </w:tc>
        <w:tc>
          <w:tcPr>
            <w:tcW w:w="0" w:type="auto"/>
            <w:tcBorders>
              <w:top w:val="single" w:sz="4" w:space="0" w:color="auto"/>
              <w:bottom w:val="single" w:sz="4" w:space="0" w:color="auto"/>
            </w:tcBorders>
          </w:tcPr>
          <w:p w:rsidR="002162D5" w:rsidRDefault="00EF51D1">
            <w:pPr>
              <w:pStyle w:val="Compact"/>
            </w:pPr>
            <w:r>
              <w:rPr>
                <w:b/>
                <w:bCs/>
              </w:rPr>
              <w:t>0.212</w:t>
            </w:r>
          </w:p>
        </w:tc>
        <w:tc>
          <w:tcPr>
            <w:tcW w:w="0" w:type="auto"/>
            <w:tcBorders>
              <w:top w:val="single" w:sz="4" w:space="0" w:color="auto"/>
              <w:bottom w:val="single" w:sz="4" w:space="0" w:color="auto"/>
            </w:tcBorders>
          </w:tcPr>
          <w:p w:rsidR="002162D5" w:rsidRDefault="00EF51D1">
            <w:pPr>
              <w:pStyle w:val="Compact"/>
            </w:pPr>
            <w:r>
              <w:t>0.518</w:t>
            </w:r>
          </w:p>
        </w:tc>
        <w:tc>
          <w:tcPr>
            <w:tcW w:w="0" w:type="auto"/>
            <w:tcBorders>
              <w:top w:val="single" w:sz="4" w:space="0" w:color="auto"/>
              <w:bottom w:val="single" w:sz="4" w:space="0" w:color="auto"/>
            </w:tcBorders>
          </w:tcPr>
          <w:p w:rsidR="002162D5" w:rsidRDefault="00EF51D1">
            <w:pPr>
              <w:pStyle w:val="Compact"/>
            </w:pPr>
            <w:r>
              <w:t>0.73</w:t>
            </w:r>
          </w:p>
        </w:tc>
        <w:tc>
          <w:tcPr>
            <w:tcW w:w="0" w:type="auto"/>
            <w:tcBorders>
              <w:top w:val="single" w:sz="4" w:space="0" w:color="auto"/>
              <w:bottom w:val="single" w:sz="4" w:space="0" w:color="auto"/>
            </w:tcBorders>
          </w:tcPr>
          <w:p w:rsidR="002162D5" w:rsidRDefault="00EF51D1">
            <w:pPr>
              <w:pStyle w:val="Compact"/>
            </w:pPr>
            <w:r>
              <w:t>0.467</w:t>
            </w:r>
          </w:p>
        </w:tc>
        <w:tc>
          <w:tcPr>
            <w:tcW w:w="0" w:type="auto"/>
            <w:tcBorders>
              <w:top w:val="single" w:sz="4" w:space="0" w:color="auto"/>
              <w:bottom w:val="single" w:sz="4" w:space="0" w:color="auto"/>
            </w:tcBorders>
          </w:tcPr>
          <w:p w:rsidR="002162D5" w:rsidRDefault="00EF51D1">
            <w:pPr>
              <w:pStyle w:val="Compact"/>
            </w:pPr>
            <w:r>
              <w:t>0.199</w:t>
            </w:r>
          </w:p>
        </w:tc>
        <w:tc>
          <w:tcPr>
            <w:tcW w:w="0" w:type="auto"/>
            <w:tcBorders>
              <w:top w:val="single" w:sz="4" w:space="0" w:color="auto"/>
              <w:bottom w:val="single" w:sz="4" w:space="0" w:color="auto"/>
            </w:tcBorders>
          </w:tcPr>
          <w:p w:rsidR="002162D5" w:rsidRDefault="00EF51D1">
            <w:pPr>
              <w:pStyle w:val="Compact"/>
            </w:pPr>
            <w:r>
              <w:t>0.21</w:t>
            </w:r>
          </w:p>
        </w:tc>
        <w:tc>
          <w:tcPr>
            <w:tcW w:w="0" w:type="auto"/>
            <w:tcBorders>
              <w:top w:val="single" w:sz="4" w:space="0" w:color="auto"/>
              <w:bottom w:val="single" w:sz="4" w:space="0" w:color="auto"/>
            </w:tcBorders>
          </w:tcPr>
          <w:p w:rsidR="002162D5" w:rsidRDefault="00EF51D1">
            <w:pPr>
              <w:pStyle w:val="Compact"/>
            </w:pPr>
            <w:r>
              <w:t>0.832</w:t>
            </w:r>
          </w:p>
        </w:tc>
      </w:tr>
      <w:tr w:rsidR="002162D5" w:rsidTr="007E57C6">
        <w:tc>
          <w:tcPr>
            <w:tcW w:w="0" w:type="auto"/>
            <w:tcBorders>
              <w:top w:val="single" w:sz="4" w:space="0" w:color="auto"/>
              <w:bottom w:val="single" w:sz="4" w:space="0" w:color="auto"/>
            </w:tcBorders>
          </w:tcPr>
          <w:p w:rsidR="002162D5" w:rsidRDefault="00EF51D1">
            <w:pPr>
              <w:pStyle w:val="Compact"/>
            </w:pPr>
            <w:r>
              <w:t xml:space="preserve">drop top-3 Cook’s </w:t>
            </w:r>
            <m:oMath>
              <m:r>
                <w:rPr>
                  <w:rFonts w:ascii="Cambria Math" w:hAnsi="Cambria Math"/>
                </w:rPr>
                <m:t>D</m:t>
              </m:r>
            </m:oMath>
          </w:p>
        </w:tc>
        <w:tc>
          <w:tcPr>
            <w:tcW w:w="0" w:type="auto"/>
            <w:tcBorders>
              <w:top w:val="single" w:sz="4" w:space="0" w:color="auto"/>
              <w:bottom w:val="single" w:sz="4" w:space="0" w:color="auto"/>
            </w:tcBorders>
          </w:tcPr>
          <w:p w:rsidR="002162D5" w:rsidRDefault="00EF51D1">
            <w:pPr>
              <w:pStyle w:val="Compact"/>
            </w:pPr>
            <w:r>
              <w:t>29</w:t>
            </w:r>
          </w:p>
        </w:tc>
        <w:tc>
          <w:tcPr>
            <w:tcW w:w="0" w:type="auto"/>
            <w:tcBorders>
              <w:top w:val="single" w:sz="4" w:space="0" w:color="auto"/>
              <w:bottom w:val="single" w:sz="4" w:space="0" w:color="auto"/>
            </w:tcBorders>
          </w:tcPr>
          <w:p w:rsidR="002162D5" w:rsidRDefault="00EF51D1">
            <w:pPr>
              <w:pStyle w:val="Compact"/>
            </w:pPr>
            <w:r>
              <w:t>0.856</w:t>
            </w:r>
          </w:p>
        </w:tc>
        <w:tc>
          <w:tcPr>
            <w:tcW w:w="0" w:type="auto"/>
            <w:tcBorders>
              <w:top w:val="single" w:sz="4" w:space="0" w:color="auto"/>
              <w:bottom w:val="single" w:sz="4" w:space="0" w:color="auto"/>
            </w:tcBorders>
          </w:tcPr>
          <w:p w:rsidR="002162D5" w:rsidRDefault="00EF51D1">
            <w:pPr>
              <w:pStyle w:val="Compact"/>
            </w:pPr>
            <w:r>
              <w:rPr>
                <w:b/>
                <w:bCs/>
              </w:rPr>
              <w:t>1.97</w:t>
            </w:r>
          </w:p>
        </w:tc>
        <w:tc>
          <w:tcPr>
            <w:tcW w:w="0" w:type="auto"/>
            <w:tcBorders>
              <w:top w:val="single" w:sz="4" w:space="0" w:color="auto"/>
              <w:bottom w:val="single" w:sz="4" w:space="0" w:color="auto"/>
            </w:tcBorders>
          </w:tcPr>
          <w:p w:rsidR="002162D5" w:rsidRDefault="00EF51D1">
            <w:pPr>
              <w:pStyle w:val="Compact"/>
            </w:pPr>
            <w:r>
              <w:rPr>
                <w:b/>
                <w:bCs/>
              </w:rPr>
              <w:t>0.049</w:t>
            </w:r>
          </w:p>
        </w:tc>
        <w:tc>
          <w:tcPr>
            <w:tcW w:w="0" w:type="auto"/>
            <w:tcBorders>
              <w:top w:val="single" w:sz="4" w:space="0" w:color="auto"/>
              <w:bottom w:val="single" w:sz="4" w:space="0" w:color="auto"/>
            </w:tcBorders>
          </w:tcPr>
          <w:p w:rsidR="002162D5" w:rsidRDefault="00EF51D1">
            <w:pPr>
              <w:pStyle w:val="Compact"/>
            </w:pPr>
            <w:r>
              <w:t>0.831</w:t>
            </w:r>
          </w:p>
        </w:tc>
        <w:tc>
          <w:tcPr>
            <w:tcW w:w="0" w:type="auto"/>
            <w:tcBorders>
              <w:top w:val="single" w:sz="4" w:space="0" w:color="auto"/>
              <w:bottom w:val="single" w:sz="4" w:space="0" w:color="auto"/>
            </w:tcBorders>
          </w:tcPr>
          <w:p w:rsidR="002162D5" w:rsidRDefault="00EF51D1">
            <w:pPr>
              <w:pStyle w:val="Compact"/>
            </w:pPr>
            <w:r>
              <w:t>1.43</w:t>
            </w:r>
          </w:p>
        </w:tc>
        <w:tc>
          <w:tcPr>
            <w:tcW w:w="0" w:type="auto"/>
            <w:tcBorders>
              <w:top w:val="single" w:sz="4" w:space="0" w:color="auto"/>
              <w:bottom w:val="single" w:sz="4" w:space="0" w:color="auto"/>
            </w:tcBorders>
          </w:tcPr>
          <w:p w:rsidR="002162D5" w:rsidRDefault="00EF51D1">
            <w:pPr>
              <w:pStyle w:val="Compact"/>
            </w:pPr>
            <w:r>
              <w:t>0.152</w:t>
            </w:r>
          </w:p>
        </w:tc>
        <w:tc>
          <w:tcPr>
            <w:tcW w:w="0" w:type="auto"/>
            <w:tcBorders>
              <w:top w:val="single" w:sz="4" w:space="0" w:color="auto"/>
              <w:bottom w:val="single" w:sz="4" w:space="0" w:color="auto"/>
            </w:tcBorders>
          </w:tcPr>
          <w:p w:rsidR="002162D5" w:rsidRDefault="00EF51D1">
            <w:pPr>
              <w:pStyle w:val="Compact"/>
            </w:pPr>
            <w:r>
              <w:t>0.763</w:t>
            </w:r>
          </w:p>
        </w:tc>
        <w:tc>
          <w:tcPr>
            <w:tcW w:w="0" w:type="auto"/>
            <w:tcBorders>
              <w:top w:val="single" w:sz="4" w:space="0" w:color="auto"/>
              <w:bottom w:val="single" w:sz="4" w:space="0" w:color="auto"/>
            </w:tcBorders>
          </w:tcPr>
          <w:p w:rsidR="002162D5" w:rsidRDefault="00EF51D1">
            <w:pPr>
              <w:pStyle w:val="Compact"/>
            </w:pPr>
            <w:r>
              <w:t>0.94</w:t>
            </w:r>
          </w:p>
        </w:tc>
        <w:tc>
          <w:tcPr>
            <w:tcW w:w="0" w:type="auto"/>
            <w:tcBorders>
              <w:top w:val="single" w:sz="4" w:space="0" w:color="auto"/>
              <w:bottom w:val="single" w:sz="4" w:space="0" w:color="auto"/>
            </w:tcBorders>
          </w:tcPr>
          <w:p w:rsidR="002162D5" w:rsidRDefault="00EF51D1">
            <w:pPr>
              <w:pStyle w:val="Compact"/>
            </w:pPr>
            <w:r>
              <w:t>0.354</w:t>
            </w:r>
          </w:p>
        </w:tc>
      </w:tr>
      <w:tr w:rsidR="002162D5" w:rsidTr="007E57C6">
        <w:tc>
          <w:tcPr>
            <w:tcW w:w="0" w:type="auto"/>
            <w:tcBorders>
              <w:top w:val="single" w:sz="4" w:space="0" w:color="auto"/>
              <w:bottom w:val="single" w:sz="4" w:space="0" w:color="auto"/>
            </w:tcBorders>
          </w:tcPr>
          <w:p w:rsidR="002162D5" w:rsidRDefault="00EF51D1">
            <w:pPr>
              <w:pStyle w:val="Compact"/>
            </w:pPr>
            <w:r>
              <w:t>advanced only</w:t>
            </w:r>
          </w:p>
        </w:tc>
        <w:tc>
          <w:tcPr>
            <w:tcW w:w="0" w:type="auto"/>
            <w:tcBorders>
              <w:top w:val="single" w:sz="4" w:space="0" w:color="auto"/>
              <w:bottom w:val="single" w:sz="4" w:space="0" w:color="auto"/>
            </w:tcBorders>
          </w:tcPr>
          <w:p w:rsidR="002162D5" w:rsidRDefault="00EF51D1">
            <w:pPr>
              <w:pStyle w:val="Compact"/>
            </w:pPr>
            <w:r>
              <w:t>26</w:t>
            </w:r>
          </w:p>
        </w:tc>
        <w:tc>
          <w:tcPr>
            <w:tcW w:w="0" w:type="auto"/>
            <w:tcBorders>
              <w:top w:val="single" w:sz="4" w:space="0" w:color="auto"/>
              <w:bottom w:val="single" w:sz="4" w:space="0" w:color="auto"/>
            </w:tcBorders>
          </w:tcPr>
          <w:p w:rsidR="002162D5" w:rsidRDefault="00EF51D1">
            <w:pPr>
              <w:pStyle w:val="Compact"/>
            </w:pPr>
            <w:r>
              <w:t>1.345</w:t>
            </w:r>
          </w:p>
        </w:tc>
        <w:tc>
          <w:tcPr>
            <w:tcW w:w="0" w:type="auto"/>
            <w:tcBorders>
              <w:top w:val="single" w:sz="4" w:space="0" w:color="auto"/>
              <w:bottom w:val="single" w:sz="4" w:space="0" w:color="auto"/>
            </w:tcBorders>
          </w:tcPr>
          <w:p w:rsidR="002162D5" w:rsidRDefault="00EF51D1">
            <w:pPr>
              <w:pStyle w:val="Compact"/>
            </w:pPr>
            <w:r>
              <w:t>1.92</w:t>
            </w:r>
          </w:p>
        </w:tc>
        <w:tc>
          <w:tcPr>
            <w:tcW w:w="0" w:type="auto"/>
            <w:tcBorders>
              <w:top w:val="single" w:sz="4" w:space="0" w:color="auto"/>
              <w:bottom w:val="single" w:sz="4" w:space="0" w:color="auto"/>
            </w:tcBorders>
          </w:tcPr>
          <w:p w:rsidR="002162D5" w:rsidRDefault="00EF51D1">
            <w:pPr>
              <w:pStyle w:val="Compact"/>
            </w:pPr>
            <w:r>
              <w:t>0.055</w:t>
            </w:r>
          </w:p>
        </w:tc>
        <w:tc>
          <w:tcPr>
            <w:tcW w:w="0" w:type="auto"/>
            <w:tcBorders>
              <w:top w:val="single" w:sz="4" w:space="0" w:color="auto"/>
              <w:bottom w:val="single" w:sz="4" w:space="0" w:color="auto"/>
            </w:tcBorders>
          </w:tcPr>
          <w:p w:rsidR="002162D5" w:rsidRDefault="00EF51D1">
            <w:pPr>
              <w:pStyle w:val="Compact"/>
            </w:pPr>
            <w:r>
              <w:t>1.213</w:t>
            </w:r>
          </w:p>
        </w:tc>
        <w:tc>
          <w:tcPr>
            <w:tcW w:w="0" w:type="auto"/>
            <w:tcBorders>
              <w:top w:val="single" w:sz="4" w:space="0" w:color="auto"/>
              <w:bottom w:val="single" w:sz="4" w:space="0" w:color="auto"/>
            </w:tcBorders>
          </w:tcPr>
          <w:p w:rsidR="002162D5" w:rsidRDefault="00EF51D1">
            <w:pPr>
              <w:pStyle w:val="Compact"/>
            </w:pPr>
            <w:r>
              <w:t>1.52</w:t>
            </w:r>
          </w:p>
        </w:tc>
        <w:tc>
          <w:tcPr>
            <w:tcW w:w="0" w:type="auto"/>
            <w:tcBorders>
              <w:top w:val="single" w:sz="4" w:space="0" w:color="auto"/>
              <w:bottom w:val="single" w:sz="4" w:space="0" w:color="auto"/>
            </w:tcBorders>
          </w:tcPr>
          <w:p w:rsidR="002162D5" w:rsidRDefault="00EF51D1">
            <w:pPr>
              <w:pStyle w:val="Compact"/>
            </w:pPr>
            <w:r>
              <w:t>0.128</w:t>
            </w:r>
          </w:p>
        </w:tc>
        <w:tc>
          <w:tcPr>
            <w:tcW w:w="0" w:type="auto"/>
            <w:tcBorders>
              <w:top w:val="single" w:sz="4" w:space="0" w:color="auto"/>
              <w:bottom w:val="single" w:sz="4" w:space="0" w:color="auto"/>
            </w:tcBorders>
          </w:tcPr>
          <w:p w:rsidR="002162D5" w:rsidRDefault="00EF51D1">
            <w:pPr>
              <w:pStyle w:val="Compact"/>
            </w:pPr>
            <w:r>
              <w:t>0.918</w:t>
            </w:r>
          </w:p>
        </w:tc>
        <w:tc>
          <w:tcPr>
            <w:tcW w:w="0" w:type="auto"/>
            <w:tcBorders>
              <w:top w:val="single" w:sz="4" w:space="0" w:color="auto"/>
              <w:bottom w:val="single" w:sz="4" w:space="0" w:color="auto"/>
            </w:tcBorders>
          </w:tcPr>
          <w:p w:rsidR="002162D5" w:rsidRDefault="00EF51D1">
            <w:pPr>
              <w:pStyle w:val="Compact"/>
            </w:pPr>
            <w:r>
              <w:t>0.75</w:t>
            </w:r>
          </w:p>
        </w:tc>
        <w:tc>
          <w:tcPr>
            <w:tcW w:w="0" w:type="auto"/>
            <w:tcBorders>
              <w:top w:val="single" w:sz="4" w:space="0" w:color="auto"/>
              <w:bottom w:val="single" w:sz="4" w:space="0" w:color="auto"/>
            </w:tcBorders>
          </w:tcPr>
          <w:p w:rsidR="002162D5" w:rsidRDefault="00EF51D1">
            <w:pPr>
              <w:pStyle w:val="Compact"/>
            </w:pPr>
            <w:r>
              <w:t>0.461</w:t>
            </w:r>
          </w:p>
        </w:tc>
      </w:tr>
      <w:tr w:rsidR="002162D5" w:rsidTr="007E57C6">
        <w:tc>
          <w:tcPr>
            <w:tcW w:w="0" w:type="auto"/>
            <w:tcBorders>
              <w:top w:val="single" w:sz="4" w:space="0" w:color="auto"/>
              <w:bottom w:val="single" w:sz="4" w:space="0" w:color="auto"/>
            </w:tcBorders>
          </w:tcPr>
          <w:p w:rsidR="002162D5" w:rsidRDefault="00EF51D1">
            <w:pPr>
              <w:pStyle w:val="Compact"/>
            </w:pPr>
            <w:r>
              <w:t>incl. Azerbaijan</w:t>
            </w:r>
          </w:p>
        </w:tc>
        <w:tc>
          <w:tcPr>
            <w:tcW w:w="0" w:type="auto"/>
            <w:tcBorders>
              <w:top w:val="single" w:sz="4" w:space="0" w:color="auto"/>
              <w:bottom w:val="single" w:sz="4" w:space="0" w:color="auto"/>
            </w:tcBorders>
          </w:tcPr>
          <w:p w:rsidR="002162D5" w:rsidRDefault="00EF51D1">
            <w:pPr>
              <w:pStyle w:val="Compact"/>
            </w:pPr>
            <w:r>
              <w:t>33</w:t>
            </w:r>
          </w:p>
        </w:tc>
        <w:tc>
          <w:tcPr>
            <w:tcW w:w="0" w:type="auto"/>
            <w:tcBorders>
              <w:top w:val="single" w:sz="4" w:space="0" w:color="auto"/>
              <w:bottom w:val="single" w:sz="4" w:space="0" w:color="auto"/>
            </w:tcBorders>
          </w:tcPr>
          <w:p w:rsidR="002162D5" w:rsidRDefault="00EF51D1">
            <w:pPr>
              <w:pStyle w:val="Compact"/>
            </w:pPr>
            <w:r>
              <w:t>1.252</w:t>
            </w:r>
          </w:p>
        </w:tc>
        <w:tc>
          <w:tcPr>
            <w:tcW w:w="0" w:type="auto"/>
            <w:tcBorders>
              <w:top w:val="single" w:sz="4" w:space="0" w:color="auto"/>
              <w:bottom w:val="single" w:sz="4" w:space="0" w:color="auto"/>
            </w:tcBorders>
          </w:tcPr>
          <w:p w:rsidR="002162D5" w:rsidRDefault="00EF51D1">
            <w:pPr>
              <w:pStyle w:val="Compact"/>
            </w:pPr>
            <w:r>
              <w:rPr>
                <w:b/>
                <w:bCs/>
              </w:rPr>
              <w:t>2.36</w:t>
            </w:r>
          </w:p>
        </w:tc>
        <w:tc>
          <w:tcPr>
            <w:tcW w:w="0" w:type="auto"/>
            <w:tcBorders>
              <w:top w:val="single" w:sz="4" w:space="0" w:color="auto"/>
              <w:bottom w:val="single" w:sz="4" w:space="0" w:color="auto"/>
            </w:tcBorders>
          </w:tcPr>
          <w:p w:rsidR="002162D5" w:rsidRDefault="00EF51D1">
            <w:pPr>
              <w:pStyle w:val="Compact"/>
            </w:pPr>
            <w:r>
              <w:rPr>
                <w:b/>
                <w:bCs/>
              </w:rPr>
              <w:t>0.018</w:t>
            </w:r>
          </w:p>
        </w:tc>
        <w:tc>
          <w:tcPr>
            <w:tcW w:w="0" w:type="auto"/>
            <w:tcBorders>
              <w:top w:val="single" w:sz="4" w:space="0" w:color="auto"/>
              <w:bottom w:val="single" w:sz="4" w:space="0" w:color="auto"/>
            </w:tcBorders>
          </w:tcPr>
          <w:p w:rsidR="002162D5" w:rsidRDefault="00EF51D1">
            <w:pPr>
              <w:pStyle w:val="Compact"/>
            </w:pPr>
            <w:r>
              <w:t>1.132</w:t>
            </w:r>
          </w:p>
        </w:tc>
        <w:tc>
          <w:tcPr>
            <w:tcW w:w="0" w:type="auto"/>
            <w:tcBorders>
              <w:top w:val="single" w:sz="4" w:space="0" w:color="auto"/>
              <w:bottom w:val="single" w:sz="4" w:space="0" w:color="auto"/>
            </w:tcBorders>
          </w:tcPr>
          <w:p w:rsidR="002162D5" w:rsidRDefault="00EF51D1">
            <w:pPr>
              <w:pStyle w:val="Compact"/>
            </w:pPr>
            <w:r>
              <w:t>1.78</w:t>
            </w:r>
          </w:p>
        </w:tc>
        <w:tc>
          <w:tcPr>
            <w:tcW w:w="0" w:type="auto"/>
            <w:tcBorders>
              <w:top w:val="single" w:sz="4" w:space="0" w:color="auto"/>
              <w:bottom w:val="single" w:sz="4" w:space="0" w:color="auto"/>
            </w:tcBorders>
          </w:tcPr>
          <w:p w:rsidR="002162D5" w:rsidRDefault="00EF51D1">
            <w:pPr>
              <w:pStyle w:val="Compact"/>
            </w:pPr>
            <w:r>
              <w:t>0.075</w:t>
            </w:r>
          </w:p>
        </w:tc>
        <w:tc>
          <w:tcPr>
            <w:tcW w:w="0" w:type="auto"/>
            <w:tcBorders>
              <w:top w:val="single" w:sz="4" w:space="0" w:color="auto"/>
              <w:bottom w:val="single" w:sz="4" w:space="0" w:color="auto"/>
            </w:tcBorders>
          </w:tcPr>
          <w:p w:rsidR="002162D5" w:rsidRDefault="00EF51D1">
            <w:pPr>
              <w:pStyle w:val="Compact"/>
            </w:pPr>
            <w:r>
              <w:t>0.775</w:t>
            </w:r>
          </w:p>
        </w:tc>
        <w:tc>
          <w:tcPr>
            <w:tcW w:w="0" w:type="auto"/>
            <w:tcBorders>
              <w:top w:val="single" w:sz="4" w:space="0" w:color="auto"/>
              <w:bottom w:val="single" w:sz="4" w:space="0" w:color="auto"/>
            </w:tcBorders>
          </w:tcPr>
          <w:p w:rsidR="002162D5" w:rsidRDefault="00EF51D1">
            <w:pPr>
              <w:pStyle w:val="Compact"/>
            </w:pPr>
            <w:r>
              <w:t>0.84</w:t>
            </w:r>
          </w:p>
        </w:tc>
        <w:tc>
          <w:tcPr>
            <w:tcW w:w="0" w:type="auto"/>
            <w:tcBorders>
              <w:top w:val="single" w:sz="4" w:space="0" w:color="auto"/>
              <w:bottom w:val="single" w:sz="4" w:space="0" w:color="auto"/>
            </w:tcBorders>
          </w:tcPr>
          <w:p w:rsidR="002162D5" w:rsidRDefault="00EF51D1">
            <w:pPr>
              <w:pStyle w:val="Compact"/>
            </w:pPr>
            <w:r>
              <w:t>0.408</w:t>
            </w:r>
          </w:p>
        </w:tc>
      </w:tr>
      <w:tr w:rsidR="002162D5" w:rsidTr="007E57C6">
        <w:tc>
          <w:tcPr>
            <w:tcW w:w="0" w:type="auto"/>
            <w:tcBorders>
              <w:top w:val="single" w:sz="4" w:space="0" w:color="auto"/>
              <w:bottom w:val="single" w:sz="4" w:space="0" w:color="auto"/>
            </w:tcBorders>
          </w:tcPr>
          <w:p w:rsidR="002162D5" w:rsidRDefault="00EF51D1">
            <w:pPr>
              <w:pStyle w:val="Compact"/>
            </w:pPr>
            <w:r>
              <w:t>winsorised outcome</w:t>
            </w:r>
          </w:p>
        </w:tc>
        <w:tc>
          <w:tcPr>
            <w:tcW w:w="0" w:type="auto"/>
            <w:tcBorders>
              <w:top w:val="single" w:sz="4" w:space="0" w:color="auto"/>
              <w:bottom w:val="single" w:sz="4" w:space="0" w:color="auto"/>
            </w:tcBorders>
          </w:tcPr>
          <w:p w:rsidR="002162D5" w:rsidRDefault="00EF51D1">
            <w:pPr>
              <w:pStyle w:val="Compact"/>
            </w:pPr>
            <w:r>
              <w:t>32</w:t>
            </w:r>
          </w:p>
        </w:tc>
        <w:tc>
          <w:tcPr>
            <w:tcW w:w="0" w:type="auto"/>
            <w:tcBorders>
              <w:top w:val="single" w:sz="4" w:space="0" w:color="auto"/>
              <w:bottom w:val="single" w:sz="4" w:space="0" w:color="auto"/>
            </w:tcBorders>
          </w:tcPr>
          <w:p w:rsidR="002162D5" w:rsidRDefault="00EF51D1">
            <w:pPr>
              <w:pStyle w:val="Compact"/>
            </w:pPr>
            <w:r>
              <w:t>1.020</w:t>
            </w:r>
          </w:p>
        </w:tc>
        <w:tc>
          <w:tcPr>
            <w:tcW w:w="0" w:type="auto"/>
            <w:tcBorders>
              <w:top w:val="single" w:sz="4" w:space="0" w:color="auto"/>
              <w:bottom w:val="single" w:sz="4" w:space="0" w:color="auto"/>
            </w:tcBorders>
          </w:tcPr>
          <w:p w:rsidR="002162D5" w:rsidRDefault="00EF51D1">
            <w:pPr>
              <w:pStyle w:val="Compact"/>
            </w:pPr>
            <w:r>
              <w:rPr>
                <w:b/>
                <w:bCs/>
              </w:rPr>
              <w:t>2.36</w:t>
            </w:r>
          </w:p>
        </w:tc>
        <w:tc>
          <w:tcPr>
            <w:tcW w:w="0" w:type="auto"/>
            <w:tcBorders>
              <w:top w:val="single" w:sz="4" w:space="0" w:color="auto"/>
              <w:bottom w:val="single" w:sz="4" w:space="0" w:color="auto"/>
            </w:tcBorders>
          </w:tcPr>
          <w:p w:rsidR="002162D5" w:rsidRDefault="00EF51D1">
            <w:pPr>
              <w:pStyle w:val="Compact"/>
            </w:pPr>
            <w:r>
              <w:rPr>
                <w:b/>
                <w:bCs/>
              </w:rPr>
              <w:t>0.018</w:t>
            </w:r>
          </w:p>
        </w:tc>
        <w:tc>
          <w:tcPr>
            <w:tcW w:w="0" w:type="auto"/>
            <w:tcBorders>
              <w:top w:val="single" w:sz="4" w:space="0" w:color="auto"/>
              <w:bottom w:val="single" w:sz="4" w:space="0" w:color="auto"/>
            </w:tcBorders>
          </w:tcPr>
          <w:p w:rsidR="002162D5" w:rsidRDefault="00EF51D1">
            <w:pPr>
              <w:pStyle w:val="Compact"/>
            </w:pPr>
            <w:r>
              <w:t>1.034</w:t>
            </w:r>
          </w:p>
        </w:tc>
        <w:tc>
          <w:tcPr>
            <w:tcW w:w="0" w:type="auto"/>
            <w:tcBorders>
              <w:top w:val="single" w:sz="4" w:space="0" w:color="auto"/>
              <w:bottom w:val="single" w:sz="4" w:space="0" w:color="auto"/>
            </w:tcBorders>
          </w:tcPr>
          <w:p w:rsidR="002162D5" w:rsidRDefault="00EF51D1">
            <w:pPr>
              <w:pStyle w:val="Compact"/>
            </w:pPr>
            <w:r>
              <w:t>1.60</w:t>
            </w:r>
          </w:p>
        </w:tc>
        <w:tc>
          <w:tcPr>
            <w:tcW w:w="0" w:type="auto"/>
            <w:tcBorders>
              <w:top w:val="single" w:sz="4" w:space="0" w:color="auto"/>
              <w:bottom w:val="single" w:sz="4" w:space="0" w:color="auto"/>
            </w:tcBorders>
          </w:tcPr>
          <w:p w:rsidR="002162D5" w:rsidRDefault="00EF51D1">
            <w:pPr>
              <w:pStyle w:val="Compact"/>
            </w:pPr>
            <w:r>
              <w:t>0.110</w:t>
            </w:r>
          </w:p>
        </w:tc>
        <w:tc>
          <w:tcPr>
            <w:tcW w:w="0" w:type="auto"/>
            <w:tcBorders>
              <w:top w:val="single" w:sz="4" w:space="0" w:color="auto"/>
              <w:bottom w:val="single" w:sz="4" w:space="0" w:color="auto"/>
            </w:tcBorders>
          </w:tcPr>
          <w:p w:rsidR="002162D5" w:rsidRDefault="00EF51D1">
            <w:pPr>
              <w:pStyle w:val="Compact"/>
            </w:pPr>
            <w:r>
              <w:t>0.782</w:t>
            </w:r>
          </w:p>
        </w:tc>
        <w:tc>
          <w:tcPr>
            <w:tcW w:w="0" w:type="auto"/>
            <w:tcBorders>
              <w:top w:val="single" w:sz="4" w:space="0" w:color="auto"/>
              <w:bottom w:val="single" w:sz="4" w:space="0" w:color="auto"/>
            </w:tcBorders>
          </w:tcPr>
          <w:p w:rsidR="002162D5" w:rsidRDefault="00EF51D1">
            <w:pPr>
              <w:pStyle w:val="Compact"/>
            </w:pPr>
            <w:r>
              <w:t>0.91</w:t>
            </w:r>
          </w:p>
        </w:tc>
        <w:tc>
          <w:tcPr>
            <w:tcW w:w="0" w:type="auto"/>
            <w:tcBorders>
              <w:top w:val="single" w:sz="4" w:space="0" w:color="auto"/>
              <w:bottom w:val="single" w:sz="4" w:space="0" w:color="auto"/>
            </w:tcBorders>
          </w:tcPr>
          <w:p w:rsidR="002162D5" w:rsidRDefault="00EF51D1">
            <w:pPr>
              <w:pStyle w:val="Compact"/>
            </w:pPr>
            <w:r>
              <w:t>0.368</w:t>
            </w:r>
          </w:p>
        </w:tc>
      </w:tr>
    </w:tbl>
    <w:p w:rsidR="007E57C6" w:rsidRDefault="007E57C6">
      <w:pPr>
        <w:pStyle w:val="a0"/>
        <w:rPr>
          <w:i/>
          <w:iCs/>
        </w:rPr>
      </w:pPr>
    </w:p>
    <w:p w:rsidR="002162D5" w:rsidRDefault="00EF51D1">
      <w:pPr>
        <w:pStyle w:val="a0"/>
      </w:pPr>
      <w:r>
        <w:rPr>
          <w:i/>
          <w:iCs/>
        </w:rPr>
        <w:t>Panel B — fit, rank-based and permutation evidence</w:t>
      </w:r>
    </w:p>
    <w:tbl>
      <w:tblPr>
        <w:tblStyle w:val="Table"/>
        <w:tblW w:w="0" w:type="auto"/>
        <w:tblLook w:val="0020" w:firstRow="1" w:lastRow="0" w:firstColumn="0" w:lastColumn="0" w:noHBand="0" w:noVBand="0"/>
      </w:tblPr>
      <w:tblGrid>
        <w:gridCol w:w="2227"/>
        <w:gridCol w:w="436"/>
        <w:gridCol w:w="711"/>
        <w:gridCol w:w="1389"/>
        <w:gridCol w:w="772"/>
        <w:gridCol w:w="1066"/>
      </w:tblGrid>
      <w:tr w:rsidR="002162D5" w:rsidTr="007E57C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rsidR="002162D5" w:rsidRDefault="00EF51D1">
            <w:pPr>
              <w:pStyle w:val="Compact"/>
            </w:pPr>
            <w:r>
              <w:t>Sample</w:t>
            </w:r>
          </w:p>
        </w:tc>
        <w:tc>
          <w:tcPr>
            <w:tcW w:w="0" w:type="auto"/>
            <w:tcBorders>
              <w:top w:val="single" w:sz="4" w:space="0" w:color="auto"/>
              <w:bottom w:val="single" w:sz="4" w:space="0" w:color="auto"/>
            </w:tcBorders>
          </w:tcPr>
          <w:p w:rsidR="002162D5" w:rsidRDefault="00EF51D1">
            <w:pPr>
              <w:pStyle w:val="Compact"/>
            </w:pPr>
            <m:oMathPara>
              <m:oMath>
                <m:r>
                  <w:rPr>
                    <w:rFonts w:ascii="Cambria Math" w:hAnsi="Cambria Math"/>
                  </w:rPr>
                  <m:t>n</m:t>
                </m:r>
              </m:oMath>
            </m:oMathPara>
          </w:p>
        </w:tc>
        <w:tc>
          <w:tcPr>
            <w:tcW w:w="0" w:type="auto"/>
            <w:tcBorders>
              <w:top w:val="single" w:sz="4" w:space="0" w:color="auto"/>
              <w:bottom w:val="single" w:sz="4" w:space="0" w:color="auto"/>
            </w:tcBorders>
          </w:tcPr>
          <w:p w:rsidR="002162D5" w:rsidRDefault="007E57C6">
            <w:pPr>
              <w:pStyle w:val="Compact"/>
            </w:pPr>
            <m:oMathPara>
              <m:oMath>
                <m:sSup>
                  <m:sSupPr>
                    <m:ctrlPr>
                      <w:rPr>
                        <w:rFonts w:ascii="Cambria Math" w:hAnsi="Cambria Math"/>
                      </w:rPr>
                    </m:ctrlPr>
                  </m:sSupPr>
                  <m:e>
                    <m:r>
                      <w:rPr>
                        <w:rFonts w:ascii="Cambria Math" w:hAnsi="Cambria Math"/>
                      </w:rPr>
                      <m:t>R</m:t>
                    </m:r>
                  </m:e>
                  <m:sup>
                    <m:r>
                      <w:rPr>
                        <w:rFonts w:ascii="Cambria Math" w:hAnsi="Cambria Math"/>
                      </w:rPr>
                      <m:t>2</m:t>
                    </m:r>
                  </m:sup>
                </m:sSup>
              </m:oMath>
            </m:oMathPara>
          </w:p>
        </w:tc>
        <w:tc>
          <w:tcPr>
            <w:tcW w:w="0" w:type="auto"/>
            <w:tcBorders>
              <w:top w:val="single" w:sz="4" w:space="0" w:color="auto"/>
              <w:bottom w:val="single" w:sz="4" w:space="0" w:color="auto"/>
            </w:tcBorders>
          </w:tcPr>
          <w:p w:rsidR="002162D5" w:rsidRDefault="00EF51D1">
            <w:pPr>
              <w:pStyle w:val="Compact"/>
            </w:pPr>
            <w:r>
              <w:t xml:space="preserve">partial rank </w:t>
            </w:r>
            <m:oMath>
              <m:r>
                <w:rPr>
                  <w:rFonts w:ascii="Cambria Math" w:hAnsi="Cambria Math"/>
                </w:rPr>
                <m:t>r</m:t>
              </m:r>
            </m:oMath>
          </w:p>
        </w:tc>
        <w:tc>
          <w:tcPr>
            <w:tcW w:w="0" w:type="auto"/>
            <w:tcBorders>
              <w:top w:val="single" w:sz="4" w:space="0" w:color="auto"/>
              <w:bottom w:val="single" w:sz="4" w:space="0" w:color="auto"/>
            </w:tcBorders>
          </w:tcPr>
          <w:p w:rsidR="002162D5" w:rsidRDefault="00EF51D1">
            <w:pPr>
              <w:pStyle w:val="Compact"/>
            </w:pPr>
            <w:r>
              <w:t xml:space="preserve">rank </w:t>
            </w:r>
            <w:r>
              <w:rPr>
                <w:i/>
                <w:iCs/>
              </w:rPr>
              <w:t>p</w:t>
            </w:r>
          </w:p>
        </w:tc>
        <w:tc>
          <w:tcPr>
            <w:tcW w:w="0" w:type="auto"/>
            <w:tcBorders>
              <w:top w:val="single" w:sz="4" w:space="0" w:color="auto"/>
              <w:bottom w:val="single" w:sz="4" w:space="0" w:color="auto"/>
            </w:tcBorders>
          </w:tcPr>
          <w:p w:rsidR="002162D5" w:rsidRDefault="00EF51D1">
            <w:pPr>
              <w:pStyle w:val="Compact"/>
            </w:pPr>
            <w:r>
              <w:t xml:space="preserve">placebo </w:t>
            </w:r>
            <w:r>
              <w:rPr>
                <w:i/>
                <w:iCs/>
              </w:rPr>
              <w:t>p</w:t>
            </w:r>
          </w:p>
        </w:tc>
      </w:tr>
      <w:tr w:rsidR="002162D5" w:rsidTr="007E57C6">
        <w:tc>
          <w:tcPr>
            <w:tcW w:w="0" w:type="auto"/>
            <w:tcBorders>
              <w:top w:val="single" w:sz="4" w:space="0" w:color="auto"/>
              <w:bottom w:val="single" w:sz="4" w:space="0" w:color="auto"/>
            </w:tcBorders>
          </w:tcPr>
          <w:p w:rsidR="002162D5" w:rsidRDefault="00EF51D1">
            <w:pPr>
              <w:pStyle w:val="Compact"/>
            </w:pPr>
            <w:r>
              <w:t>full sample</w:t>
            </w:r>
          </w:p>
        </w:tc>
        <w:tc>
          <w:tcPr>
            <w:tcW w:w="0" w:type="auto"/>
            <w:tcBorders>
              <w:top w:val="single" w:sz="4" w:space="0" w:color="auto"/>
              <w:bottom w:val="single" w:sz="4" w:space="0" w:color="auto"/>
            </w:tcBorders>
          </w:tcPr>
          <w:p w:rsidR="002162D5" w:rsidRDefault="00EF51D1">
            <w:pPr>
              <w:pStyle w:val="Compact"/>
            </w:pPr>
            <w:r>
              <w:t>32</w:t>
            </w:r>
          </w:p>
        </w:tc>
        <w:tc>
          <w:tcPr>
            <w:tcW w:w="0" w:type="auto"/>
            <w:tcBorders>
              <w:top w:val="single" w:sz="4" w:space="0" w:color="auto"/>
              <w:bottom w:val="single" w:sz="4" w:space="0" w:color="auto"/>
            </w:tcBorders>
          </w:tcPr>
          <w:p w:rsidR="002162D5" w:rsidRDefault="00EF51D1">
            <w:pPr>
              <w:pStyle w:val="Compact"/>
            </w:pPr>
            <w:r>
              <w:t>0.149</w:t>
            </w:r>
          </w:p>
        </w:tc>
        <w:tc>
          <w:tcPr>
            <w:tcW w:w="0" w:type="auto"/>
            <w:tcBorders>
              <w:top w:val="single" w:sz="4" w:space="0" w:color="auto"/>
              <w:bottom w:val="single" w:sz="4" w:space="0" w:color="auto"/>
            </w:tcBorders>
          </w:tcPr>
          <w:p w:rsidR="002162D5" w:rsidRDefault="00EF51D1">
            <w:pPr>
              <w:pStyle w:val="Compact"/>
            </w:pPr>
            <w:r>
              <w:t>0.327</w:t>
            </w:r>
          </w:p>
        </w:tc>
        <w:tc>
          <w:tcPr>
            <w:tcW w:w="0" w:type="auto"/>
            <w:tcBorders>
              <w:top w:val="single" w:sz="4" w:space="0" w:color="auto"/>
              <w:bottom w:val="single" w:sz="4" w:space="0" w:color="auto"/>
            </w:tcBorders>
          </w:tcPr>
          <w:p w:rsidR="002162D5" w:rsidRDefault="00EF51D1">
            <w:pPr>
              <w:pStyle w:val="Compact"/>
            </w:pPr>
            <w:r>
              <w:t>0.068</w:t>
            </w:r>
          </w:p>
        </w:tc>
        <w:tc>
          <w:tcPr>
            <w:tcW w:w="0" w:type="auto"/>
            <w:tcBorders>
              <w:top w:val="single" w:sz="4" w:space="0" w:color="auto"/>
              <w:bottom w:val="single" w:sz="4" w:space="0" w:color="auto"/>
            </w:tcBorders>
          </w:tcPr>
          <w:p w:rsidR="002162D5" w:rsidRDefault="00EF51D1">
            <w:pPr>
              <w:pStyle w:val="Compact"/>
            </w:pPr>
            <w:r>
              <w:rPr>
                <w:b/>
                <w:bCs/>
              </w:rPr>
              <w:t>0.025</w:t>
            </w:r>
          </w:p>
        </w:tc>
      </w:tr>
      <w:tr w:rsidR="002162D5" w:rsidTr="007E57C6">
        <w:tc>
          <w:tcPr>
            <w:tcW w:w="0" w:type="auto"/>
            <w:tcBorders>
              <w:top w:val="single" w:sz="4" w:space="0" w:color="auto"/>
              <w:bottom w:val="single" w:sz="4" w:space="0" w:color="auto"/>
            </w:tcBorders>
          </w:tcPr>
          <w:p w:rsidR="002162D5" w:rsidRDefault="00EF51D1">
            <w:pPr>
              <w:pStyle w:val="Compact"/>
            </w:pPr>
            <w:r>
              <w:t>drop Japan</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0.108</w:t>
            </w:r>
          </w:p>
        </w:tc>
        <w:tc>
          <w:tcPr>
            <w:tcW w:w="0" w:type="auto"/>
            <w:tcBorders>
              <w:top w:val="single" w:sz="4" w:space="0" w:color="auto"/>
              <w:bottom w:val="single" w:sz="4" w:space="0" w:color="auto"/>
            </w:tcBorders>
          </w:tcPr>
          <w:p w:rsidR="002162D5" w:rsidRDefault="00EF51D1">
            <w:pPr>
              <w:pStyle w:val="Compact"/>
            </w:pPr>
            <w:r>
              <w:t>0.266</w:t>
            </w:r>
          </w:p>
        </w:tc>
        <w:tc>
          <w:tcPr>
            <w:tcW w:w="0" w:type="auto"/>
            <w:tcBorders>
              <w:top w:val="single" w:sz="4" w:space="0" w:color="auto"/>
              <w:bottom w:val="single" w:sz="4" w:space="0" w:color="auto"/>
            </w:tcBorders>
          </w:tcPr>
          <w:p w:rsidR="002162D5" w:rsidRDefault="00EF51D1">
            <w:pPr>
              <w:pStyle w:val="Compact"/>
            </w:pPr>
            <w:r>
              <w:t>0.149</w:t>
            </w:r>
          </w:p>
        </w:tc>
        <w:tc>
          <w:tcPr>
            <w:tcW w:w="0" w:type="auto"/>
            <w:tcBorders>
              <w:top w:val="single" w:sz="4" w:space="0" w:color="auto"/>
              <w:bottom w:val="single" w:sz="4" w:space="0" w:color="auto"/>
            </w:tcBorders>
          </w:tcPr>
          <w:p w:rsidR="002162D5" w:rsidRDefault="00EF51D1">
            <w:pPr>
              <w:pStyle w:val="Compact"/>
            </w:pPr>
            <w:r>
              <w:t>0.059</w:t>
            </w:r>
          </w:p>
        </w:tc>
      </w:tr>
      <w:tr w:rsidR="002162D5" w:rsidTr="007E57C6">
        <w:tc>
          <w:tcPr>
            <w:tcW w:w="0" w:type="auto"/>
            <w:tcBorders>
              <w:top w:val="single" w:sz="4" w:space="0" w:color="auto"/>
              <w:bottom w:val="single" w:sz="4" w:space="0" w:color="auto"/>
            </w:tcBorders>
          </w:tcPr>
          <w:p w:rsidR="002162D5" w:rsidRDefault="00EF51D1">
            <w:pPr>
              <w:pStyle w:val="Compact"/>
            </w:pPr>
            <w:r>
              <w:t>drop Italy</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0.151</w:t>
            </w:r>
          </w:p>
        </w:tc>
        <w:tc>
          <w:tcPr>
            <w:tcW w:w="0" w:type="auto"/>
            <w:tcBorders>
              <w:top w:val="single" w:sz="4" w:space="0" w:color="auto"/>
              <w:bottom w:val="single" w:sz="4" w:space="0" w:color="auto"/>
            </w:tcBorders>
          </w:tcPr>
          <w:p w:rsidR="002162D5" w:rsidRDefault="00EF51D1">
            <w:pPr>
              <w:pStyle w:val="Compact"/>
            </w:pPr>
            <w:r>
              <w:t>0.315</w:t>
            </w:r>
          </w:p>
        </w:tc>
        <w:tc>
          <w:tcPr>
            <w:tcW w:w="0" w:type="auto"/>
            <w:tcBorders>
              <w:top w:val="single" w:sz="4" w:space="0" w:color="auto"/>
              <w:bottom w:val="single" w:sz="4" w:space="0" w:color="auto"/>
            </w:tcBorders>
          </w:tcPr>
          <w:p w:rsidR="002162D5" w:rsidRDefault="00EF51D1">
            <w:pPr>
              <w:pStyle w:val="Compact"/>
            </w:pPr>
            <w:r>
              <w:t>0.084</w:t>
            </w:r>
          </w:p>
        </w:tc>
        <w:tc>
          <w:tcPr>
            <w:tcW w:w="0" w:type="auto"/>
            <w:tcBorders>
              <w:top w:val="single" w:sz="4" w:space="0" w:color="auto"/>
              <w:bottom w:val="single" w:sz="4" w:space="0" w:color="auto"/>
            </w:tcBorders>
          </w:tcPr>
          <w:p w:rsidR="002162D5" w:rsidRDefault="00EF51D1">
            <w:pPr>
              <w:pStyle w:val="Compact"/>
            </w:pPr>
            <w:r>
              <w:rPr>
                <w:b/>
                <w:bCs/>
              </w:rPr>
              <w:t>0.039</w:t>
            </w:r>
          </w:p>
        </w:tc>
      </w:tr>
      <w:tr w:rsidR="002162D5" w:rsidTr="007E57C6">
        <w:tc>
          <w:tcPr>
            <w:tcW w:w="0" w:type="auto"/>
            <w:tcBorders>
              <w:top w:val="single" w:sz="4" w:space="0" w:color="auto"/>
              <w:bottom w:val="single" w:sz="4" w:space="0" w:color="auto"/>
            </w:tcBorders>
          </w:tcPr>
          <w:p w:rsidR="002162D5" w:rsidRDefault="00EF51D1">
            <w:pPr>
              <w:pStyle w:val="Compact"/>
            </w:pPr>
            <w:r>
              <w:t>drop Greece</w:t>
            </w:r>
          </w:p>
        </w:tc>
        <w:tc>
          <w:tcPr>
            <w:tcW w:w="0" w:type="auto"/>
            <w:tcBorders>
              <w:top w:val="single" w:sz="4" w:space="0" w:color="auto"/>
              <w:bottom w:val="single" w:sz="4" w:space="0" w:color="auto"/>
            </w:tcBorders>
          </w:tcPr>
          <w:p w:rsidR="002162D5" w:rsidRDefault="00EF51D1">
            <w:pPr>
              <w:pStyle w:val="Compact"/>
            </w:pPr>
            <w:r>
              <w:t>31</w:t>
            </w:r>
          </w:p>
        </w:tc>
        <w:tc>
          <w:tcPr>
            <w:tcW w:w="0" w:type="auto"/>
            <w:tcBorders>
              <w:top w:val="single" w:sz="4" w:space="0" w:color="auto"/>
              <w:bottom w:val="single" w:sz="4" w:space="0" w:color="auto"/>
            </w:tcBorders>
          </w:tcPr>
          <w:p w:rsidR="002162D5" w:rsidRDefault="00EF51D1">
            <w:pPr>
              <w:pStyle w:val="Compact"/>
            </w:pPr>
            <w:r>
              <w:t>0.129</w:t>
            </w:r>
          </w:p>
        </w:tc>
        <w:tc>
          <w:tcPr>
            <w:tcW w:w="0" w:type="auto"/>
            <w:tcBorders>
              <w:top w:val="single" w:sz="4" w:space="0" w:color="auto"/>
              <w:bottom w:val="single" w:sz="4" w:space="0" w:color="auto"/>
            </w:tcBorders>
          </w:tcPr>
          <w:p w:rsidR="002162D5" w:rsidRDefault="00EF51D1">
            <w:pPr>
              <w:pStyle w:val="Compact"/>
            </w:pPr>
            <w:r>
              <w:t>0.284</w:t>
            </w:r>
          </w:p>
        </w:tc>
        <w:tc>
          <w:tcPr>
            <w:tcW w:w="0" w:type="auto"/>
            <w:tcBorders>
              <w:top w:val="single" w:sz="4" w:space="0" w:color="auto"/>
              <w:bottom w:val="single" w:sz="4" w:space="0" w:color="auto"/>
            </w:tcBorders>
          </w:tcPr>
          <w:p w:rsidR="002162D5" w:rsidRDefault="00EF51D1">
            <w:pPr>
              <w:pStyle w:val="Compact"/>
            </w:pPr>
            <w:r>
              <w:t>0.122</w:t>
            </w:r>
          </w:p>
        </w:tc>
        <w:tc>
          <w:tcPr>
            <w:tcW w:w="0" w:type="auto"/>
            <w:tcBorders>
              <w:top w:val="single" w:sz="4" w:space="0" w:color="auto"/>
              <w:bottom w:val="single" w:sz="4" w:space="0" w:color="auto"/>
            </w:tcBorders>
          </w:tcPr>
          <w:p w:rsidR="002162D5" w:rsidRDefault="00EF51D1">
            <w:pPr>
              <w:pStyle w:val="Compact"/>
            </w:pPr>
            <w:r>
              <w:t>0.070</w:t>
            </w:r>
          </w:p>
        </w:tc>
      </w:tr>
      <w:tr w:rsidR="002162D5" w:rsidTr="007E57C6">
        <w:tc>
          <w:tcPr>
            <w:tcW w:w="0" w:type="auto"/>
            <w:tcBorders>
              <w:top w:val="single" w:sz="4" w:space="0" w:color="auto"/>
              <w:bottom w:val="single" w:sz="4" w:space="0" w:color="auto"/>
            </w:tcBorders>
          </w:tcPr>
          <w:p w:rsidR="002162D5" w:rsidRDefault="00EF51D1">
            <w:pPr>
              <w:pStyle w:val="Compact"/>
            </w:pPr>
            <w:r>
              <w:rPr>
                <w:b/>
                <w:bCs/>
              </w:rPr>
              <w:t>drop JPN, ITA, GRC</w:t>
            </w:r>
          </w:p>
        </w:tc>
        <w:tc>
          <w:tcPr>
            <w:tcW w:w="0" w:type="auto"/>
            <w:tcBorders>
              <w:top w:val="single" w:sz="4" w:space="0" w:color="auto"/>
              <w:bottom w:val="single" w:sz="4" w:space="0" w:color="auto"/>
            </w:tcBorders>
          </w:tcPr>
          <w:p w:rsidR="002162D5" w:rsidRDefault="00EF51D1">
            <w:pPr>
              <w:pStyle w:val="Compact"/>
            </w:pPr>
            <w:r>
              <w:t>29</w:t>
            </w:r>
          </w:p>
        </w:tc>
        <w:tc>
          <w:tcPr>
            <w:tcW w:w="0" w:type="auto"/>
            <w:tcBorders>
              <w:top w:val="single" w:sz="4" w:space="0" w:color="auto"/>
              <w:bottom w:val="single" w:sz="4" w:space="0" w:color="auto"/>
            </w:tcBorders>
          </w:tcPr>
          <w:p w:rsidR="002162D5" w:rsidRDefault="00EF51D1">
            <w:pPr>
              <w:pStyle w:val="Compact"/>
            </w:pPr>
            <w:r>
              <w:t>0.142</w:t>
            </w:r>
          </w:p>
        </w:tc>
        <w:tc>
          <w:tcPr>
            <w:tcW w:w="0" w:type="auto"/>
            <w:tcBorders>
              <w:top w:val="single" w:sz="4" w:space="0" w:color="auto"/>
              <w:bottom w:val="single" w:sz="4" w:space="0" w:color="auto"/>
            </w:tcBorders>
          </w:tcPr>
          <w:p w:rsidR="002162D5" w:rsidRDefault="00EF51D1">
            <w:pPr>
              <w:pStyle w:val="Compact"/>
            </w:pPr>
            <w:r>
              <w:t>0.172</w:t>
            </w:r>
          </w:p>
        </w:tc>
        <w:tc>
          <w:tcPr>
            <w:tcW w:w="0" w:type="auto"/>
            <w:tcBorders>
              <w:top w:val="single" w:sz="4" w:space="0" w:color="auto"/>
              <w:bottom w:val="single" w:sz="4" w:space="0" w:color="auto"/>
            </w:tcBorders>
          </w:tcPr>
          <w:p w:rsidR="002162D5" w:rsidRDefault="00EF51D1">
            <w:pPr>
              <w:pStyle w:val="Compact"/>
            </w:pPr>
            <w:r>
              <w:t>0.371</w:t>
            </w:r>
          </w:p>
        </w:tc>
        <w:tc>
          <w:tcPr>
            <w:tcW w:w="0" w:type="auto"/>
            <w:tcBorders>
              <w:top w:val="single" w:sz="4" w:space="0" w:color="auto"/>
              <w:bottom w:val="single" w:sz="4" w:space="0" w:color="auto"/>
            </w:tcBorders>
          </w:tcPr>
          <w:p w:rsidR="002162D5" w:rsidRDefault="00EF51D1">
            <w:pPr>
              <w:pStyle w:val="Compact"/>
            </w:pPr>
            <w:r>
              <w:t>0.202</w:t>
            </w:r>
          </w:p>
        </w:tc>
      </w:tr>
      <w:tr w:rsidR="002162D5" w:rsidTr="007E57C6">
        <w:tc>
          <w:tcPr>
            <w:tcW w:w="0" w:type="auto"/>
            <w:tcBorders>
              <w:top w:val="single" w:sz="4" w:space="0" w:color="auto"/>
              <w:bottom w:val="single" w:sz="4" w:space="0" w:color="auto"/>
            </w:tcBorders>
          </w:tcPr>
          <w:p w:rsidR="002162D5" w:rsidRDefault="00EF51D1">
            <w:pPr>
              <w:pStyle w:val="Compact"/>
            </w:pPr>
            <w:r>
              <w:t xml:space="preserve">drop top-3 Cook’s </w:t>
            </w:r>
            <m:oMath>
              <m:r>
                <w:rPr>
                  <w:rFonts w:ascii="Cambria Math" w:hAnsi="Cambria Math"/>
                </w:rPr>
                <m:t>D</m:t>
              </m:r>
            </m:oMath>
          </w:p>
        </w:tc>
        <w:tc>
          <w:tcPr>
            <w:tcW w:w="0" w:type="auto"/>
            <w:tcBorders>
              <w:top w:val="single" w:sz="4" w:space="0" w:color="auto"/>
              <w:bottom w:val="single" w:sz="4" w:space="0" w:color="auto"/>
            </w:tcBorders>
          </w:tcPr>
          <w:p w:rsidR="002162D5" w:rsidRDefault="00EF51D1">
            <w:pPr>
              <w:pStyle w:val="Compact"/>
            </w:pPr>
            <w:r>
              <w:t>29</w:t>
            </w:r>
          </w:p>
        </w:tc>
        <w:tc>
          <w:tcPr>
            <w:tcW w:w="0" w:type="auto"/>
            <w:tcBorders>
              <w:top w:val="single" w:sz="4" w:space="0" w:color="auto"/>
              <w:bottom w:val="single" w:sz="4" w:space="0" w:color="auto"/>
            </w:tcBorders>
          </w:tcPr>
          <w:p w:rsidR="002162D5" w:rsidRDefault="00EF51D1">
            <w:pPr>
              <w:pStyle w:val="Compact"/>
            </w:pPr>
            <w:r>
              <w:t>0.092</w:t>
            </w:r>
          </w:p>
        </w:tc>
        <w:tc>
          <w:tcPr>
            <w:tcW w:w="0" w:type="auto"/>
            <w:tcBorders>
              <w:top w:val="single" w:sz="4" w:space="0" w:color="auto"/>
              <w:bottom w:val="single" w:sz="4" w:space="0" w:color="auto"/>
            </w:tcBorders>
          </w:tcPr>
          <w:p w:rsidR="002162D5" w:rsidRDefault="00EF51D1">
            <w:pPr>
              <w:pStyle w:val="Compact"/>
            </w:pPr>
            <w:r>
              <w:t>0.302</w:t>
            </w:r>
          </w:p>
        </w:tc>
        <w:tc>
          <w:tcPr>
            <w:tcW w:w="0" w:type="auto"/>
            <w:tcBorders>
              <w:top w:val="single" w:sz="4" w:space="0" w:color="auto"/>
              <w:bottom w:val="single" w:sz="4" w:space="0" w:color="auto"/>
            </w:tcBorders>
          </w:tcPr>
          <w:p w:rsidR="002162D5" w:rsidRDefault="00EF51D1">
            <w:pPr>
              <w:pStyle w:val="Compact"/>
            </w:pPr>
            <w:r>
              <w:t>0.111</w:t>
            </w:r>
          </w:p>
        </w:tc>
        <w:tc>
          <w:tcPr>
            <w:tcW w:w="0" w:type="auto"/>
            <w:tcBorders>
              <w:top w:val="single" w:sz="4" w:space="0" w:color="auto"/>
              <w:bottom w:val="single" w:sz="4" w:space="0" w:color="auto"/>
            </w:tcBorders>
          </w:tcPr>
          <w:p w:rsidR="002162D5" w:rsidRDefault="00EF51D1">
            <w:pPr>
              <w:pStyle w:val="Compact"/>
            </w:pPr>
            <w:r>
              <w:t>0.062</w:t>
            </w:r>
          </w:p>
        </w:tc>
      </w:tr>
      <w:tr w:rsidR="002162D5" w:rsidTr="007E57C6">
        <w:tc>
          <w:tcPr>
            <w:tcW w:w="0" w:type="auto"/>
            <w:tcBorders>
              <w:top w:val="single" w:sz="4" w:space="0" w:color="auto"/>
              <w:bottom w:val="single" w:sz="4" w:space="0" w:color="auto"/>
            </w:tcBorders>
          </w:tcPr>
          <w:p w:rsidR="002162D5" w:rsidRDefault="00EF51D1">
            <w:pPr>
              <w:pStyle w:val="Compact"/>
            </w:pPr>
            <w:r>
              <w:t>advanced only</w:t>
            </w:r>
          </w:p>
        </w:tc>
        <w:tc>
          <w:tcPr>
            <w:tcW w:w="0" w:type="auto"/>
            <w:tcBorders>
              <w:top w:val="single" w:sz="4" w:space="0" w:color="auto"/>
              <w:bottom w:val="single" w:sz="4" w:space="0" w:color="auto"/>
            </w:tcBorders>
          </w:tcPr>
          <w:p w:rsidR="002162D5" w:rsidRDefault="00EF51D1">
            <w:pPr>
              <w:pStyle w:val="Compact"/>
            </w:pPr>
            <w:r>
              <w:t>26</w:t>
            </w:r>
          </w:p>
        </w:tc>
        <w:tc>
          <w:tcPr>
            <w:tcW w:w="0" w:type="auto"/>
            <w:tcBorders>
              <w:top w:val="single" w:sz="4" w:space="0" w:color="auto"/>
              <w:bottom w:val="single" w:sz="4" w:space="0" w:color="auto"/>
            </w:tcBorders>
          </w:tcPr>
          <w:p w:rsidR="002162D5" w:rsidRDefault="00EF51D1">
            <w:pPr>
              <w:pStyle w:val="Compact"/>
            </w:pPr>
            <w:r>
              <w:t>0.170</w:t>
            </w:r>
          </w:p>
        </w:tc>
        <w:tc>
          <w:tcPr>
            <w:tcW w:w="0" w:type="auto"/>
            <w:tcBorders>
              <w:top w:val="single" w:sz="4" w:space="0" w:color="auto"/>
              <w:bottom w:val="single" w:sz="4" w:space="0" w:color="auto"/>
            </w:tcBorders>
          </w:tcPr>
          <w:p w:rsidR="002162D5" w:rsidRDefault="00EF51D1">
            <w:pPr>
              <w:pStyle w:val="Compact"/>
            </w:pPr>
            <w:r>
              <w:t>0.305</w:t>
            </w:r>
          </w:p>
        </w:tc>
        <w:tc>
          <w:tcPr>
            <w:tcW w:w="0" w:type="auto"/>
            <w:tcBorders>
              <w:top w:val="single" w:sz="4" w:space="0" w:color="auto"/>
              <w:bottom w:val="single" w:sz="4" w:space="0" w:color="auto"/>
            </w:tcBorders>
          </w:tcPr>
          <w:p w:rsidR="002162D5" w:rsidRDefault="00EF51D1">
            <w:pPr>
              <w:pStyle w:val="Compact"/>
            </w:pPr>
            <w:r>
              <w:t>0.130</w:t>
            </w:r>
          </w:p>
        </w:tc>
        <w:tc>
          <w:tcPr>
            <w:tcW w:w="0" w:type="auto"/>
            <w:tcBorders>
              <w:top w:val="single" w:sz="4" w:space="0" w:color="auto"/>
              <w:bottom w:val="single" w:sz="4" w:space="0" w:color="auto"/>
            </w:tcBorders>
          </w:tcPr>
          <w:p w:rsidR="002162D5" w:rsidRDefault="00EF51D1">
            <w:pPr>
              <w:pStyle w:val="Compact"/>
            </w:pPr>
            <w:r>
              <w:t>0.051</w:t>
            </w:r>
          </w:p>
        </w:tc>
      </w:tr>
      <w:tr w:rsidR="002162D5" w:rsidTr="007E57C6">
        <w:tc>
          <w:tcPr>
            <w:tcW w:w="0" w:type="auto"/>
            <w:tcBorders>
              <w:top w:val="single" w:sz="4" w:space="0" w:color="auto"/>
              <w:bottom w:val="single" w:sz="4" w:space="0" w:color="auto"/>
            </w:tcBorders>
          </w:tcPr>
          <w:p w:rsidR="002162D5" w:rsidRDefault="00EF51D1">
            <w:pPr>
              <w:pStyle w:val="Compact"/>
            </w:pPr>
            <w:r>
              <w:t>incl. Azerbaijan</w:t>
            </w:r>
          </w:p>
        </w:tc>
        <w:tc>
          <w:tcPr>
            <w:tcW w:w="0" w:type="auto"/>
            <w:tcBorders>
              <w:top w:val="single" w:sz="4" w:space="0" w:color="auto"/>
              <w:bottom w:val="single" w:sz="4" w:space="0" w:color="auto"/>
            </w:tcBorders>
          </w:tcPr>
          <w:p w:rsidR="002162D5" w:rsidRDefault="00EF51D1">
            <w:pPr>
              <w:pStyle w:val="Compact"/>
            </w:pPr>
            <w:r>
              <w:t>33</w:t>
            </w:r>
          </w:p>
        </w:tc>
        <w:tc>
          <w:tcPr>
            <w:tcW w:w="0" w:type="auto"/>
            <w:tcBorders>
              <w:top w:val="single" w:sz="4" w:space="0" w:color="auto"/>
              <w:bottom w:val="single" w:sz="4" w:space="0" w:color="auto"/>
            </w:tcBorders>
          </w:tcPr>
          <w:p w:rsidR="002162D5" w:rsidRDefault="00EF51D1">
            <w:pPr>
              <w:pStyle w:val="Compact"/>
            </w:pPr>
            <w:r>
              <w:t>0.163</w:t>
            </w:r>
          </w:p>
        </w:tc>
        <w:tc>
          <w:tcPr>
            <w:tcW w:w="0" w:type="auto"/>
            <w:tcBorders>
              <w:top w:val="single" w:sz="4" w:space="0" w:color="auto"/>
              <w:bottom w:val="single" w:sz="4" w:space="0" w:color="auto"/>
            </w:tcBorders>
          </w:tcPr>
          <w:p w:rsidR="002162D5" w:rsidRDefault="00EF51D1">
            <w:pPr>
              <w:pStyle w:val="Compact"/>
            </w:pPr>
            <w:r>
              <w:t>0.336</w:t>
            </w:r>
          </w:p>
        </w:tc>
        <w:tc>
          <w:tcPr>
            <w:tcW w:w="0" w:type="auto"/>
            <w:tcBorders>
              <w:top w:val="single" w:sz="4" w:space="0" w:color="auto"/>
              <w:bottom w:val="single" w:sz="4" w:space="0" w:color="auto"/>
            </w:tcBorders>
          </w:tcPr>
          <w:p w:rsidR="002162D5" w:rsidRDefault="00EF51D1">
            <w:pPr>
              <w:pStyle w:val="Compact"/>
            </w:pPr>
            <w:r>
              <w:t>0.056</w:t>
            </w:r>
          </w:p>
        </w:tc>
        <w:tc>
          <w:tcPr>
            <w:tcW w:w="0" w:type="auto"/>
            <w:tcBorders>
              <w:top w:val="single" w:sz="4" w:space="0" w:color="auto"/>
              <w:bottom w:val="single" w:sz="4" w:space="0" w:color="auto"/>
            </w:tcBorders>
          </w:tcPr>
          <w:p w:rsidR="002162D5" w:rsidRDefault="00EF51D1">
            <w:pPr>
              <w:pStyle w:val="Compact"/>
            </w:pPr>
            <w:r>
              <w:rPr>
                <w:b/>
                <w:bCs/>
              </w:rPr>
              <w:t>0.023</w:t>
            </w:r>
          </w:p>
        </w:tc>
      </w:tr>
      <w:tr w:rsidR="002162D5" w:rsidTr="007E57C6">
        <w:tc>
          <w:tcPr>
            <w:tcW w:w="0" w:type="auto"/>
            <w:tcBorders>
              <w:top w:val="single" w:sz="4" w:space="0" w:color="auto"/>
              <w:bottom w:val="single" w:sz="4" w:space="0" w:color="auto"/>
            </w:tcBorders>
          </w:tcPr>
          <w:p w:rsidR="002162D5" w:rsidRDefault="00EF51D1">
            <w:pPr>
              <w:pStyle w:val="Compact"/>
            </w:pPr>
            <w:r>
              <w:t>winsorised outcome</w:t>
            </w:r>
          </w:p>
        </w:tc>
        <w:tc>
          <w:tcPr>
            <w:tcW w:w="0" w:type="auto"/>
            <w:tcBorders>
              <w:top w:val="single" w:sz="4" w:space="0" w:color="auto"/>
              <w:bottom w:val="single" w:sz="4" w:space="0" w:color="auto"/>
            </w:tcBorders>
          </w:tcPr>
          <w:p w:rsidR="002162D5" w:rsidRDefault="00EF51D1">
            <w:pPr>
              <w:pStyle w:val="Compact"/>
            </w:pPr>
            <w:r>
              <w:t>32</w:t>
            </w:r>
          </w:p>
        </w:tc>
        <w:tc>
          <w:tcPr>
            <w:tcW w:w="0" w:type="auto"/>
            <w:tcBorders>
              <w:top w:val="single" w:sz="4" w:space="0" w:color="auto"/>
              <w:bottom w:val="single" w:sz="4" w:space="0" w:color="auto"/>
            </w:tcBorders>
          </w:tcPr>
          <w:p w:rsidR="002162D5" w:rsidRDefault="00EF51D1">
            <w:pPr>
              <w:pStyle w:val="Compact"/>
            </w:pPr>
            <w:r>
              <w:t>0.112</w:t>
            </w:r>
          </w:p>
        </w:tc>
        <w:tc>
          <w:tcPr>
            <w:tcW w:w="0" w:type="auto"/>
            <w:tcBorders>
              <w:top w:val="single" w:sz="4" w:space="0" w:color="auto"/>
              <w:bottom w:val="single" w:sz="4" w:space="0" w:color="auto"/>
            </w:tcBorders>
          </w:tcPr>
          <w:p w:rsidR="002162D5" w:rsidRDefault="00EF51D1">
            <w:pPr>
              <w:pStyle w:val="Compact"/>
            </w:pPr>
            <w:r>
              <w:t>0.320</w:t>
            </w:r>
          </w:p>
        </w:tc>
        <w:tc>
          <w:tcPr>
            <w:tcW w:w="0" w:type="auto"/>
            <w:tcBorders>
              <w:top w:val="single" w:sz="4" w:space="0" w:color="auto"/>
              <w:bottom w:val="single" w:sz="4" w:space="0" w:color="auto"/>
            </w:tcBorders>
          </w:tcPr>
          <w:p w:rsidR="002162D5" w:rsidRDefault="00EF51D1">
            <w:pPr>
              <w:pStyle w:val="Compact"/>
            </w:pPr>
            <w:r>
              <w:t>0.074</w:t>
            </w:r>
          </w:p>
        </w:tc>
        <w:tc>
          <w:tcPr>
            <w:tcW w:w="0" w:type="auto"/>
            <w:tcBorders>
              <w:top w:val="single" w:sz="4" w:space="0" w:color="auto"/>
              <w:bottom w:val="single" w:sz="4" w:space="0" w:color="auto"/>
            </w:tcBorders>
          </w:tcPr>
          <w:p w:rsidR="002162D5" w:rsidRDefault="00EF51D1">
            <w:pPr>
              <w:pStyle w:val="Compact"/>
            </w:pPr>
            <w:r>
              <w:rPr>
                <w:b/>
                <w:bCs/>
              </w:rPr>
              <w:t>0.025</w:t>
            </w:r>
          </w:p>
        </w:tc>
      </w:tr>
    </w:tbl>
    <w:p w:rsidR="002162D5" w:rsidRDefault="00EF51D1">
      <w:pPr>
        <w:pStyle w:val="a0"/>
      </w:pPr>
      <w:r>
        <w:rPr>
          <w:i/>
          <w:iCs/>
        </w:rPr>
        <w:t>Note.</w:t>
      </w:r>
      <w:r>
        <w:t xml:space="preserve"> Huber M-estimation uses the standard tuning constant 1.345. Median regression is the </w:t>
      </w:r>
      <m:oMath>
        <m:r>
          <w:rPr>
            <w:rFonts w:ascii="Cambria Math" w:hAnsi="Cambria Math"/>
          </w:rPr>
          <m:t>τ</m:t>
        </m:r>
        <m:r>
          <m:rPr>
            <m:sty m:val="p"/>
          </m:rPr>
          <w:rPr>
            <w:rFonts w:ascii="Cambria Math" w:hAnsi="Cambria Math"/>
          </w:rPr>
          <m:t>=</m:t>
        </m:r>
        <m:r>
          <w:rPr>
            <w:rFonts w:ascii="Cambria Math" w:hAnsi="Cambria Math"/>
          </w:rPr>
          <m:t>0.5</m:t>
        </m:r>
      </m:oMath>
      <w:r>
        <w:t xml:space="preserve"> quantile with the asymptotic covariance. The partial rank correlation is between the wedge and the outcome, both ranked, orthogonalised on the ranked debt ratio. The placebo </w:t>
      </w:r>
      <w:r>
        <w:rPr>
          <w:i/>
          <w:iCs/>
        </w:rPr>
        <w:t>p</w:t>
      </w:r>
      <w:r>
        <w:t xml:space="preserve">-value comes from 4,000 random reassignments of the wedge across economies, holding everything else fixed. “Drop top-3 Cook’s </w:t>
      </w:r>
      <m:oMath>
        <m:r>
          <w:rPr>
            <w:rFonts w:ascii="Cambria Math" w:hAnsi="Cambria Math"/>
          </w:rPr>
          <m:t>D</m:t>
        </m:r>
      </m:oMath>
      <w:r>
        <w:t>” removes Japan, Belgium and China; “winsorised outcome” clips the dependent variable at its fifth and ninety-fifth percentiles.</w:t>
      </w:r>
    </w:p>
    <w:p w:rsidR="002162D5" w:rsidRDefault="00EF51D1">
      <w:pPr>
        <w:pStyle w:val="a0"/>
      </w:pPr>
      <w:r>
        <w:lastRenderedPageBreak/>
        <w:t>Four readings follow, and they should be taken together.</w:t>
      </w:r>
    </w:p>
    <w:p w:rsidR="002162D5" w:rsidRDefault="00EF51D1">
      <w:pPr>
        <w:pStyle w:val="a0"/>
      </w:pPr>
      <w:r>
        <w:rPr>
          <w:b/>
          <w:bCs/>
        </w:rPr>
        <w:t>The result survives any single deletion.</w:t>
      </w:r>
      <w:r>
        <w:t xml:space="preserve"> Re</w:t>
      </w:r>
      <w:r w:rsidR="00EC155D">
        <w:t xml:space="preserve">moving Japan </w:t>
      </w:r>
      <w:r>
        <w:t xml:space="preserve">moves the OLS coefficient from 1.221 to 0.871 and the </w:t>
      </w:r>
      <w:r>
        <w:rPr>
          <w:i/>
          <w:iCs/>
        </w:rPr>
        <w:t>p</w:t>
      </w:r>
      <w:r>
        <w:t xml:space="preserve">-value from 0.027 to 0.050. Removing Italy or Greece individually leaves it at 0.040 and 0.077. Removing the three most </w:t>
      </w:r>
      <w:r>
        <w:rPr>
          <w:i/>
          <w:iCs/>
        </w:rPr>
        <w:t>statistically</w:t>
      </w:r>
      <w:r>
        <w:t xml:space="preserve"> influential economies, Japan, Belgium and China, leaves it at 0.049.</w:t>
      </w:r>
    </w:p>
    <w:p w:rsidR="002162D5" w:rsidRDefault="00EF51D1">
      <w:pPr>
        <w:pStyle w:val="a0"/>
      </w:pPr>
      <w:r>
        <w:rPr>
          <w:b/>
          <w:bCs/>
        </w:rPr>
        <w:t>It does not survive the simultaneous deletion of the three ageing, indebted economies.</w:t>
      </w:r>
      <w:r>
        <w:t xml:space="preserve"> With Japan, Italy and Greece all removed, the coefficient more than halves, to 0.547, and the </w:t>
      </w:r>
      <w:r>
        <w:rPr>
          <w:i/>
          <w:iCs/>
        </w:rPr>
        <w:t>p</w:t>
      </w:r>
      <w:r>
        <w:t xml:space="preserve">-value rises to 0.212; the Huber and median estimates fall to 0.518 and 0.199 with </w:t>
      </w:r>
      <w:r>
        <w:rPr>
          <w:i/>
          <w:iCs/>
        </w:rPr>
        <w:t>p</w:t>
      </w:r>
      <w:r>
        <w:t xml:space="preserve">-values of 0.467 and 0.832; the partial rank correlation falls from 0.327 to 0.172; and the placebo </w:t>
      </w:r>
      <w:r>
        <w:rPr>
          <w:i/>
          <w:iCs/>
        </w:rPr>
        <w:t>p</w:t>
      </w:r>
      <w:r>
        <w:t>-value rises to 0.202. This is the honest limit of what the cross-section can support, and the manuscript states it in Section 7.2 rather than here.</w:t>
      </w:r>
    </w:p>
    <w:p w:rsidR="002162D5" w:rsidRDefault="00EF51D1">
      <w:pPr>
        <w:pStyle w:val="a0"/>
      </w:pPr>
      <w:r>
        <w:rPr>
          <w:b/>
          <w:bCs/>
        </w:rPr>
        <w:t>The robust estimators never reach conventional significance in any sample.</w:t>
      </w:r>
      <w:r>
        <w:t xml:space="preserve"> Huber M-estimation peaks at </w:t>
      </w:r>
      <m:oMath>
        <m:r>
          <w:rPr>
            <w:rFonts w:ascii="Cambria Math" w:hAnsi="Cambria Math"/>
          </w:rPr>
          <m:t>t</m:t>
        </m:r>
        <m:r>
          <m:rPr>
            <m:sty m:val="p"/>
          </m:rPr>
          <w:rPr>
            <w:rFonts w:ascii="Cambria Math" w:hAnsi="Cambria Math"/>
          </w:rPr>
          <m:t>=</m:t>
        </m:r>
        <m:r>
          <w:rPr>
            <w:rFonts w:ascii="Cambria Math" w:hAnsi="Cambria Math"/>
          </w:rPr>
          <m:t>1.78</m:t>
        </m:r>
      </m:oMath>
      <w:r>
        <w:t xml:space="preserve"> (including Azerbaijan) and is otherwise between 0.73 and 1.54; median regression never exceeds </w:t>
      </w:r>
      <m:oMath>
        <m:r>
          <w:rPr>
            <w:rFonts w:ascii="Cambria Math" w:hAnsi="Cambria Math"/>
          </w:rPr>
          <m:t>t</m:t>
        </m:r>
        <m:r>
          <m:rPr>
            <m:sty m:val="p"/>
          </m:rPr>
          <w:rPr>
            <w:rFonts w:ascii="Cambria Math" w:hAnsi="Cambria Math"/>
          </w:rPr>
          <m:t>=</m:t>
        </m:r>
        <m:r>
          <w:rPr>
            <w:rFonts w:ascii="Cambria Math" w:hAnsi="Cambria Math"/>
          </w:rPr>
          <m:t>1.28</m:t>
        </m:r>
      </m:oMath>
      <w:r>
        <w:t>. This is not a failure of the specification so much as a statement about where the information is: down-weighting the tails removes the observations that identify the coefficient. A reader who regards the tails as the data will read the OLS column; a reader who regards them as contamination will read the Huber column; the manuscript’s verdict of “supported as an information claim, unsupported as a forecasting claim” is chosen so as not to require the reader to decide.</w:t>
      </w:r>
    </w:p>
    <w:p w:rsidR="002162D5" w:rsidRDefault="00EF51D1">
      <w:pPr>
        <w:pStyle w:val="a0"/>
      </w:pPr>
      <w:r>
        <w:rPr>
          <w:b/>
          <w:bCs/>
        </w:rPr>
        <w:t>Winsorising the outcome does not weaken the result.</w:t>
      </w:r>
      <w:r>
        <w:t xml:space="preserve"> Clipping the dependent variable at its fifth and ninety-fifth percentiles — which caps Japan’s realised debt accumulation — leaves the coefficient at 1.020 with </w:t>
      </w:r>
      <m:oMath>
        <m:r>
          <w:rPr>
            <w:rFonts w:ascii="Cambria Math" w:hAnsi="Cambria Math"/>
          </w:rPr>
          <m:t>p</m:t>
        </m:r>
        <m:r>
          <m:rPr>
            <m:sty m:val="p"/>
          </m:rPr>
          <w:rPr>
            <w:rFonts w:ascii="Cambria Math" w:hAnsi="Cambria Math"/>
          </w:rPr>
          <m:t>=</m:t>
        </m:r>
        <m:r>
          <w:rPr>
            <w:rFonts w:ascii="Cambria Math" w:hAnsi="Cambria Math"/>
          </w:rPr>
          <m:t>0.018</m:t>
        </m:r>
      </m:oMath>
      <w:r>
        <w:t xml:space="preserve">. The wedge is therefore not carried purely by the magnitude of Japan’s outcome; it survives when that magnitude is capped, and fails when the observation is deleted together with Italy and Greece. The distinction matters: the information is in Japan’s </w:t>
      </w:r>
      <w:r>
        <w:rPr>
          <w:i/>
          <w:iCs/>
        </w:rPr>
        <w:t>position</w:t>
      </w:r>
      <w:r>
        <w:t>, not in the size of its residual.</w:t>
      </w:r>
    </w:p>
    <w:p w:rsidR="002162D5" w:rsidRPr="006A1AC7" w:rsidRDefault="00EF51D1">
      <w:pPr>
        <w:pStyle w:val="2"/>
        <w:rPr>
          <w:color w:val="auto"/>
        </w:rPr>
      </w:pPr>
      <w:bookmarkStart w:id="13" w:name="b.3-leave-two-out"/>
      <w:bookmarkEnd w:id="12"/>
      <w:r w:rsidRPr="006A1AC7">
        <w:rPr>
          <w:color w:val="auto"/>
        </w:rPr>
        <w:t>B.3 Leave-two-out</w:t>
      </w:r>
    </w:p>
    <w:p w:rsidR="002162D5" w:rsidRDefault="00EF51D1">
      <w:pPr>
        <w:pStyle w:val="FirstParagraph"/>
      </w:pPr>
      <w:r>
        <w:t xml:space="preserve">Deleting one observation at a time understates fragility, and deleting three is an arbitrary stopping point. Table B.3 reports the complete distribution of the wedge </w:t>
      </w:r>
      <w:r>
        <w:rPr>
          <w:i/>
          <w:iCs/>
        </w:rPr>
        <w:t>t</w:t>
      </w:r>
      <w:r>
        <w:t>-statistic across all 496 possible two-country deletions.</w:t>
      </w:r>
    </w:p>
    <w:p w:rsidR="002162D5" w:rsidRDefault="00EF51D1">
      <w:pPr>
        <w:pStyle w:val="a0"/>
      </w:pPr>
      <w:r>
        <w:rPr>
          <w:b/>
          <w:bCs/>
        </w:rPr>
        <w:t>Table B.3.</w:t>
      </w:r>
      <w:r>
        <w:t xml:space="preserve"> Leave-two-out distribution of the wedge </w:t>
      </w:r>
      <w:r>
        <w:rPr>
          <w:i/>
          <w:iCs/>
        </w:rPr>
        <w:t>t</w:t>
      </w:r>
      <w:r>
        <w:t>-statistic, encompassing specification.</w:t>
      </w:r>
    </w:p>
    <w:tbl>
      <w:tblPr>
        <w:tblStyle w:val="Table"/>
        <w:tblW w:w="9558" w:type="dxa"/>
        <w:tblLook w:val="0020" w:firstRow="1" w:lastRow="0" w:firstColumn="0" w:lastColumn="0" w:noHBand="0" w:noVBand="0"/>
      </w:tblPr>
      <w:tblGrid>
        <w:gridCol w:w="4682"/>
        <w:gridCol w:w="4876"/>
      </w:tblGrid>
      <w:tr w:rsidR="002162D5" w:rsidTr="009D08D8">
        <w:trPr>
          <w:cnfStyle w:val="100000000000" w:firstRow="1" w:lastRow="0" w:firstColumn="0" w:lastColumn="0" w:oddVBand="0" w:evenVBand="0" w:oddHBand="0" w:evenHBand="0" w:firstRowFirstColumn="0" w:firstRowLastColumn="0" w:lastRowFirstColumn="0" w:lastRowLastColumn="0"/>
          <w:trHeight w:val="327"/>
          <w:tblHeader/>
        </w:trPr>
        <w:tc>
          <w:tcPr>
            <w:tcW w:w="0" w:type="auto"/>
            <w:tcBorders>
              <w:top w:val="single" w:sz="4" w:space="0" w:color="auto"/>
              <w:bottom w:val="single" w:sz="4" w:space="0" w:color="auto"/>
            </w:tcBorders>
          </w:tcPr>
          <w:p w:rsidR="002162D5" w:rsidRDefault="00EF51D1">
            <w:pPr>
              <w:pStyle w:val="Compact"/>
            </w:pPr>
            <w:r>
              <w:t>Statistic</w:t>
            </w:r>
          </w:p>
        </w:tc>
        <w:tc>
          <w:tcPr>
            <w:tcW w:w="0" w:type="auto"/>
            <w:tcBorders>
              <w:top w:val="single" w:sz="4" w:space="0" w:color="auto"/>
              <w:bottom w:val="single" w:sz="4" w:space="0" w:color="auto"/>
            </w:tcBorders>
          </w:tcPr>
          <w:p w:rsidR="002162D5" w:rsidRDefault="00EF51D1">
            <w:pPr>
              <w:pStyle w:val="Compact"/>
            </w:pPr>
            <w:r>
              <w:t>Value</w:t>
            </w:r>
          </w:p>
        </w:tc>
      </w:tr>
      <w:tr w:rsidR="002162D5" w:rsidTr="009D08D8">
        <w:trPr>
          <w:trHeight w:val="388"/>
        </w:trPr>
        <w:tc>
          <w:tcPr>
            <w:tcW w:w="0" w:type="auto"/>
            <w:tcBorders>
              <w:top w:val="single" w:sz="4" w:space="0" w:color="auto"/>
              <w:bottom w:val="single" w:sz="4" w:space="0" w:color="auto"/>
            </w:tcBorders>
          </w:tcPr>
          <w:p w:rsidR="002162D5" w:rsidRDefault="00EF51D1">
            <w:pPr>
              <w:pStyle w:val="Compact"/>
            </w:pPr>
            <w:r>
              <w:t>deletions enumerated</w:t>
            </w:r>
          </w:p>
        </w:tc>
        <w:tc>
          <w:tcPr>
            <w:tcW w:w="0" w:type="auto"/>
            <w:tcBorders>
              <w:top w:val="single" w:sz="4" w:space="0" w:color="auto"/>
              <w:bottom w:val="single" w:sz="4" w:space="0" w:color="auto"/>
            </w:tcBorders>
          </w:tcPr>
          <w:p w:rsidR="002162D5" w:rsidRDefault="00EF51D1">
            <w:pPr>
              <w:pStyle w:val="Compact"/>
            </w:pPr>
            <w:r>
              <w:t xml:space="preserve">496 (all </w:t>
            </w:r>
            <m:oMath>
              <m:d>
                <m:dPr>
                  <m:ctrlPr>
                    <w:rPr>
                      <w:rFonts w:ascii="Cambria Math" w:hAnsi="Cambria Math"/>
                    </w:rPr>
                  </m:ctrlPr>
                </m:dPr>
                <m:e>
                  <m:f>
                    <m:fPr>
                      <m:type m:val="noBar"/>
                      <m:ctrlPr>
                        <w:rPr>
                          <w:rFonts w:ascii="Cambria Math" w:hAnsi="Cambria Math"/>
                        </w:rPr>
                      </m:ctrlPr>
                    </m:fPr>
                    <m:num>
                      <m:r>
                        <w:rPr>
                          <w:rFonts w:ascii="Cambria Math" w:hAnsi="Cambria Math"/>
                        </w:rPr>
                        <m:t>32</m:t>
                      </m:r>
                    </m:num>
                    <m:den>
                      <m:r>
                        <w:rPr>
                          <w:rFonts w:ascii="Cambria Math" w:hAnsi="Cambria Math"/>
                        </w:rPr>
                        <m:t>2</m:t>
                      </m:r>
                    </m:den>
                  </m:f>
                </m:e>
              </m:d>
            </m:oMath>
            <w:r>
              <w:t>)</w:t>
            </w:r>
          </w:p>
        </w:tc>
      </w:tr>
      <w:tr w:rsidR="002162D5" w:rsidTr="009D08D8">
        <w:trPr>
          <w:trHeight w:val="327"/>
        </w:trPr>
        <w:tc>
          <w:tcPr>
            <w:tcW w:w="0" w:type="auto"/>
            <w:tcBorders>
              <w:top w:val="single" w:sz="4" w:space="0" w:color="auto"/>
              <w:bottom w:val="single" w:sz="4" w:space="0" w:color="auto"/>
            </w:tcBorders>
          </w:tcPr>
          <w:p w:rsidR="002162D5" w:rsidRDefault="00EF51D1">
            <w:pPr>
              <w:pStyle w:val="Compact"/>
            </w:pPr>
            <w:r>
              <w:t xml:space="preserve">median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2.14</w:t>
            </w:r>
          </w:p>
        </w:tc>
      </w:tr>
      <w:tr w:rsidR="002162D5" w:rsidTr="009D08D8">
        <w:trPr>
          <w:trHeight w:val="339"/>
        </w:trPr>
        <w:tc>
          <w:tcPr>
            <w:tcW w:w="0" w:type="auto"/>
            <w:tcBorders>
              <w:top w:val="single" w:sz="4" w:space="0" w:color="auto"/>
              <w:bottom w:val="single" w:sz="4" w:space="0" w:color="auto"/>
            </w:tcBorders>
          </w:tcPr>
          <w:p w:rsidR="002162D5" w:rsidRDefault="00EF51D1">
            <w:pPr>
              <w:pStyle w:val="Compact"/>
            </w:pPr>
            <w:r>
              <w:t xml:space="preserve">minimum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1.42 (deleting Greece and Türkiye)</w:t>
            </w:r>
          </w:p>
        </w:tc>
      </w:tr>
      <w:tr w:rsidR="002162D5" w:rsidTr="009D08D8">
        <w:trPr>
          <w:trHeight w:val="327"/>
        </w:trPr>
        <w:tc>
          <w:tcPr>
            <w:tcW w:w="0" w:type="auto"/>
            <w:tcBorders>
              <w:top w:val="single" w:sz="4" w:space="0" w:color="auto"/>
              <w:bottom w:val="single" w:sz="4" w:space="0" w:color="auto"/>
            </w:tcBorders>
          </w:tcPr>
          <w:p w:rsidR="002162D5" w:rsidRDefault="00EF51D1">
            <w:pPr>
              <w:pStyle w:val="Compact"/>
            </w:pPr>
            <w:r>
              <w:t xml:space="preserve">maximum </w:t>
            </w:r>
            <m:oMath>
              <m:r>
                <w:rPr>
                  <w:rFonts w:ascii="Cambria Math" w:hAnsi="Cambria Math"/>
                </w:rPr>
                <m:t>t</m:t>
              </m:r>
            </m:oMath>
          </w:p>
        </w:tc>
        <w:tc>
          <w:tcPr>
            <w:tcW w:w="0" w:type="auto"/>
            <w:tcBorders>
              <w:top w:val="single" w:sz="4" w:space="0" w:color="auto"/>
              <w:bottom w:val="single" w:sz="4" w:space="0" w:color="auto"/>
            </w:tcBorders>
          </w:tcPr>
          <w:p w:rsidR="002162D5" w:rsidRDefault="00EF51D1">
            <w:pPr>
              <w:pStyle w:val="Compact"/>
            </w:pPr>
            <w:r>
              <w:t>2.66</w:t>
            </w:r>
          </w:p>
        </w:tc>
      </w:tr>
      <w:tr w:rsidR="002162D5" w:rsidTr="009D08D8">
        <w:trPr>
          <w:trHeight w:val="327"/>
        </w:trPr>
        <w:tc>
          <w:tcPr>
            <w:tcW w:w="0" w:type="auto"/>
            <w:tcBorders>
              <w:top w:val="single" w:sz="4" w:space="0" w:color="auto"/>
              <w:bottom w:val="single" w:sz="4" w:space="0" w:color="auto"/>
            </w:tcBorders>
          </w:tcPr>
          <w:p w:rsidR="002162D5" w:rsidRDefault="00EF51D1">
            <w:pPr>
              <w:pStyle w:val="Compact"/>
            </w:pPr>
            <w:r>
              <w:t xml:space="preserve">share of deletions with </w:t>
            </w:r>
            <m:oMath>
              <m:r>
                <w:rPr>
                  <w:rFonts w:ascii="Cambria Math" w:hAnsi="Cambria Math"/>
                </w:rPr>
                <m:t>t</m:t>
              </m:r>
              <m:r>
                <m:rPr>
                  <m:sty m:val="p"/>
                </m:rPr>
                <w:rPr>
                  <w:rFonts w:ascii="Cambria Math" w:hAnsi="Cambria Math"/>
                </w:rPr>
                <m:t>&gt;</m:t>
              </m:r>
              <m:r>
                <w:rPr>
                  <w:rFonts w:ascii="Cambria Math" w:hAnsi="Cambria Math"/>
                </w:rPr>
                <m:t>1.96</m:t>
              </m:r>
            </m:oMath>
          </w:p>
        </w:tc>
        <w:tc>
          <w:tcPr>
            <w:tcW w:w="0" w:type="auto"/>
            <w:tcBorders>
              <w:top w:val="single" w:sz="4" w:space="0" w:color="auto"/>
              <w:bottom w:val="single" w:sz="4" w:space="0" w:color="auto"/>
            </w:tcBorders>
          </w:tcPr>
          <w:p w:rsidR="002162D5" w:rsidRDefault="00EF51D1">
            <w:pPr>
              <w:pStyle w:val="Compact"/>
            </w:pPr>
            <w:r>
              <w:t>79.4 per cent</w:t>
            </w:r>
          </w:p>
        </w:tc>
      </w:tr>
      <w:tr w:rsidR="002162D5" w:rsidTr="009D08D8">
        <w:trPr>
          <w:trHeight w:val="339"/>
        </w:trPr>
        <w:tc>
          <w:tcPr>
            <w:tcW w:w="0" w:type="auto"/>
            <w:tcBorders>
              <w:top w:val="single" w:sz="4" w:space="0" w:color="auto"/>
              <w:bottom w:val="single" w:sz="4" w:space="0" w:color="auto"/>
            </w:tcBorders>
          </w:tcPr>
          <w:p w:rsidR="002162D5" w:rsidRDefault="00EF51D1">
            <w:pPr>
              <w:pStyle w:val="Compact"/>
            </w:pPr>
            <w:r>
              <w:t xml:space="preserve">share of deletions with </w:t>
            </w:r>
            <m:oMath>
              <m:r>
                <w:rPr>
                  <w:rFonts w:ascii="Cambria Math" w:hAnsi="Cambria Math"/>
                </w:rPr>
                <m:t>t</m:t>
              </m:r>
              <m:r>
                <m:rPr>
                  <m:sty m:val="p"/>
                </m:rPr>
                <w:rPr>
                  <w:rFonts w:ascii="Cambria Math" w:hAnsi="Cambria Math"/>
                </w:rPr>
                <m:t>&gt;</m:t>
              </m:r>
              <m:r>
                <w:rPr>
                  <w:rFonts w:ascii="Cambria Math" w:hAnsi="Cambria Math"/>
                </w:rPr>
                <m:t>1.645</m:t>
              </m:r>
            </m:oMath>
          </w:p>
        </w:tc>
        <w:tc>
          <w:tcPr>
            <w:tcW w:w="0" w:type="auto"/>
            <w:tcBorders>
              <w:top w:val="single" w:sz="4" w:space="0" w:color="auto"/>
              <w:bottom w:val="single" w:sz="4" w:space="0" w:color="auto"/>
            </w:tcBorders>
          </w:tcPr>
          <w:p w:rsidR="002162D5" w:rsidRDefault="00EF51D1">
            <w:pPr>
              <w:pStyle w:val="Compact"/>
            </w:pPr>
            <w:r>
              <w:t>98.0 per cent</w:t>
            </w:r>
          </w:p>
        </w:tc>
      </w:tr>
    </w:tbl>
    <w:p w:rsidR="002162D5" w:rsidRDefault="00EF51D1">
      <w:pPr>
        <w:pStyle w:val="a0"/>
      </w:pPr>
      <w:r>
        <w:t xml:space="preserve">The </w:t>
      </w:r>
      <w:r>
        <w:rPr>
          <w:i/>
          <w:iCs/>
        </w:rPr>
        <w:t>t</w:t>
      </w:r>
      <w:r>
        <w:t>-statistic never falls below 1.42 under any pair deletion, and exceeds the ten per cent critical value in ninety-eight per cent of them. The minimising pair — Greece and Türkiye — is instructive: it removes one economy from each tail of the wedge distribution simultaneously, which is the most efficient possible attack on a coefficient identified off the tails.</w:t>
      </w:r>
    </w:p>
    <w:p w:rsidR="002162D5" w:rsidRDefault="00EF51D1">
      <w:pPr>
        <w:pStyle w:val="a0"/>
      </w:pPr>
      <w:r>
        <w:rPr>
          <w:noProof/>
        </w:rPr>
        <w:lastRenderedPageBreak/>
        <w:drawing>
          <wp:inline distT="0" distB="0" distL="0" distR="0" wp14:anchorId="744C6B9E" wp14:editId="32C98496">
            <wp:extent cx="5334000" cy="2089396"/>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Picture" descr="out/figS2.png"/>
                    <pic:cNvPicPr>
                      <a:picLocks noChangeAspect="1" noChangeArrowheads="1"/>
                    </pic:cNvPicPr>
                  </pic:nvPicPr>
                  <pic:blipFill>
                    <a:blip r:embed="rId8"/>
                    <a:stretch>
                      <a:fillRect/>
                    </a:stretch>
                  </pic:blipFill>
                  <pic:spPr bwMode="auto">
                    <a:xfrm>
                      <a:off x="0" y="0"/>
                      <a:ext cx="5334000" cy="2089396"/>
                    </a:xfrm>
                    <a:prstGeom prst="rect">
                      <a:avLst/>
                    </a:prstGeom>
                    <a:noFill/>
                    <a:ln w="9525">
                      <a:noFill/>
                      <a:headEnd/>
                      <a:tailEnd/>
                    </a:ln>
                  </pic:spPr>
                </pic:pic>
              </a:graphicData>
            </a:graphic>
          </wp:inline>
        </w:drawing>
      </w:r>
    </w:p>
    <w:p w:rsidR="002162D5" w:rsidRPr="009D08D8" w:rsidRDefault="00EF51D1">
      <w:pPr>
        <w:pStyle w:val="a0"/>
        <w:rPr>
          <w:sz w:val="20"/>
          <w:szCs w:val="20"/>
        </w:rPr>
      </w:pPr>
      <w:r>
        <w:rPr>
          <w:b/>
          <w:bCs/>
        </w:rPr>
        <w:t>Figure S2.</w:t>
      </w:r>
      <w:r>
        <w:t xml:space="preserve"> </w:t>
      </w:r>
      <w:r w:rsidRPr="009D08D8">
        <w:rPr>
          <w:sz w:val="20"/>
          <w:szCs w:val="20"/>
        </w:rPr>
        <w:t xml:space="preserve">Influence diagnostics for the horse race. (a) Cook’s distance by economy against the </w:t>
      </w:r>
      <m:oMath>
        <m:r>
          <w:rPr>
            <w:rFonts w:ascii="Cambria Math" w:hAnsi="Cambria Math"/>
            <w:sz w:val="20"/>
            <w:szCs w:val="20"/>
          </w:rPr>
          <m:t>4</m:t>
        </m:r>
        <m:r>
          <m:rPr>
            <m:sty m:val="p"/>
          </m:rPr>
          <w:rPr>
            <w:rFonts w:ascii="Cambria Math" w:hAnsi="Cambria Math"/>
            <w:sz w:val="20"/>
            <w:szCs w:val="20"/>
          </w:rPr>
          <m:t>/</m:t>
        </m:r>
        <m:r>
          <w:rPr>
            <w:rFonts w:ascii="Cambria Math" w:hAnsi="Cambria Math"/>
            <w:sz w:val="20"/>
            <w:szCs w:val="20"/>
          </w:rPr>
          <m:t>n</m:t>
        </m:r>
      </m:oMath>
      <w:r w:rsidRPr="009D08D8">
        <w:rPr>
          <w:sz w:val="20"/>
          <w:szCs w:val="20"/>
        </w:rPr>
        <w:t xml:space="preserve"> threshold; only Japan exceeds it. (b) Leverage against studentised residual, with the conventional bounds. (c) The wedge </w:t>
      </w:r>
      <w:r w:rsidRPr="009D08D8">
        <w:rPr>
          <w:i/>
          <w:iCs/>
          <w:sz w:val="20"/>
          <w:szCs w:val="20"/>
        </w:rPr>
        <w:t>t</w:t>
      </w:r>
      <w:r w:rsidRPr="009D08D8">
        <w:rPr>
          <w:sz w:val="20"/>
          <w:szCs w:val="20"/>
        </w:rPr>
        <w:t>-statistic under three estimators across the nine samples of Table B.2; the dotted line is 1.96 and the dashed line 1.645.</w:t>
      </w:r>
    </w:p>
    <w:p w:rsidR="002162D5" w:rsidRPr="006A1AC7" w:rsidRDefault="00EF51D1">
      <w:pPr>
        <w:pStyle w:val="2"/>
        <w:rPr>
          <w:color w:val="auto"/>
        </w:rPr>
      </w:pPr>
      <w:bookmarkStart w:id="14" w:name="b.4-what-the-diagnostics-establish"/>
      <w:bookmarkEnd w:id="13"/>
      <w:r w:rsidRPr="006A1AC7">
        <w:rPr>
          <w:color w:val="auto"/>
        </w:rPr>
        <w:t>B.4 What the diagnostics establish</w:t>
      </w:r>
    </w:p>
    <w:p w:rsidR="002162D5" w:rsidRDefault="00EF51D1">
      <w:pPr>
        <w:pStyle w:val="FirstParagraph"/>
      </w:pPr>
      <w:r>
        <w:t>They establish a bounded claim, and it is the claim the manuscript makes.</w:t>
      </w:r>
    </w:p>
    <w:p w:rsidR="002162D5" w:rsidRDefault="00EF51D1">
      <w:pPr>
        <w:pStyle w:val="a0"/>
      </w:pPr>
      <w:r>
        <w:t>The demographic wedge is orthogonal to the debt ratio (</w:t>
      </w:r>
      <m:oMath>
        <m:r>
          <w:rPr>
            <w:rFonts w:ascii="Cambria Math" w:hAnsi="Cambria Math"/>
          </w:rPr>
          <m:t>r</m:t>
        </m:r>
        <m:r>
          <m:rPr>
            <m:sty m:val="p"/>
          </m:rPr>
          <w:rPr>
            <w:rFonts w:ascii="Cambria Math" w:hAnsi="Cambria Math"/>
          </w:rPr>
          <m:t>=</m:t>
        </m:r>
        <m:r>
          <w:rPr>
            <w:rFonts w:ascii="Cambria Math" w:hAnsi="Cambria Math"/>
          </w:rPr>
          <m:t>0.267</m:t>
        </m:r>
      </m:oMath>
      <w:r>
        <w:t xml:space="preserve">, </w:t>
      </w:r>
      <m:oMath>
        <m:r>
          <w:rPr>
            <w:rFonts w:ascii="Cambria Math" w:hAnsi="Cambria Math"/>
          </w:rPr>
          <m:t>p</m:t>
        </m:r>
        <m:r>
          <m:rPr>
            <m:sty m:val="p"/>
          </m:rPr>
          <w:rPr>
            <w:rFonts w:ascii="Cambria Math" w:hAnsi="Cambria Math"/>
          </w:rPr>
          <m:t>=</m:t>
        </m:r>
        <m:r>
          <w:rPr>
            <w:rFonts w:ascii="Cambria Math" w:hAnsi="Cambria Math"/>
          </w:rPr>
          <m:t>0.139</m:t>
        </m:r>
      </m:oMath>
      <w:r>
        <w:t xml:space="preserve">), so temporal leverage is a distinct measure rather than a relabelling. Conditional on the debt ratio it carries information about subsequent debt accumulation in a quarter-century in which the debt ratio carried none — its own rank correlation with its subsequent change is </w:t>
      </w:r>
      <m:oMath>
        <m:r>
          <m:rPr>
            <m:sty m:val="p"/>
          </m:rPr>
          <w:rPr>
            <w:rFonts w:ascii="Cambria Math" w:hAnsi="Cambria Math"/>
          </w:rPr>
          <m:t>-</m:t>
        </m:r>
        <m:r>
          <w:rPr>
            <w:rFonts w:ascii="Cambria Math" w:hAnsi="Cambria Math"/>
          </w:rPr>
          <m:t>0.034</m:t>
        </m:r>
      </m:oMath>
      <w:r>
        <w:t>. That information is concentrated in the economies whose demographic trajectories are most extreme, survives any one or any two deletions and a winsorised outcome, and does not survive either the joint removal of Japan, Italy and Greece or a shift to robust estimation.</w:t>
      </w:r>
    </w:p>
    <w:p w:rsidR="002162D5" w:rsidRDefault="00EF51D1" w:rsidP="00972551">
      <w:pPr>
        <w:pStyle w:val="a0"/>
      </w:pPr>
      <w:r>
        <w:t xml:space="preserve">Whether that pattern is the signature of a real mechanism located exactly where the theory says it should be, or the statement that the effect </w:t>
      </w:r>
      <w:r>
        <w:rPr>
          <w:i/>
          <w:iCs/>
        </w:rPr>
        <w:t>is</w:t>
      </w:r>
      <w:r>
        <w:t xml:space="preserve"> those three economies, cannot be settled by thirty-two observations. Settling it requires a panel with multiple base years, instrument-level maturity profiles, and fiscal-stress outcomes measured independently of the debt ratios that define the regressor. The manuscript names that as the first item on the agenda it leaves behind, and nothing in this appendix improves on it.</w:t>
      </w:r>
    </w:p>
    <w:p w:rsidR="002162D5" w:rsidRDefault="002162D5">
      <w:bookmarkStart w:id="15" w:name="X009bf1c7fe70e32fe49fb5bf18a6713164c3d6d"/>
      <w:bookmarkStart w:id="16" w:name="section-c.-extension-azerbaijan"/>
      <w:bookmarkEnd w:id="10"/>
      <w:bookmarkEnd w:id="14"/>
    </w:p>
    <w:p w:rsidR="002162D5" w:rsidRPr="006A1AC7" w:rsidRDefault="00EF51D1">
      <w:pPr>
        <w:pStyle w:val="2"/>
        <w:rPr>
          <w:color w:val="auto"/>
        </w:rPr>
      </w:pPr>
      <w:bookmarkStart w:id="17" w:name="references"/>
      <w:bookmarkEnd w:id="15"/>
      <w:r w:rsidRPr="006A1AC7">
        <w:rPr>
          <w:color w:val="auto"/>
        </w:rPr>
        <w:t>References</w:t>
      </w:r>
    </w:p>
    <w:p w:rsidR="002162D5" w:rsidRDefault="00EF51D1">
      <w:pPr>
        <w:pStyle w:val="FirstParagraph"/>
      </w:pPr>
      <w:r>
        <w:t xml:space="preserve">Bai, J. and Perron, P. 1998. Estimating and testing linear models with multiple structural changes, </w:t>
      </w:r>
      <w:r>
        <w:rPr>
          <w:i/>
          <w:iCs/>
        </w:rPr>
        <w:t>Econometrica</w:t>
      </w:r>
      <w:r>
        <w:t>, vol. 66, no. 1, 47–78</w:t>
      </w:r>
    </w:p>
    <w:p w:rsidR="002162D5" w:rsidRDefault="00EF51D1">
      <w:pPr>
        <w:pStyle w:val="a0"/>
      </w:pPr>
      <w:r>
        <w:t xml:space="preserve">Bank for International Settlements 2025. </w:t>
      </w:r>
      <w:r>
        <w:rPr>
          <w:i/>
          <w:iCs/>
        </w:rPr>
        <w:t>Credit to the Non-financial Sector</w:t>
      </w:r>
      <w:r>
        <w:t>, BIS Data Portal, Basel</w:t>
      </w:r>
      <w:r w:rsidR="00F537EF">
        <w:t xml:space="preserve">, </w:t>
      </w:r>
      <w:hyperlink r:id="rId9" w:history="1">
        <w:r w:rsidR="00F537EF" w:rsidRPr="00F537EF">
          <w:rPr>
            <w:rStyle w:val="ad"/>
          </w:rPr>
          <w:t>https://data.bis.org/topics/TOTAL_CREDIT</w:t>
        </w:r>
      </w:hyperlink>
      <w:r w:rsidR="00F537EF" w:rsidRPr="00F537EF">
        <w:t xml:space="preserve"> </w:t>
      </w:r>
    </w:p>
    <w:p w:rsidR="002162D5" w:rsidRDefault="00EF51D1">
      <w:pPr>
        <w:pStyle w:val="a0"/>
      </w:pPr>
      <w:r>
        <w:t xml:space="preserve">Huber, P. J. 1964. Robust estimation of a location parameter, </w:t>
      </w:r>
      <w:r>
        <w:rPr>
          <w:i/>
          <w:iCs/>
        </w:rPr>
        <w:t>Annals of Mathematical Statistics</w:t>
      </w:r>
      <w:r>
        <w:t>, vol. 35, no. 1, 73–101</w:t>
      </w:r>
    </w:p>
    <w:p w:rsidR="00F537EF" w:rsidRDefault="00EF51D1">
      <w:pPr>
        <w:pStyle w:val="a0"/>
      </w:pPr>
      <w:r>
        <w:t xml:space="preserve">International Monetary Fund 2025. </w:t>
      </w:r>
      <w:r>
        <w:rPr>
          <w:i/>
          <w:iCs/>
        </w:rPr>
        <w:t>World Economic Outlook Database</w:t>
      </w:r>
      <w:r>
        <w:t>, October, Washington, DC</w:t>
      </w:r>
      <w:r w:rsidR="00F537EF">
        <w:t>,</w:t>
      </w:r>
      <w:r w:rsidR="00F537EF" w:rsidRPr="00F537EF">
        <w:t xml:space="preserve"> </w:t>
      </w:r>
      <w:hyperlink r:id="rId10" w:history="1">
        <w:r w:rsidR="00F537EF" w:rsidRPr="00F537EF">
          <w:rPr>
            <w:rStyle w:val="ad"/>
          </w:rPr>
          <w:t>https://data.imf.org/en/datasets/IMF.RES:WEO</w:t>
        </w:r>
      </w:hyperlink>
      <w:r w:rsidR="00F537EF" w:rsidRPr="00F537EF">
        <w:t xml:space="preserve"> </w:t>
      </w:r>
    </w:p>
    <w:p w:rsidR="002162D5" w:rsidRDefault="00EF51D1">
      <w:pPr>
        <w:pStyle w:val="a0"/>
      </w:pPr>
      <w:r>
        <w:t xml:space="preserve">Koenker, R. and Bassett, G. 1978. Regression quantiles, </w:t>
      </w:r>
      <w:r>
        <w:rPr>
          <w:i/>
          <w:iCs/>
        </w:rPr>
        <w:t>Econometrica</w:t>
      </w:r>
      <w:r>
        <w:t>, vol. 46, no. 1, 33–50</w:t>
      </w:r>
    </w:p>
    <w:p w:rsidR="002162D5" w:rsidRDefault="00EF51D1">
      <w:pPr>
        <w:pStyle w:val="a0"/>
      </w:pPr>
      <w:r>
        <w:lastRenderedPageBreak/>
        <w:t xml:space="preserve">Liu, J., Wu, S. and Zidek, J. V. 1997. On segmented multivariate regression, </w:t>
      </w:r>
      <w:r>
        <w:rPr>
          <w:i/>
          <w:iCs/>
        </w:rPr>
        <w:t>Statistica Sinica</w:t>
      </w:r>
      <w:r>
        <w:t>, vol. 7, no. 2, 497–525</w:t>
      </w:r>
    </w:p>
    <w:p w:rsidR="006A1AC7" w:rsidRPr="006A1AC7" w:rsidRDefault="006A1AC7" w:rsidP="006A1AC7">
      <w:pPr>
        <w:pStyle w:val="a0"/>
      </w:pPr>
      <w:r w:rsidRPr="006A1AC7">
        <w:t xml:space="preserve">Osmanov, Tural, 2026a. The third source: human time as a biophysical resource, entropic rent, and the thermodynamics of the information economy, Available at SSRN:  </w:t>
      </w:r>
      <w:hyperlink r:id="rId11" w:tgtFrame="_blank" w:history="1">
        <w:r w:rsidRPr="006A1AC7">
          <w:rPr>
            <w:rStyle w:val="ad"/>
          </w:rPr>
          <w:t>https://ssrn.com/abstract=7278759</w:t>
        </w:r>
      </w:hyperlink>
      <w:r w:rsidRPr="006A1AC7">
        <w:t xml:space="preserve"> or </w:t>
      </w:r>
      <w:hyperlink r:id="rId12" w:tgtFrame="_blank" w:history="1">
        <w:r w:rsidRPr="006A1AC7">
          <w:rPr>
            <w:rStyle w:val="ad"/>
          </w:rPr>
          <w:t>http://dx.doi.org/10.2139/ssrn.7278759</w:t>
        </w:r>
      </w:hyperlink>
    </w:p>
    <w:p w:rsidR="006A1AC7" w:rsidRPr="006A1AC7" w:rsidRDefault="006A1AC7" w:rsidP="006A1AC7">
      <w:pPr>
        <w:pStyle w:val="a0"/>
      </w:pPr>
      <w:r w:rsidRPr="006A1AC7">
        <w:t>Osmanov, Tural, 2026b. Human-time economics: a biophysical theory of finite human lifetime in economic organization, Available at SSRN: </w:t>
      </w:r>
      <w:hyperlink r:id="rId13" w:tgtFrame="_blank" w:history="1">
        <w:r w:rsidRPr="006A1AC7">
          <w:rPr>
            <w:rStyle w:val="ad"/>
          </w:rPr>
          <w:t>https://ssrn.com/abstract=7285278</w:t>
        </w:r>
      </w:hyperlink>
      <w:r w:rsidRPr="006A1AC7">
        <w:t>  or </w:t>
      </w:r>
      <w:hyperlink r:id="rId14" w:tgtFrame="_blank" w:history="1">
        <w:r w:rsidRPr="006A1AC7">
          <w:rPr>
            <w:rStyle w:val="ad"/>
          </w:rPr>
          <w:t>http://dx.doi.org/10.2139/ssrn.7285278</w:t>
        </w:r>
      </w:hyperlink>
    </w:p>
    <w:p w:rsidR="00F537EF" w:rsidRPr="00F537EF" w:rsidRDefault="00EF51D1" w:rsidP="00F537EF">
      <w:pPr>
        <w:pStyle w:val="a0"/>
      </w:pPr>
      <w:r>
        <w:t xml:space="preserve">United Nations Department of Economic and Social Affairs 2024. </w:t>
      </w:r>
      <w:r>
        <w:rPr>
          <w:i/>
          <w:iCs/>
        </w:rPr>
        <w:t>World Population Prospects 2024: Summary of Results</w:t>
      </w:r>
      <w:r>
        <w:t>, New York, United Nations</w:t>
      </w:r>
      <w:bookmarkEnd w:id="16"/>
      <w:bookmarkEnd w:id="17"/>
      <w:r w:rsidR="00F537EF">
        <w:t xml:space="preserve">, </w:t>
      </w:r>
      <w:hyperlink r:id="rId15" w:history="1">
        <w:r w:rsidR="00F537EF" w:rsidRPr="00F537EF">
          <w:rPr>
            <w:rStyle w:val="ad"/>
          </w:rPr>
          <w:t>https://desapublications.un.org/publications/world-population-prospects-2024-summary-results</w:t>
        </w:r>
      </w:hyperlink>
      <w:r w:rsidR="00F537EF" w:rsidRPr="00F537EF">
        <w:t xml:space="preserve"> </w:t>
      </w:r>
    </w:p>
    <w:p w:rsidR="002162D5" w:rsidRDefault="002162D5">
      <w:pPr>
        <w:pStyle w:val="a0"/>
      </w:pPr>
    </w:p>
    <w:sectPr w:rsidR="002162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F36" w:rsidRDefault="00D05F36">
      <w:pPr>
        <w:spacing w:after="0"/>
      </w:pPr>
      <w:r>
        <w:separator/>
      </w:r>
    </w:p>
  </w:endnote>
  <w:endnote w:type="continuationSeparator" w:id="0">
    <w:p w:rsidR="00D05F36" w:rsidRDefault="00D05F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F36" w:rsidRDefault="00D05F36">
      <w:r>
        <w:separator/>
      </w:r>
    </w:p>
  </w:footnote>
  <w:footnote w:type="continuationSeparator" w:id="0">
    <w:p w:rsidR="00D05F36" w:rsidRDefault="00D05F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122C915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2162D5"/>
    <w:rsid w:val="000B33ED"/>
    <w:rsid w:val="002162D5"/>
    <w:rsid w:val="00600D33"/>
    <w:rsid w:val="006A1AC7"/>
    <w:rsid w:val="006B714A"/>
    <w:rsid w:val="007E57C6"/>
    <w:rsid w:val="008F1EB1"/>
    <w:rsid w:val="00972551"/>
    <w:rsid w:val="009D08D8"/>
    <w:rsid w:val="00A9588D"/>
    <w:rsid w:val="00B65FE8"/>
    <w:rsid w:val="00BE161F"/>
    <w:rsid w:val="00D05F36"/>
    <w:rsid w:val="00E41EF3"/>
    <w:rsid w:val="00EC155D"/>
    <w:rsid w:val="00EF51D1"/>
    <w:rsid w:val="00F537EF"/>
    <w:rsid w:val="00FD303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1F7B"/>
  <w15:docId w15:val="{09935AF3-9CD1-4F89-959D-A6094B3C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szCs w:val="24"/>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srn.com/abstract=728527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x.doi.org/10.2139/ssrn.727875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rn.com/abstract=7278759" TargetMode="External"/><Relationship Id="rId5" Type="http://schemas.openxmlformats.org/officeDocument/2006/relationships/footnotes" Target="footnotes.xml"/><Relationship Id="rId15" Type="http://schemas.openxmlformats.org/officeDocument/2006/relationships/hyperlink" Target="https://desapublications.un.org/publications/world-population-prospects-2024-summary-results" TargetMode="External"/><Relationship Id="rId10" Type="http://schemas.openxmlformats.org/officeDocument/2006/relationships/hyperlink" Target="https://data.imf.org/en/datasets/IMF.RES:WEO" TargetMode="External"/><Relationship Id="rId4" Type="http://schemas.openxmlformats.org/officeDocument/2006/relationships/webSettings" Target="webSettings.xml"/><Relationship Id="rId9" Type="http://schemas.openxmlformats.org/officeDocument/2006/relationships/hyperlink" Target="https://data.bis.org/topics/TOTAL_CREDIT" TargetMode="External"/><Relationship Id="rId14" Type="http://schemas.openxmlformats.org/officeDocument/2006/relationships/hyperlink" Target="https://dx.doi.org/10.2139/ssrn.7285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3873</Words>
  <Characters>22078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Telegram Servis</cp:lastModifiedBy>
  <cp:revision>12</cp:revision>
  <dcterms:created xsi:type="dcterms:W3CDTF">2026-08-18T19:48:00Z</dcterms:created>
  <dcterms:modified xsi:type="dcterms:W3CDTF">2026-08-19T11:05:00Z</dcterms:modified>
</cp:coreProperties>
</file>