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xmlns:w14="http://schemas.microsoft.com/office/word/2010/wordml" mc:Ignorable="w14">
  <w:body>
    <w:p>
      <w:pPr>
        <w:pStyle w:val="1"/>
        <w:bidi w:val="0"/>
        <w:rPr>
          <w:rFonts w:hint="eastAsia" w:ascii="宋体" w:hAnsi="宋体" w:eastAsia="宋体" w:cs="宋体"/>
          <w:b/>
          <w:bCs/>
          <w:sz w:val="28"/>
          <w:szCs w:val="28"/>
        </w:rPr>
      </w:pPr>
      <w:bookmarkStart w:id="0" w:name="补充材料1-检索策略"/>
      <w:r>
        <w:rPr>
          <w:rFonts w:hint="eastAsia" w:ascii="Times New Roman" w:hAnsi="Times New Roman" w:eastAsia="Times New Roman" w:cs="宋体"/>
          <w:b/>
          <w:sz w:val="28"/>
          <w:szCs w:val="28"/>
        </w:rPr>
        <w:t>Additional file 1: Search strategy</w:t>
      </w:r>
    </w:p>
    <w:p>
      <w:pPr>
        <w:pStyle w:val="23"/>
        <w:rPr>
          <w:rFonts w:hint="default" w:ascii="Times New Roman" w:hAnsi="Times New Roman" w:eastAsia="宋体" w:cs="Times New Roman"/>
          <w:sz w:val="24"/>
          <w:szCs w:val="24"/>
        </w:rPr>
      </w:pPr>
      <w:bookmarkStart w:id="1" w:name="pubmed检索日期2026年3月26日检出3727篇"/>
      <w:r>
        <w:rPr>
          <w:rFonts w:hint="default" w:ascii="Times New Roman" w:hAnsi="Times New Roman" w:eastAsia="宋体" w:cs="Times New Roman"/>
          <w:sz w:val="24"/>
          <w:szCs w:val="24"/>
        </w:rPr>
        <w:t>The search covered each database from inception to June 2026. PubMed, Embase, CINAHL, Cochrane Library, Web of Science, Scopus, China National Knowledge Infrastructure (CNKI), Chinese Biomedical Literature Database (CBM), Wanfang Data Knowledge Service Platform, and VIP Chinese Science and Technology Journal Database (CQVIP) were systematically searched, yielding 6,703 records in total. The detailed search strategy for each database is shown below.</w:t>
      </w:r>
    </w:p>
    <w:p>
      <w:pPr>
        <w:pStyle w:val="23"/>
        <w:rPr>
          <w:rFonts w:hint="eastAsia" w:ascii="宋体" w:hAnsi="宋体" w:eastAsia="宋体" w:cs="宋体"/>
          <w:b/>
          <w:bCs/>
          <w:sz w:val="28"/>
          <w:szCs w:val="28"/>
        </w:rPr>
      </w:pPr>
      <w:r>
        <w:rPr>
          <w:rFonts w:hint="eastAsia" w:ascii="Times New Roman" w:hAnsi="Times New Roman" w:eastAsia="Times New Roman" w:cs="宋体"/>
          <w:b/>
          <w:sz w:val="28"/>
          <w:szCs w:val="28"/>
        </w:rPr>
        <w:t xml:space="preserve">1  PubMed (searched in June 2026; 3,727 records retrieved)</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#1“social frailty”[Title/Abstract] OR “social vulnerability”[Title/Abstract] OR “social isolation”[Title/Abstract] OR “social support”[Title/Abstract] OR “social determinants of health”[Title/Abstract] OR “social participation”[Title/Abstract] OR “social network”[Title/Abstract] OR “community engagement”[Title/Abstract] OR “social capital”[Title/Abstract] OR “socioeconomic factors”[Title/Abstract]</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#2“Aged”[MeSH] OR “aged”[Title/Abstract] OR “older adult”[Title/Abstract] OR “older people”[Title/Abstract] OR “elderly”[Title/Abstract] OR “geriatric”[Title/Abstract] OR “senior”[Title/Abstract]</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#3“Predictive Value of Tests”[MeSH] OR “Risk Assessment”[MeSH] OR “Prognosis”[MeSH] OR “prediction model”[Title/Abstract] OR “risk model”[Title/Abstract] OR “prognostic model”[Title/Abstract] OR “predictive model”[Title/Abstract] OR “machine learning”[Title/Abstract] OR “artificial intelligence”[Title/Abstract] OR “logistic regression”[Title/Abstract] OR “Cox regression”[Title/Abstract] OR “clinical prediction rule”[Title/Abstract] OR “nomogram”[Title/Abstract] OR “scoring system”[Title/Abstract]</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#4“Validation Study”[Publication Type] OR “ROC Curve”[MeSH] OR “Sensitivity and Specificity”[MeSH] OR “model validation”[Title/Abstract] OR “external validation”[Title/Abstract] OR “internal validation”[Title/Abstract] OR “performance”[Title/Abstract] OR “discrimination”[Title/Abstract] OR “calibration”[Title/Abstract] OR “AUC”[Title/Abstract] OR “C-statistic”[Title/Abstract] OR “c index”[Title/Abstract] OR “receiver operating characteristic curve”[Title/Abstract] OR “Hosmer-Lemeshow test”[Title/Abstract] OR “sensitivity and specificity”[Title/Abstract] OR “predictive accuracy”[Title/Abstract] OR “decision curve analysis”[Title/Abstract]</w:t>
      </w:r>
    </w:p>
    <w:p>
      <w:pPr>
        <w:pStyle w:val="23"/>
        <w:rPr>
          <w:rFonts w:hint="eastAsia" w:ascii="宋体" w:hAnsi="宋体" w:eastAsia="宋体" w:cs="宋体"/>
          <w:sz w:val="28"/>
          <w:szCs w:val="28"/>
        </w:rPr>
      </w:pPr>
      <w:r>
        <w:rPr>
          <w:rFonts w:hint="eastAsia" w:ascii="Times New Roman" w:hAnsi="Times New Roman" w:eastAsia="宋体" w:cs="Times New Roman"/>
          <w:sz w:val="24"/>
          <w:szCs w:val="24"/>
        </w:rPr>
        <w:t xml:space="preserve">#5  #1 AND #2 AND #3 AND #4 (3,727 records retrieved)</w:t>
      </w:r>
    </w:p>
    <w:bookmarkEnd w:id="1"/>
    <w:p>
      <w:pPr>
        <w:pStyle w:val="23"/>
        <w:rPr>
          <w:rFonts w:hint="eastAsia" w:ascii="宋体" w:hAnsi="宋体" w:eastAsia="宋体" w:cs="宋体"/>
          <w:b/>
          <w:bCs/>
          <w:sz w:val="28"/>
          <w:szCs w:val="28"/>
        </w:rPr>
      </w:pPr>
      <w:bookmarkStart w:id="2" w:name="embase检索日期2026年3月30日检出290篇"/>
      <w:r>
        <w:rPr>
          <w:rFonts w:hint="eastAsia" w:ascii="Times New Roman" w:hAnsi="Times New Roman" w:eastAsia="Times New Roman" w:cs="宋体"/>
          <w:b/>
          <w:sz w:val="28"/>
          <w:szCs w:val="28"/>
        </w:rPr>
        <w:t xml:space="preserve">2  Embase (searched in June 2026; 290 records retrieved)</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#1‘social frailty’/exp OR ‘social frailty’ OR ((‘social’/exp OR social) AND (‘frailty’/exp OR frailty)) OR ‘frailty, social’:ti,ab,kw OR ‘social vulnerability’:ti,ab,kw (14,886 records retrieved)</w:t>
      </w:r>
    </w:p>
    <w:p>
      <w:pPr>
        <w:pStyle w:val="23"/>
        <w:rPr>
          <w:rFonts w:hint="eastAsia" w:ascii="宋体" w:hAnsi="宋体" w:eastAsia="宋体" w:cs="宋体"/>
          <w:sz w:val="28"/>
          <w:szCs w:val="28"/>
        </w:rPr>
      </w:pPr>
      <w:r>
        <w:rPr>
          <w:rFonts w:hint="eastAsia" w:ascii="Times New Roman" w:hAnsi="Times New Roman" w:eastAsia="宋体" w:cs="Times New Roman"/>
          <w:sz w:val="24"/>
          <w:szCs w:val="24"/>
        </w:rPr>
        <w:t>#2‘risk prediction models’ OR ((‘risk’/exp OR risk) AND (‘prediction’/exp OR prediction) AND (‘models’/exp OR models)) OR ‘prediction model’:ti,ab,kw OR ‘predictive model’:ti,ab,kw OR ‘machine learning’:ti,ab,kw OR ‘artificial intelligence’:ti,ab,kw</w:t>
      </w:r>
      <w:r>
        <w:rPr>
          <w:rFonts w:hint="eastAsia" w:ascii="Times New Roman" w:hAnsi="Times New Roman" w:eastAsia="宋体" w:cs="宋体"/>
          <w:sz w:val="24"/>
          <w:szCs w:val="28"/>
        </w:rPr>
        <w:t xml:space="preserve"> (159,542 records retrieved)</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#3‘aged’/exp OR aged OR ‘older adult’:ti,ab,kw OR elderly:ti,ab,kw OR geriatric:ti,ab,kw OR senior:ti,ab,kw (7,364,720 records retrieved)</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#4‘validation study’:ti,ab,kw OR ‘model validation’:ti,ab,kw OR ‘external validation’:ti,ab,kw OR ‘internal validation’:ti,ab,kw OR performance:ti,ab,kw OR discrimination:ti,ab,kw OR calibration:ti,ab,kw OR auc:ti,ab,kw OR ‘c-statistic’:ti,ab,kw OR ‘c index’:ti,ab,kw OR ‘receiver operating characteristic curve’:ti,ab,kw OR ‘hosmer-lemeshow’:ti,ab,kw OR ‘sensitivity and specificity’:ti,ab,kw OR ‘predictive accuracy’:ti,ab,kw OR ‘decision curve analysis’:ti,ab,kw</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 xml:space="preserve">#5  #1 AND #2 AND #3 AND #4 (290 records retrieved)</w:t>
      </w:r>
    </w:p>
    <w:bookmarkEnd w:id="2"/>
    <w:p>
      <w:pPr>
        <w:pStyle w:val="23"/>
        <w:rPr>
          <w:rFonts w:hint="eastAsia" w:ascii="宋体" w:hAnsi="宋体" w:eastAsia="宋体" w:cs="宋体"/>
          <w:b/>
          <w:bCs/>
          <w:sz w:val="28"/>
          <w:szCs w:val="28"/>
        </w:rPr>
      </w:pPr>
      <w:bookmarkStart w:id="3" w:name="cinahlebscohost检索日期2026年3月26日检出207篇"/>
      <w:r>
        <w:rPr>
          <w:rFonts w:hint="eastAsia" w:ascii="Times New Roman" w:hAnsi="Times New Roman" w:eastAsia="Times New Roman" w:cs="宋体"/>
          <w:b/>
          <w:sz w:val="28"/>
          <w:szCs w:val="28"/>
        </w:rPr>
        <w:t xml:space="preserve">3  CINAHL (EBSCOhost; searched in June 2026; 207 records retrieved)</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S1(MH “Frailty”) OR TI(“social frailty” OR “social vulnerability” OR “social isolation” OR “social support” OR “social determinants of health” OR “social participation” OR “social network” OR “community engagement” OR “social capital” OR “socioeconomic factors”) OR AB(“social frailty” OR “social vulnerability” OR “social isolation” OR “social support” OR “social determinants of health” OR “social participation” OR “social network” OR “community engagement” OR “social capital” OR “socioeconomic factors”)</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S2(MH “Aged”) OR TI(aged OR “older adult” OR “older people” OR elderly OR geriatric OR senior) OR AB(aged OR “older adult” OR “older people” OR elderly OR geriatric OR senior)</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S3(MH “Risk Assessment”) OR (MH “Prognosis”) OR TI(“prediction model” OR ”risk model” OR “prognostic model” OR ”predictive model” OR “machine learning” OR “artificial intelligence” OR “logistic regression” OR “Cox regression” OR “clinical prediction rule” OR nomogram OR”scoring system“) OR AB(”prediction model” OR “risk model” OR ”prognostic model” OR “predictive model” OR ”machine learning” OR ”artificial intelligence” OR ”logistic regression” OR ”Cox regression” OR ”clinical prediction rule” OR nomogram* OR “scoring system*“)</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S4(MH “ROC Curve”) OR (MH “Sensitivity and Specificity”) OR TI(“model validation” OR “external validation” OR “internal validation” OR discrimination OR calibration OR AUC OR “C-statistic” OR ”c index” OR ”receiver operating characteristic” OR ”Hosmer-Lemeshow” OR ”predictive accuracy” OR ”decision curve analysis”) OR AB(”model validation” OR ”external validation” OR ”internal validation” OR discrimination OR calibration OR AUC OR ”C-statistic” OR “c index” OR “receiver operating characteristic” OR “Hosmer-Lemeshow” OR “predictive accuracy” OR “decision curve analysis”)</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 xml:space="preserve">S5  S1 AND S2 AND S3 AND S4 (207 records retrieved)</w:t>
      </w:r>
    </w:p>
    <w:bookmarkEnd w:id="3"/>
    <w:p>
      <w:pPr>
        <w:pStyle w:val="23"/>
        <w:rPr>
          <w:rFonts w:hint="eastAsia" w:ascii="宋体" w:hAnsi="宋体" w:eastAsia="宋体" w:cs="宋体"/>
          <w:b/>
          <w:bCs/>
          <w:sz w:val="28"/>
          <w:szCs w:val="28"/>
        </w:rPr>
      </w:pPr>
      <w:bookmarkStart w:id="4" w:name="cochrane-library检索日期2026年3月26日检出73篇"/>
      <w:r>
        <w:rPr>
          <w:rFonts w:hint="eastAsia" w:ascii="Times New Roman" w:hAnsi="Times New Roman" w:eastAsia="Times New Roman" w:cs="宋体"/>
          <w:b/>
          <w:sz w:val="28"/>
          <w:szCs w:val="28"/>
        </w:rPr>
        <w:t xml:space="preserve">4  Cochrane Library (searched in June 2026; 73 records retrieved)</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#1MeSH descriptor: [Frailty] explode all trees</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#2(“social frailty” OR “social vulnerability” OR “social isolation” OR “social support” OR “social determinants of health” OR “social participation” OR “social network” OR “community engagement” OR “social capital” OR “socioeconomic factors”):ti,ab,kw</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#3#1 OR #2</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#4MeSH descriptor: [Aged] explode all trees</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#5(aged OR “older adult” OR “older people” OR elderly OR geriatric OR senior):ti,ab,kw</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#6#4 OR #5</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#7(“prediction model” OR “risk model” OR “prognostic model” OR “predictive model” OR “machine learning” OR “artificial intelligence” OR “logistic regression” OR “Cox regression” OR “clinical prediction rule” OR nomogram OR “scoring system”):ti,ab,kw</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#8(“model validation” OR “external validation” OR “internal validation” OR discrimination OR calibration OR AUC OR “C-statistic” OR “c index” OR “receiver operating characteristic” OR “Hosmer-Lemeshow” OR “sensitivity and specificity” OR “predictive accuracy” OR “decision curve analysis”):ti,ab,kw</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 xml:space="preserve">#9  #3 AND #6 AND #7 AND #8 (73 records retrieved)</w:t>
      </w:r>
    </w:p>
    <w:bookmarkEnd w:id="4"/>
    <w:p>
      <w:pPr>
        <w:pStyle w:val="23"/>
        <w:rPr>
          <w:rFonts w:hint="eastAsia" w:ascii="宋体" w:hAnsi="宋体" w:eastAsia="宋体" w:cs="宋体"/>
          <w:b/>
          <w:bCs/>
          <w:sz w:val="28"/>
          <w:szCs w:val="28"/>
        </w:rPr>
      </w:pPr>
      <w:bookmarkStart w:id="5" w:name="web-of-science核心合集检索日期2026年3月26日检出76篇"/>
      <w:r>
        <w:rPr>
          <w:rFonts w:hint="eastAsia" w:ascii="Times New Roman" w:hAnsi="Times New Roman" w:eastAsia="Times New Roman" w:cs="宋体"/>
          <w:b/>
          <w:sz w:val="28"/>
          <w:szCs w:val="28"/>
        </w:rPr>
        <w:t xml:space="preserve">5  Web of Science Core Collection (searched in June 2026; 76 records retrieved)</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#1TS=(“social frailty” OR “social vulnerability” OR “social isolation” OR “social support” OR “social determinants of health” OR “social participation” OR “social network” OR “community engagement” OR “social capital” OR “socioeconomic factors”)</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#2TS=(aged OR “older adult” OR “older people” OR elderly OR geriatric OR senior)</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#3TS=(“prediction model” OR “risk model” OR “prognostic model” OR “predictive model” OR “machine learning” OR “artificial intelligence” OR “logistic regression” OR “Cox regression” OR “clinical prediction rule” OR nomogram OR “scoring system”)</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#4TS=(“model validation” OR “external validation” OR “internal validation” OR discrimination OR calibration OR AUC OR “C-statistic” OR “c index” OR “receiver operating characteristic” OR “Hosmer-Lemeshow” OR “sensitivity and specificity” OR “predictive accuracy” OR “decision curve analysis”)</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 xml:space="preserve">#5  #1 AND #2 AND #3 AND #4 (76 records retrieved)</w:t>
      </w:r>
    </w:p>
    <w:bookmarkEnd w:id="5"/>
    <w:p>
      <w:pPr>
        <w:pStyle w:val="23"/>
        <w:rPr>
          <w:rFonts w:hint="eastAsia" w:ascii="宋体" w:hAnsi="宋体" w:eastAsia="宋体" w:cs="宋体"/>
          <w:b/>
          <w:bCs/>
          <w:sz w:val="28"/>
          <w:szCs w:val="28"/>
        </w:rPr>
      </w:pPr>
      <w:bookmarkStart w:id="6" w:name="scopus检索日期2026年3月26日检出2276篇"/>
      <w:r>
        <w:rPr>
          <w:rFonts w:hint="eastAsia" w:ascii="Times New Roman" w:hAnsi="Times New Roman" w:eastAsia="Times New Roman" w:cs="宋体"/>
          <w:b/>
          <w:sz w:val="28"/>
          <w:szCs w:val="28"/>
        </w:rPr>
        <w:t xml:space="preserve">6  Scopus (searched in June 2026; 2,276 records retrieved)</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(TITLE-ABS-KEY(“social frailty” OR “social vulnerability” OR “social isolation” OR “social support” OR “social determinants of health” OR “social participation” OR “social network” OR “community engagement” OR “social capital” OR “socioeconomic factors”)) AND (TITLE-ABS-KEY(aged OR “older adult” OR “older people” OR elderly OR geriatric OR senior)) AND (TITLE-ABS-KEY(“prediction model” OR “risk model” OR “prognostic model” OR “predictive model” OR “machine learning” OR “artificial intelligence” OR “logistic regression” OR “Cox regression” OR “clinical prediction rule” OR nomogram OR “scoring system”)) AND (TITLE-ABS-KEY(“model validation” OR “external validation” OR “internal validation” OR discrimination OR calibration OR auc OR “c-statistic” OR “c index” OR “receiver operating characteristic” OR “hosmer-lemeshow” OR “sensitivity and specificity” OR “predictive accuracy” OR “decision curve analysis”)) (2,276 records retrieved)</w:t>
      </w:r>
    </w:p>
    <w:bookmarkEnd w:id="6"/>
    <w:p>
      <w:pPr>
        <w:pStyle w:val="23"/>
        <w:rPr>
          <w:rFonts w:hint="eastAsia" w:ascii="宋体" w:hAnsi="宋体" w:eastAsia="宋体" w:cs="宋体"/>
          <w:b/>
          <w:bCs/>
          <w:sz w:val="28"/>
          <w:szCs w:val="28"/>
        </w:rPr>
      </w:pPr>
      <w:bookmarkStart w:id="7" w:name="中文数据库cnkicbm万方数据维普检索日期2026年3月26日"/>
      <w:r>
        <w:rPr>
          <w:rFonts w:hint="eastAsia" w:ascii="Times New Roman" w:hAnsi="Times New Roman" w:eastAsia="Times New Roman" w:cs="宋体"/>
          <w:b/>
          <w:sz w:val="28"/>
          <w:szCs w:val="28"/>
        </w:rPr>
        <w:t xml:space="preserve">7  Chinese-language databases (CNKI, CBM, Wanfang Data, and CQVIP; searched in June 2026)</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The same search framework was applied across the Chinese-language databases, with adaptations to the search fields of each database. The original Chinese search terms are presented below in English translation. Eighteen records were retrieved from CNKI, 5 from CBM, 30 from Wanfang Data, and 1 from CQVIP.</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#1 (Subject: “social frailty” OR Keyword: “social frailty” OR Subject: “social vulnerability” OR Keyword: “social vulnerability”)</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#2 (Subject: “prediction model” OR Keyword: “prediction model” OR Subject: “risk prediction” OR Keyword: “risk prediction” OR Subject: “prognostic model” OR Keyword: “prognostic model” OR Subject: “risk assessment” OR Keyword: “risk assessment” OR Keyword: “machine learning” OR Keyword: “artificial intelligence” OR Keyword: “logistic regression” OR Keyword: “Cox model” OR Keyword: “clinical prediction rule” OR Keyword: “scoring system” OR Keyword: “nomogram”)</w:t>
      </w:r>
    </w:p>
    <w:p>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#3 (Subject: “older adults” OR Keyword: “older adults” OR Subject: “old age” OR Keyword: “old age” OR Subject: “advanced age” OR Keyword: “advanced age” OR Keyword: “aged”)</w:t>
      </w:r>
    </w:p>
    <w:p w14:paraId="606EBCA4">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#4 (Subject: “model validation” OR Keyword: “model validation” OR Keyword: “external validation” OR Keyword: “internal validation” OR Keyword: “discrimination” OR Keyword: “calibration” OR Keyword: “receiver operating characteristic curve” OR Keyword: “C index” OR Keyword: “Hosmer-Lemeshow test” OR Keyword: “sensitivity” OR Keyword: “specificity” OR Keyword: “predictive accuracy” OR Keyword: “decision curve”)</w:t>
      </w:r>
    </w:p>
    <w:p w14:paraId="5019F306">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#5#1 AND #2 AND #3 AND #4</w:t>
      </w:r>
    </w:p>
    <w:bookmarkEnd w:id="7"/>
    <w:p w14:paraId="44AD2EDD">
      <w:pPr>
        <w:pStyle w:val="23"/>
        <w:rPr>
          <w:rFonts w:hint="eastAsia" w:ascii="宋体" w:hAnsi="宋体" w:eastAsia="宋体" w:cs="宋体"/>
          <w:b/>
          <w:bCs/>
          <w:sz w:val="28"/>
          <w:szCs w:val="28"/>
        </w:rPr>
      </w:pPr>
      <w:bookmarkStart w:id="8" w:name="各数据库检索结果汇总"/>
      <w:r>
        <w:rPr>
          <w:rFonts w:hint="eastAsia" w:ascii="Times New Roman" w:hAnsi="Times New Roman" w:eastAsia="Times New Roman" w:cs="宋体"/>
          <w:b/>
          <w:bCs/>
          <w:sz w:val="28"/>
          <w:szCs w:val="28"/>
        </w:rPr>
        <w:t>8  Summary of search results by database</w:t>
      </w:r>
    </w:p>
    <w:tbl>
      <w:tblPr>
        <w:tblStyle w:val="28"/>
        <w:tblW w:w="0" w:type="auto"/>
        <w:tblInd w:w="0" w:type="dxa"/>
        <w:tblLayout w:type="autofit"/>
        <w:tblCellMar>
          <w:top w:w="0" w:type="dxa"/>
          <w:left w:w="108" w:type="dxa"/>
          <w:bottom w:w="0" w:type="dxa"/>
          <w:right w:w="108" w:type="dxa"/>
        </w:tblCellMar>
      </w:tblPr>
      <w:tblGrid>
        <w:gridCol w:w="3870"/>
        <w:gridCol w:w="1512"/>
        <w:gridCol w:w="2136"/>
      </w:tblGrid>
      <w:tr w14:paraId="10B98F30">
        <w:trPr>
          <w:tblHeader/>
        </w:trPr>
        <w:tc>
          <w:tcPr>
            <w:tcBorders>
              <w:top w:val="single" w:color="auto" w:sz="4" w:space="0"/>
              <w:left w:val="single" w:color="auto" w:sz="4" w:space="0"/>
              <w:bottom w:val="single" w:color="auto" w:sz="4" w:space="0"/>
              <w:right w:val="single" w:color="auto" w:sz="4" w:space="0"/>
            </w:tcBorders>
          </w:tcPr>
          <w:p w14:paraId="2ED0D577">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Database</w:t>
            </w:r>
          </w:p>
        </w:tc>
        <w:tc>
          <w:tcPr>
            <w:tcBorders>
              <w:top w:val="single" w:color="auto" w:sz="4" w:space="0"/>
              <w:left w:val="single" w:color="auto" w:sz="4" w:space="0"/>
              <w:bottom w:val="single" w:color="auto" w:sz="4" w:space="0"/>
              <w:right w:val="single" w:color="auto" w:sz="4" w:space="0"/>
            </w:tcBorders>
          </w:tcPr>
          <w:p w14:paraId="42A778A0">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Search date</w:t>
            </w:r>
          </w:p>
        </w:tc>
        <w:tc>
          <w:tcPr>
            <w:tcBorders>
              <w:top w:val="single" w:color="auto" w:sz="4" w:space="0"/>
              <w:left w:val="single" w:color="auto" w:sz="4" w:space="0"/>
              <w:bottom w:val="single" w:color="auto" w:sz="4" w:space="0"/>
              <w:right w:val="single" w:color="auto" w:sz="4" w:space="0"/>
            </w:tcBorders>
          </w:tcPr>
          <w:p w14:paraId="546E161E">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Records retrieved (n)</w:t>
            </w:r>
          </w:p>
        </w:tc>
      </w:tr>
      <w:tr w14:paraId="629B32D8">
        <w:tc>
          <w:tcPr>
            <w:tcBorders>
              <w:top w:val="single" w:color="auto" w:sz="4" w:space="0"/>
              <w:left w:val="single" w:color="auto" w:sz="4" w:space="0"/>
              <w:bottom w:val="single" w:color="auto" w:sz="4" w:space="0"/>
              <w:right w:val="single" w:color="auto" w:sz="4" w:space="0"/>
            </w:tcBorders>
          </w:tcPr>
          <w:p w14:paraId="36A0C1A1">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PubMed</w:t>
            </w:r>
          </w:p>
        </w:tc>
        <w:tc>
          <w:tcPr>
            <w:tcBorders>
              <w:top w:val="single" w:color="auto" w:sz="4" w:space="0"/>
              <w:left w:val="single" w:color="auto" w:sz="4" w:space="0"/>
              <w:bottom w:val="single" w:color="auto" w:sz="4" w:space="0"/>
              <w:right w:val="single" w:color="auto" w:sz="4" w:space="0"/>
            </w:tcBorders>
          </w:tcPr>
          <w:p w14:paraId="62FE5F75">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June 2026</w:t>
            </w:r>
            <w:r>
              <w:rPr>
                <w:rFonts w:hint="eastAsia" w:ascii="Times New Roman" w:hAnsi="Times New Roman" w:eastAsia="宋体" w:cs="Times New Roman"/>
                <w:sz w:val="24"/>
                <w:szCs w:val="24"/>
                <w:lang w:val="en-US" w:eastAsia="zh-CN"/>
              </w:rPr>
            </w:r>
            <w:r>
              <w:rPr>
                <w:rFonts w:hint="eastAsia" w:ascii="Times New Roman" w:hAnsi="Times New Roman" w:eastAsia="宋体" w:cs="Times New Roman"/>
                <w:sz w:val="24"/>
                <w:szCs w:val="24"/>
              </w:rPr>
            </w:r>
          </w:p>
        </w:tc>
        <w:tc>
          <w:tcPr>
            <w:tcBorders>
              <w:top w:val="single" w:color="auto" w:sz="4" w:space="0"/>
              <w:left w:val="single" w:color="auto" w:sz="4" w:space="0"/>
              <w:bottom w:val="single" w:color="auto" w:sz="4" w:space="0"/>
              <w:right w:val="single" w:color="auto" w:sz="4" w:space="0"/>
            </w:tcBorders>
          </w:tcPr>
          <w:p w14:paraId="06CC95B7">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3,727</w:t>
            </w:r>
          </w:p>
        </w:tc>
      </w:tr>
      <w:tr w14:paraId="1637558C">
        <w:tc>
          <w:tcPr>
            <w:tcBorders>
              <w:top w:val="single" w:color="auto" w:sz="4" w:space="0"/>
              <w:left w:val="single" w:color="auto" w:sz="4" w:space="0"/>
              <w:bottom w:val="single" w:color="auto" w:sz="4" w:space="0"/>
              <w:right w:val="single" w:color="auto" w:sz="4" w:space="0"/>
            </w:tcBorders>
          </w:tcPr>
          <w:p w14:paraId="47943D0D">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Embase</w:t>
            </w:r>
          </w:p>
        </w:tc>
        <w:tc>
          <w:tcPr>
            <w:tcBorders>
              <w:top w:val="single" w:color="auto" w:sz="4" w:space="0"/>
              <w:left w:val="single" w:color="auto" w:sz="4" w:space="0"/>
              <w:bottom w:val="single" w:color="auto" w:sz="4" w:space="0"/>
              <w:right w:val="single" w:color="auto" w:sz="4" w:space="0"/>
            </w:tcBorders>
          </w:tcPr>
          <w:p w14:paraId="245BA738">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June 2026</w:t>
            </w:r>
            <w:r>
              <w:rPr>
                <w:rFonts w:hint="eastAsia" w:ascii="Times New Roman" w:hAnsi="Times New Roman" w:eastAsia="宋体" w:cs="Times New Roman"/>
                <w:sz w:val="24"/>
                <w:szCs w:val="24"/>
                <w:lang w:val="en-US" w:eastAsia="zh-CN"/>
              </w:rPr>
            </w:r>
            <w:r>
              <w:rPr>
                <w:rFonts w:hint="eastAsia" w:ascii="Times New Roman" w:hAnsi="Times New Roman" w:eastAsia="宋体" w:cs="Times New Roman"/>
                <w:sz w:val="24"/>
                <w:szCs w:val="24"/>
              </w:rPr>
            </w:r>
          </w:p>
        </w:tc>
        <w:tc>
          <w:tcPr>
            <w:tcBorders>
              <w:top w:val="single" w:color="auto" w:sz="4" w:space="0"/>
              <w:left w:val="single" w:color="auto" w:sz="4" w:space="0"/>
              <w:bottom w:val="single" w:color="auto" w:sz="4" w:space="0"/>
              <w:right w:val="single" w:color="auto" w:sz="4" w:space="0"/>
            </w:tcBorders>
          </w:tcPr>
          <w:p w14:paraId="07017F9B">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290</w:t>
            </w:r>
          </w:p>
        </w:tc>
      </w:tr>
      <w:tr w14:paraId="697ECA1B">
        <w:tc>
          <w:tcPr>
            <w:tcBorders>
              <w:top w:val="single" w:color="auto" w:sz="4" w:space="0"/>
              <w:left w:val="single" w:color="auto" w:sz="4" w:space="0"/>
              <w:bottom w:val="single" w:color="auto" w:sz="4" w:space="0"/>
              <w:right w:val="single" w:color="auto" w:sz="4" w:space="0"/>
            </w:tcBorders>
          </w:tcPr>
          <w:p w14:paraId="1D7C8D41">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CINAHL</w:t>
            </w:r>
          </w:p>
        </w:tc>
        <w:tc>
          <w:tcPr>
            <w:tcBorders>
              <w:top w:val="single" w:color="auto" w:sz="4" w:space="0"/>
              <w:left w:val="single" w:color="auto" w:sz="4" w:space="0"/>
              <w:bottom w:val="single" w:color="auto" w:sz="4" w:space="0"/>
              <w:right w:val="single" w:color="auto" w:sz="4" w:space="0"/>
            </w:tcBorders>
          </w:tcPr>
          <w:p w14:paraId="43609FC6">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June 2026</w:t>
            </w:r>
            <w:r>
              <w:rPr>
                <w:rFonts w:hint="eastAsia" w:ascii="Times New Roman" w:hAnsi="Times New Roman" w:eastAsia="宋体" w:cs="Times New Roman"/>
                <w:sz w:val="24"/>
                <w:szCs w:val="24"/>
                <w:lang w:val="en-US" w:eastAsia="zh-CN"/>
              </w:rPr>
            </w:r>
            <w:r>
              <w:rPr>
                <w:rFonts w:hint="eastAsia" w:ascii="Times New Roman" w:hAnsi="Times New Roman" w:eastAsia="宋体" w:cs="Times New Roman"/>
                <w:sz w:val="24"/>
                <w:szCs w:val="24"/>
              </w:rPr>
            </w:r>
          </w:p>
        </w:tc>
        <w:tc>
          <w:tcPr>
            <w:tcBorders>
              <w:top w:val="single" w:color="auto" w:sz="4" w:space="0"/>
              <w:left w:val="single" w:color="auto" w:sz="4" w:space="0"/>
              <w:bottom w:val="single" w:color="auto" w:sz="4" w:space="0"/>
              <w:right w:val="single" w:color="auto" w:sz="4" w:space="0"/>
            </w:tcBorders>
          </w:tcPr>
          <w:p w14:paraId="3779F924">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207</w:t>
            </w:r>
          </w:p>
        </w:tc>
      </w:tr>
      <w:tr w14:paraId="5D848C5E">
        <w:tc>
          <w:tcPr>
            <w:tcBorders>
              <w:top w:val="single" w:color="auto" w:sz="4" w:space="0"/>
              <w:left w:val="single" w:color="auto" w:sz="4" w:space="0"/>
              <w:bottom w:val="single" w:color="auto" w:sz="4" w:space="0"/>
              <w:right w:val="single" w:color="auto" w:sz="4" w:space="0"/>
            </w:tcBorders>
          </w:tcPr>
          <w:p w14:paraId="709465BF">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Cochrane Library</w:t>
            </w:r>
          </w:p>
        </w:tc>
        <w:tc>
          <w:tcPr>
            <w:tcBorders>
              <w:top w:val="single" w:color="auto" w:sz="4" w:space="0"/>
              <w:left w:val="single" w:color="auto" w:sz="4" w:space="0"/>
              <w:bottom w:val="single" w:color="auto" w:sz="4" w:space="0"/>
              <w:right w:val="single" w:color="auto" w:sz="4" w:space="0"/>
            </w:tcBorders>
          </w:tcPr>
          <w:p w14:paraId="704D9692">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June 2026</w:t>
            </w:r>
            <w:r>
              <w:rPr>
                <w:rFonts w:hint="eastAsia" w:ascii="Times New Roman" w:hAnsi="Times New Roman" w:eastAsia="宋体" w:cs="Times New Roman"/>
                <w:sz w:val="24"/>
                <w:szCs w:val="24"/>
                <w:lang w:val="en-US" w:eastAsia="zh-CN"/>
              </w:rPr>
            </w:r>
            <w:r>
              <w:rPr>
                <w:rFonts w:hint="eastAsia" w:ascii="Times New Roman" w:hAnsi="Times New Roman" w:eastAsia="宋体" w:cs="Times New Roman"/>
                <w:sz w:val="24"/>
                <w:szCs w:val="24"/>
              </w:rPr>
            </w:r>
          </w:p>
        </w:tc>
        <w:tc>
          <w:tcPr>
            <w:tcBorders>
              <w:top w:val="single" w:color="auto" w:sz="4" w:space="0"/>
              <w:left w:val="single" w:color="auto" w:sz="4" w:space="0"/>
              <w:bottom w:val="single" w:color="auto" w:sz="4" w:space="0"/>
              <w:right w:val="single" w:color="auto" w:sz="4" w:space="0"/>
            </w:tcBorders>
          </w:tcPr>
          <w:p w14:paraId="023E1B9A">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73</w:t>
            </w:r>
          </w:p>
        </w:tc>
      </w:tr>
      <w:tr w14:paraId="693D03E6">
        <w:tc>
          <w:tcPr>
            <w:tcBorders>
              <w:top w:val="single" w:color="auto" w:sz="4" w:space="0"/>
              <w:left w:val="single" w:color="auto" w:sz="4" w:space="0"/>
              <w:bottom w:val="single" w:color="auto" w:sz="4" w:space="0"/>
              <w:right w:val="single" w:color="auto" w:sz="4" w:space="0"/>
            </w:tcBorders>
          </w:tcPr>
          <w:p w14:paraId="635AE944">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Web of Science</w:t>
            </w:r>
            <w:bookmarkStart w:id="9" w:name="_GoBack"/>
            <w:bookmarkEnd w:id="9"/>
          </w:p>
        </w:tc>
        <w:tc>
          <w:tcPr>
            <w:tcBorders>
              <w:top w:val="single" w:color="auto" w:sz="4" w:space="0"/>
              <w:left w:val="single" w:color="auto" w:sz="4" w:space="0"/>
              <w:bottom w:val="single" w:color="auto" w:sz="4" w:space="0"/>
              <w:right w:val="single" w:color="auto" w:sz="4" w:space="0"/>
            </w:tcBorders>
          </w:tcPr>
          <w:p w14:paraId="67D9E84B">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June 2026</w:t>
            </w:r>
            <w:r>
              <w:rPr>
                <w:rFonts w:hint="eastAsia" w:ascii="Times New Roman" w:hAnsi="Times New Roman" w:eastAsia="宋体" w:cs="Times New Roman"/>
                <w:sz w:val="24"/>
                <w:szCs w:val="24"/>
                <w:lang w:val="en-US" w:eastAsia="zh-CN"/>
              </w:rPr>
            </w:r>
            <w:r>
              <w:rPr>
                <w:rFonts w:hint="eastAsia" w:ascii="Times New Roman" w:hAnsi="Times New Roman" w:eastAsia="宋体" w:cs="Times New Roman"/>
                <w:sz w:val="24"/>
                <w:szCs w:val="24"/>
              </w:rPr>
            </w:r>
          </w:p>
        </w:tc>
        <w:tc>
          <w:tcPr>
            <w:tcBorders>
              <w:top w:val="single" w:color="auto" w:sz="4" w:space="0"/>
              <w:left w:val="single" w:color="auto" w:sz="4" w:space="0"/>
              <w:bottom w:val="single" w:color="auto" w:sz="4" w:space="0"/>
              <w:right w:val="single" w:color="auto" w:sz="4" w:space="0"/>
            </w:tcBorders>
          </w:tcPr>
          <w:p w14:paraId="636AA973">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76</w:t>
            </w:r>
          </w:p>
        </w:tc>
      </w:tr>
      <w:tr w14:paraId="6A37F910">
        <w:tc>
          <w:tcPr>
            <w:tcBorders>
              <w:top w:val="single" w:color="auto" w:sz="4" w:space="0"/>
              <w:left w:val="single" w:color="auto" w:sz="4" w:space="0"/>
              <w:bottom w:val="single" w:color="auto" w:sz="4" w:space="0"/>
              <w:right w:val="single" w:color="auto" w:sz="4" w:space="0"/>
            </w:tcBorders>
          </w:tcPr>
          <w:p w14:paraId="0AB49CF5">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Scopus</w:t>
            </w:r>
          </w:p>
        </w:tc>
        <w:tc>
          <w:tcPr>
            <w:tcBorders>
              <w:top w:val="single" w:color="auto" w:sz="4" w:space="0"/>
              <w:left w:val="single" w:color="auto" w:sz="4" w:space="0"/>
              <w:bottom w:val="single" w:color="auto" w:sz="4" w:space="0"/>
              <w:right w:val="single" w:color="auto" w:sz="4" w:space="0"/>
            </w:tcBorders>
          </w:tcPr>
          <w:p w14:paraId="2DD293CC">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June 2026</w:t>
            </w:r>
            <w:r>
              <w:rPr>
                <w:rFonts w:hint="eastAsia" w:ascii="Times New Roman" w:hAnsi="Times New Roman" w:eastAsia="宋体" w:cs="Times New Roman"/>
                <w:sz w:val="24"/>
                <w:szCs w:val="24"/>
                <w:lang w:val="en-US" w:eastAsia="zh-CN"/>
              </w:rPr>
            </w:r>
            <w:r>
              <w:rPr>
                <w:rFonts w:hint="eastAsia" w:ascii="Times New Roman" w:hAnsi="Times New Roman" w:eastAsia="宋体" w:cs="Times New Roman"/>
                <w:sz w:val="24"/>
                <w:szCs w:val="24"/>
              </w:rPr>
            </w:r>
          </w:p>
        </w:tc>
        <w:tc>
          <w:tcPr>
            <w:tcBorders>
              <w:top w:val="single" w:color="auto" w:sz="4" w:space="0"/>
              <w:left w:val="single" w:color="auto" w:sz="4" w:space="0"/>
              <w:bottom w:val="single" w:color="auto" w:sz="4" w:space="0"/>
              <w:right w:val="single" w:color="auto" w:sz="4" w:space="0"/>
            </w:tcBorders>
          </w:tcPr>
          <w:p w14:paraId="30201AF7">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2,276</w:t>
            </w:r>
          </w:p>
        </w:tc>
      </w:tr>
      <w:tr w14:paraId="4FAC5B16">
        <w:tc>
          <w:tcPr>
            <w:tcBorders>
              <w:top w:val="single" w:color="auto" w:sz="4" w:space="0"/>
              <w:left w:val="single" w:color="auto" w:sz="4" w:space="0"/>
              <w:bottom w:val="single" w:color="auto" w:sz="4" w:space="0"/>
              <w:right w:val="single" w:color="auto" w:sz="4" w:space="0"/>
            </w:tcBorders>
          </w:tcPr>
          <w:p w14:paraId="3E3FCCD6">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CNKI</w:t>
            </w:r>
          </w:p>
        </w:tc>
        <w:tc>
          <w:tcPr>
            <w:tcBorders>
              <w:top w:val="single" w:color="auto" w:sz="4" w:space="0"/>
              <w:left w:val="single" w:color="auto" w:sz="4" w:space="0"/>
              <w:bottom w:val="single" w:color="auto" w:sz="4" w:space="0"/>
              <w:right w:val="single" w:color="auto" w:sz="4" w:space="0"/>
            </w:tcBorders>
          </w:tcPr>
          <w:p w14:paraId="620194FD">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June 2026</w:t>
            </w:r>
            <w:r>
              <w:rPr>
                <w:rFonts w:hint="eastAsia" w:ascii="Times New Roman" w:hAnsi="Times New Roman" w:eastAsia="宋体" w:cs="Times New Roman"/>
                <w:sz w:val="24"/>
                <w:szCs w:val="24"/>
                <w:lang w:val="en-US" w:eastAsia="zh-CN"/>
              </w:rPr>
            </w:r>
            <w:r>
              <w:rPr>
                <w:rFonts w:hint="eastAsia" w:ascii="Times New Roman" w:hAnsi="Times New Roman" w:eastAsia="宋体" w:cs="Times New Roman"/>
                <w:sz w:val="24"/>
                <w:szCs w:val="24"/>
              </w:rPr>
            </w:r>
          </w:p>
        </w:tc>
        <w:tc>
          <w:tcPr>
            <w:tcBorders>
              <w:top w:val="single" w:color="auto" w:sz="4" w:space="0"/>
              <w:left w:val="single" w:color="auto" w:sz="4" w:space="0"/>
              <w:bottom w:val="single" w:color="auto" w:sz="4" w:space="0"/>
              <w:right w:val="single" w:color="auto" w:sz="4" w:space="0"/>
            </w:tcBorders>
          </w:tcPr>
          <w:p w14:paraId="2F2DD5A8">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18</w:t>
            </w:r>
          </w:p>
        </w:tc>
      </w:tr>
      <w:tr w14:paraId="58F0D860">
        <w:tc>
          <w:tcPr>
            <w:tcBorders>
              <w:top w:val="single" w:color="auto" w:sz="4" w:space="0"/>
              <w:left w:val="single" w:color="auto" w:sz="4" w:space="0"/>
              <w:bottom w:val="single" w:color="auto" w:sz="4" w:space="0"/>
              <w:right w:val="single" w:color="auto" w:sz="4" w:space="0"/>
            </w:tcBorders>
          </w:tcPr>
          <w:p w14:paraId="0FDB9A20">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CBM</w:t>
            </w:r>
          </w:p>
        </w:tc>
        <w:tc>
          <w:tcPr>
            <w:tcBorders>
              <w:top w:val="single" w:color="auto" w:sz="4" w:space="0"/>
              <w:left w:val="single" w:color="auto" w:sz="4" w:space="0"/>
              <w:bottom w:val="single" w:color="auto" w:sz="4" w:space="0"/>
              <w:right w:val="single" w:color="auto" w:sz="4" w:space="0"/>
            </w:tcBorders>
          </w:tcPr>
          <w:p w14:paraId="014AA39F">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June 2026</w:t>
            </w:r>
            <w:r>
              <w:rPr>
                <w:rFonts w:hint="eastAsia" w:ascii="Times New Roman" w:hAnsi="Times New Roman" w:eastAsia="宋体" w:cs="Times New Roman"/>
                <w:sz w:val="24"/>
                <w:szCs w:val="24"/>
                <w:lang w:val="en-US" w:eastAsia="zh-CN"/>
              </w:rPr>
            </w:r>
            <w:r>
              <w:rPr>
                <w:rFonts w:hint="eastAsia" w:ascii="Times New Roman" w:hAnsi="Times New Roman" w:eastAsia="宋体" w:cs="Times New Roman"/>
                <w:sz w:val="24"/>
                <w:szCs w:val="24"/>
              </w:rPr>
            </w:r>
          </w:p>
        </w:tc>
        <w:tc>
          <w:tcPr>
            <w:tcBorders>
              <w:top w:val="single" w:color="auto" w:sz="4" w:space="0"/>
              <w:left w:val="single" w:color="auto" w:sz="4" w:space="0"/>
              <w:bottom w:val="single" w:color="auto" w:sz="4" w:space="0"/>
              <w:right w:val="single" w:color="auto" w:sz="4" w:space="0"/>
            </w:tcBorders>
          </w:tcPr>
          <w:p w14:paraId="4920EC36">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5</w:t>
            </w:r>
          </w:p>
        </w:tc>
      </w:tr>
      <w:tr w14:paraId="2EED5CB5">
        <w:tc>
          <w:tcPr>
            <w:tcBorders>
              <w:top w:val="single" w:color="auto" w:sz="4" w:space="0"/>
              <w:left w:val="single" w:color="auto" w:sz="4" w:space="0"/>
              <w:bottom w:val="single" w:color="auto" w:sz="4" w:space="0"/>
              <w:right w:val="single" w:color="auto" w:sz="4" w:space="0"/>
            </w:tcBorders>
          </w:tcPr>
          <w:p w14:paraId="23F1F102">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CQVIP</w:t>
            </w:r>
          </w:p>
        </w:tc>
        <w:tc>
          <w:tcPr>
            <w:tcBorders>
              <w:top w:val="single" w:color="auto" w:sz="4" w:space="0"/>
              <w:left w:val="single" w:color="auto" w:sz="4" w:space="0"/>
              <w:bottom w:val="single" w:color="auto" w:sz="4" w:space="0"/>
              <w:right w:val="single" w:color="auto" w:sz="4" w:space="0"/>
            </w:tcBorders>
          </w:tcPr>
          <w:p w14:paraId="0F20543C">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June 2026</w:t>
            </w:r>
            <w:r>
              <w:rPr>
                <w:rFonts w:hint="eastAsia" w:ascii="Times New Roman" w:hAnsi="Times New Roman" w:eastAsia="宋体" w:cs="Times New Roman"/>
                <w:sz w:val="24"/>
                <w:szCs w:val="24"/>
                <w:lang w:val="en-US" w:eastAsia="zh-CN"/>
              </w:rPr>
            </w:r>
            <w:r>
              <w:rPr>
                <w:rFonts w:hint="eastAsia" w:ascii="Times New Roman" w:hAnsi="Times New Roman" w:eastAsia="宋体" w:cs="Times New Roman"/>
                <w:sz w:val="24"/>
                <w:szCs w:val="24"/>
              </w:rPr>
            </w:r>
          </w:p>
        </w:tc>
        <w:tc>
          <w:tcPr>
            <w:tcBorders>
              <w:top w:val="single" w:color="auto" w:sz="4" w:space="0"/>
              <w:left w:val="single" w:color="auto" w:sz="4" w:space="0"/>
              <w:bottom w:val="single" w:color="auto" w:sz="4" w:space="0"/>
              <w:right w:val="single" w:color="auto" w:sz="4" w:space="0"/>
            </w:tcBorders>
          </w:tcPr>
          <w:p w14:paraId="2E60543F">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1</w:t>
            </w:r>
          </w:p>
        </w:tc>
      </w:tr>
      <w:tr w14:paraId="24F3D8B1">
        <w:tc>
          <w:tcPr>
            <w:tcBorders>
              <w:top w:val="single" w:color="auto" w:sz="4" w:space="0"/>
              <w:left w:val="single" w:color="auto" w:sz="4" w:space="0"/>
              <w:bottom w:val="single" w:color="auto" w:sz="4" w:space="0"/>
              <w:right w:val="single" w:color="auto" w:sz="4" w:space="0"/>
            </w:tcBorders>
          </w:tcPr>
          <w:p w14:paraId="4C12CA40">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Wanfang Data</w:t>
            </w:r>
          </w:p>
        </w:tc>
        <w:tc>
          <w:tcPr>
            <w:tcBorders>
              <w:top w:val="single" w:color="auto" w:sz="4" w:space="0"/>
              <w:left w:val="single" w:color="auto" w:sz="4" w:space="0"/>
              <w:bottom w:val="single" w:color="auto" w:sz="4" w:space="0"/>
              <w:right w:val="single" w:color="auto" w:sz="4" w:space="0"/>
            </w:tcBorders>
          </w:tcPr>
          <w:p w14:paraId="297A46A6">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June 2026</w:t>
            </w:r>
            <w:r>
              <w:rPr>
                <w:rFonts w:hint="eastAsia" w:ascii="Times New Roman" w:hAnsi="Times New Roman" w:eastAsia="宋体" w:cs="Times New Roman"/>
                <w:sz w:val="24"/>
                <w:szCs w:val="24"/>
                <w:lang w:val="en-US" w:eastAsia="zh-CN"/>
              </w:rPr>
            </w:r>
            <w:r>
              <w:rPr>
                <w:rFonts w:hint="eastAsia" w:ascii="Times New Roman" w:hAnsi="Times New Roman" w:eastAsia="宋体" w:cs="Times New Roman"/>
                <w:sz w:val="24"/>
                <w:szCs w:val="24"/>
              </w:rPr>
            </w:r>
          </w:p>
        </w:tc>
        <w:tc>
          <w:tcPr>
            <w:tcBorders>
              <w:top w:val="single" w:color="auto" w:sz="4" w:space="0"/>
              <w:left w:val="single" w:color="auto" w:sz="4" w:space="0"/>
              <w:bottom w:val="single" w:color="auto" w:sz="4" w:space="0"/>
              <w:right w:val="single" w:color="auto" w:sz="4" w:space="0"/>
            </w:tcBorders>
          </w:tcPr>
          <w:p w14:paraId="0BD34E10">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30</w:t>
            </w:r>
          </w:p>
        </w:tc>
      </w:tr>
      <w:tr w14:paraId="648D5309">
        <w:tc>
          <w:tcPr>
            <w:tcBorders>
              <w:top w:val="single" w:color="auto" w:sz="4" w:space="0"/>
              <w:left w:val="single" w:color="auto" w:sz="4" w:space="0"/>
              <w:bottom w:val="single" w:color="auto" w:sz="4" w:space="0"/>
              <w:right w:val="single" w:color="auto" w:sz="4" w:space="0"/>
            </w:tcBorders>
          </w:tcPr>
          <w:p w14:paraId="10FCD21E">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Total</w:t>
            </w:r>
          </w:p>
        </w:tc>
        <w:tc>
          <w:tcPr>
            <w:tcBorders>
              <w:top w:val="single" w:color="auto" w:sz="4" w:space="0"/>
              <w:left w:val="single" w:color="auto" w:sz="4" w:space="0"/>
              <w:bottom w:val="single" w:color="auto" w:sz="4" w:space="0"/>
              <w:right w:val="single" w:color="auto" w:sz="4" w:space="0"/>
            </w:tcBorders>
          </w:tcPr>
          <w:p w14:paraId="3B9A2BD0">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w:t>
            </w:r>
          </w:p>
        </w:tc>
        <w:tc>
          <w:tcPr>
            <w:tcBorders>
              <w:top w:val="single" w:color="auto" w:sz="4" w:space="0"/>
              <w:left w:val="single" w:color="auto" w:sz="4" w:space="0"/>
              <w:bottom w:val="single" w:color="auto" w:sz="4" w:space="0"/>
              <w:right w:val="single" w:color="auto" w:sz="4" w:space="0"/>
            </w:tcBorders>
          </w:tcPr>
          <w:p w14:paraId="79CE974F">
            <w:pPr>
              <w:pStyle w:val="23"/>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6 703</w:t>
            </w:r>
          </w:p>
        </w:tc>
      </w:tr>
      <w:bookmarkEnd w:id="0"/>
      <w:bookmarkEnd w:id="8"/>
    </w:tbl>
    <w:p w14:paraId="0326EF53">
      <w:pPr>
        <w:rPr>
          <w:rFonts w:hint="eastAsia" w:ascii="宋体" w:hAnsi="宋体" w:eastAsia="宋体" w:cs="宋体"/>
          <w:sz w:val="28"/>
          <w:szCs w:val="28"/>
        </w:rPr>
      </w:pPr>
    </w:p>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86"/>
    <w:family w:val="auto"/>
    <w:pitch w:val="default"/>
    <w:sig w:usb0="00000000" w:usb1="0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Cambria">
    <w:altName w:val="苹方-简"/>
    <w:panose1 w:val="00000000000000000000"/>
    <w:charset w:val="86"/>
    <w:family w:val="auto"/>
    <w:pitch w:val="default"/>
    <w:sig w:usb0="00000000" w:usb1="00000000" w:usb2="00000000" w:usb3="00000000" w:csb0="00000000" w:csb1="00000000"/>
  </w:font>
  <w:font w:name="Cambria">
    <w:altName w:val="苹方-简"/>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Consolas">
    <w:altName w:val="苹方-简"/>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footnote w:id="0"/>
    <w:footnote w:id="1"/>
  </w:footnotePr>
  <w:compat>
    <w:useFELayout/>
    <w:splitPgBreakAndParaMark/>
    <w:compatSetting w:name="compatibilityMode" w:uri="http://schemas.microsoft.com/office/word" w:val="12"/>
  </w:compat>
  <w:rsids>
    <w:rsidRoot w:val="00000000"/>
    <w:rsid w:val="33DB9E2F"/>
    <w:rsid w:val="FDEB26A0"/>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4F81BD" w:themeColor="accent1"/>
      <w:sz w:val="32"/>
      <w:szCs w:val="32"/>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4F81BD" w:themeColor="accent1"/>
      <w:sz w:val="28"/>
      <w:szCs w:val="28"/>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4F81BD" w:themeColor="accent1"/>
      <w:sz w:val="24"/>
      <w:szCs w:val="24"/>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4F81BD" w:themeColor="accent1"/>
      <w:sz w:val="24"/>
      <w:szCs w:val="24"/>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Cs/>
      <w:color w:val="4F81BD" w:themeColor="accent1"/>
      <w:sz w:val="24"/>
      <w:szCs w:val="24"/>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sz w:val="24"/>
      <w:szCs w:val="24"/>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sz w:val="24"/>
      <w:szCs w:val="24"/>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sz w:val="24"/>
      <w:szCs w:val="24"/>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sz w:val="24"/>
      <w:szCs w:val="24"/>
    </w:rPr>
  </w:style>
  <w:style w:type="character" w:default="1" w:styleId="19">
    <w:name w:val="Default Paragraph Font"/>
    <w:semiHidden/>
    <w:unhideWhenUsed/>
    <w:uiPriority w:val="0"/>
  </w:style>
  <w:style w:type="table" w:default="1" w:styleId="18">
    <w:name w:val="Normal Table"/>
    <w:uiPriority w:val="0"/>
    <w:tblPr>
      <w:tblCellMar>
        <w:top w:w="0" w:type="dxa"/>
        <w:left w:w="108" w:type="dxa"/>
        <w:bottom w:w="0" w:type="dxa"/>
        <w:right w:w="108" w:type="dxa"/>
      </w:tblCellMar>
    </w:tblPr>
  </w:style>
  <w:style w:type="paragraph" w:styleId="3">
    <w:name w:val="Body Text"/>
    <w:basedOn w:val="1"/>
    <w:link w:val="21"/>
    <w:qFormat/>
    <w:uiPriority w:val="0"/>
    <w:pPr>
      <w:spacing w:before="180" w:after="180"/>
    </w:pPr>
  </w:style>
  <w:style w:type="paragraph" w:styleId="12">
    <w:name w:val="caption"/>
    <w:basedOn w:val="1"/>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styleId="15">
    <w:name w:val="Subtitle"/>
    <w:basedOn w:val="16"/>
    <w:next w:val="3"/>
    <w:qFormat/>
    <w:uiPriority w:val="0"/>
    <w:pPr>
      <w:keepNext/>
      <w:keepLines/>
      <w:spacing w:before="240" w:after="240"/>
      <w:jc w:val="center"/>
    </w:pPr>
    <w:rPr>
      <w:sz w:val="30"/>
      <w:szCs w:val="30"/>
    </w:rPr>
  </w:style>
  <w:style w:type="paragraph" w:styleId="16">
    <w:name w:val="Title"/>
    <w:basedOn w:val="1"/>
    <w:next w:val="3"/>
    <w:qFormat/>
    <w:uiPriority w:val="0"/>
    <w:pPr>
      <w:keepNext/>
      <w:keepLines/>
      <w:spacing w:before="480" w:after="240"/>
      <w:jc w:val="center"/>
    </w:pPr>
    <w:rPr>
      <w:rFonts w:asciiTheme="majorHAnsi" w:hAnsiTheme="majorHAnsi" w:eastAsiaTheme="majorEastAsia" w:cstheme="majorBidi"/>
      <w:b/>
      <w:bCs/>
      <w:color w:val="335B8A" w:themeColor="accent1" w:themeShade="B5"/>
      <w:sz w:val="36"/>
      <w:szCs w:val="36"/>
    </w:rPr>
  </w:style>
  <w:style w:type="paragraph" w:styleId="17">
    <w:name w:val="footnote text"/>
    <w:basedOn w:val="1"/>
    <w:unhideWhenUsed/>
    <w:qFormat/>
    <w:uiPriority w:val="9"/>
    <w:pPr>
      <w:spacing w:before="0" w:after="0" w:line="200" w:lineRule="exact"/>
    </w:pPr>
    <w:rPr>
      <w:sz w:val="18"/>
      <w:szCs w:val="18"/>
    </w:rPr>
  </w:style>
  <w:style w:type="character" w:styleId="20">
    <w:name w:val="Hyperlink"/>
    <w:basedOn w:val="21"/>
    <w:uiPriority w:val="0"/>
    <w:rPr>
      <w:color w:val="4F81BD" w:themeColor="accent1"/>
    </w:rPr>
  </w:style>
  <w:style w:type="character" w:customStyle="1" w:styleId="21">
    <w:name w:val="Body Text Char"/>
    <w:basedOn w:val="19"/>
    <w:link w:val="3"/>
    <w:uiPriority w:val="0"/>
  </w:style>
  <w:style w:type="character" w:styleId="22">
    <w:name w:val="footnote reference"/>
    <w:basedOn w:val="21"/>
    <w:uiPriority w:val="0"/>
    <w:rPr>
      <w:vertAlign w:val="superscript"/>
    </w:rPr>
  </w:style>
  <w:style w:type="paragraph" w:customStyle="1" w:styleId="23">
    <w:name w:val="First Paragraph"/>
    <w:basedOn w:val="3"/>
    <w:next w:val="3"/>
    <w:qFormat/>
    <w:uiPriority w:val="0"/>
  </w:style>
  <w:style w:type="paragraph" w:customStyle="1" w:styleId="24">
    <w:name w:val="Compact"/>
    <w:basedOn w:val="3"/>
    <w:qFormat/>
    <w:uiPriority w:val="0"/>
    <w:pPr>
      <w:spacing w:before="36" w:after="36"/>
    </w:pPr>
  </w:style>
  <w:style w:type="paragraph" w:customStyle="1" w:styleId="25">
    <w:name w:val="Author"/>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customStyle="1" w:styleId="26">
    <w:name w:val="Abstract"/>
    <w:basedOn w:val="1"/>
    <w:next w:val="3"/>
    <w:qFormat/>
    <w:uiPriority w:val="0"/>
    <w:pPr>
      <w:keepNext/>
      <w:keepLines/>
      <w:spacing w:before="300" w:after="300"/>
    </w:pPr>
    <w:rPr>
      <w:sz w:val="20"/>
      <w:szCs w:val="20"/>
    </w:rPr>
  </w:style>
  <w:style w:type="paragraph" w:customStyle="1" w:styleId="27">
    <w:name w:val="Bibliography"/>
    <w:basedOn w:val="1"/>
    <w:qFormat/>
    <w:uiPriority w:val="0"/>
  </w:style>
  <w:style w:type="table" w:customStyle="1" w:styleId="28">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29">
    <w:name w:val="Definition Term"/>
    <w:basedOn w:val="1"/>
    <w:next w:val="30"/>
    <w:uiPriority w:val="0"/>
    <w:pPr>
      <w:keepNext/>
      <w:keepLines/>
      <w:spacing w:after="0"/>
    </w:pPr>
    <w:rPr>
      <w:b/>
    </w:rPr>
  </w:style>
  <w:style w:type="paragraph" w:customStyle="1" w:styleId="30">
    <w:name w:val="Definition"/>
    <w:basedOn w:val="1"/>
    <w:uiPriority w:val="0"/>
  </w:style>
  <w:style w:type="paragraph" w:customStyle="1" w:styleId="31">
    <w:name w:val="Table Caption"/>
    <w:basedOn w:val="12"/>
    <w:uiPriority w:val="0"/>
    <w:pPr>
      <w:keepNext/>
    </w:pPr>
  </w:style>
  <w:style w:type="paragraph" w:customStyle="1" w:styleId="32">
    <w:name w:val="Image Caption"/>
    <w:basedOn w:val="12"/>
    <w:uiPriority w:val="0"/>
  </w:style>
  <w:style w:type="paragraph" w:customStyle="1" w:styleId="33">
    <w:name w:val="Figure"/>
    <w:basedOn w:val="1"/>
    <w:uiPriority w:val="0"/>
  </w:style>
  <w:style w:type="paragraph" w:customStyle="1" w:styleId="34">
    <w:name w:val="Captioned Figure"/>
    <w:basedOn w:val="33"/>
    <w:uiPriority w:val="0"/>
    <w:pPr>
      <w:keepNext/>
    </w:pPr>
  </w:style>
  <w:style w:type="character" w:customStyle="1" w:styleId="35">
    <w:name w:val="Verbatim Char"/>
    <w:basedOn w:val="21"/>
    <w:link w:val="36"/>
    <w:uiPriority w:val="0"/>
    <w:rPr>
      <w:rFonts w:ascii="Consolas" w:hAnsi="Consolas"/>
      <w:sz w:val="22"/>
    </w:rPr>
  </w:style>
  <w:style w:type="paragraph" w:customStyle="1" w:styleId="36">
    <w:name w:val="Source Code"/>
    <w:basedOn w:val="1"/>
    <w:link w:val="35"/>
    <w:uiPriority w:val="0"/>
    <w:pPr>
      <w:wordWrap w:val="0"/>
    </w:pPr>
  </w:style>
  <w:style w:type="character" w:customStyle="1" w:styleId="37">
    <w:name w:val="Section Number"/>
    <w:basedOn w:val="21"/>
    <w:uiPriority w:val="0"/>
  </w:style>
  <w:style w:type="paragraph" w:customStyle="1" w:styleId="38">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366091" w:themeColor="accent1" w:themeShade="BF"/>
    </w:rPr>
  </w:style>
  <w:style w:type="character" w:customStyle="1" w:styleId="39">
    <w:name w:val="KeywordTok"/>
    <w:basedOn w:val="35"/>
    <w:uiPriority w:val="0"/>
    <w:rPr>
      <w:b/>
      <w:color w:val="007020"/>
    </w:rPr>
  </w:style>
  <w:style w:type="character" w:customStyle="1" w:styleId="40">
    <w:name w:val="DataTypeTok"/>
    <w:basedOn w:val="35"/>
    <w:uiPriority w:val="0"/>
    <w:rPr>
      <w:color w:val="902000"/>
    </w:rPr>
  </w:style>
  <w:style w:type="character" w:customStyle="1" w:styleId="41">
    <w:name w:val="DecValTok"/>
    <w:basedOn w:val="35"/>
    <w:uiPriority w:val="0"/>
    <w:rPr>
      <w:color w:val="40A070"/>
    </w:rPr>
  </w:style>
  <w:style w:type="character" w:customStyle="1" w:styleId="42">
    <w:name w:val="BaseNTok"/>
    <w:basedOn w:val="35"/>
    <w:uiPriority w:val="0"/>
    <w:rPr>
      <w:color w:val="40A070"/>
    </w:rPr>
  </w:style>
  <w:style w:type="character" w:customStyle="1" w:styleId="43">
    <w:name w:val="FloatTok"/>
    <w:basedOn w:val="35"/>
    <w:uiPriority w:val="0"/>
    <w:rPr>
      <w:color w:val="40A070"/>
    </w:rPr>
  </w:style>
  <w:style w:type="character" w:customStyle="1" w:styleId="44">
    <w:name w:val="ConstantTok"/>
    <w:basedOn w:val="35"/>
    <w:uiPriority w:val="0"/>
    <w:rPr>
      <w:color w:val="880000"/>
    </w:rPr>
  </w:style>
  <w:style w:type="character" w:customStyle="1" w:styleId="45">
    <w:name w:val="CharTok"/>
    <w:basedOn w:val="35"/>
    <w:uiPriority w:val="0"/>
    <w:rPr>
      <w:color w:val="4070A0"/>
    </w:rPr>
  </w:style>
  <w:style w:type="character" w:customStyle="1" w:styleId="46">
    <w:name w:val="SpecialCharTok"/>
    <w:basedOn w:val="35"/>
    <w:uiPriority w:val="0"/>
    <w:rPr>
      <w:color w:val="4070A0"/>
    </w:rPr>
  </w:style>
  <w:style w:type="character" w:customStyle="1" w:styleId="47">
    <w:name w:val="StringTok"/>
    <w:basedOn w:val="35"/>
    <w:uiPriority w:val="0"/>
    <w:rPr>
      <w:color w:val="4070A0"/>
    </w:rPr>
  </w:style>
  <w:style w:type="character" w:customStyle="1" w:styleId="48">
    <w:name w:val="VerbatimStringTok"/>
    <w:basedOn w:val="35"/>
    <w:uiPriority w:val="0"/>
    <w:rPr>
      <w:color w:val="4070A0"/>
    </w:rPr>
  </w:style>
  <w:style w:type="character" w:customStyle="1" w:styleId="49">
    <w:name w:val="SpecialStringTok"/>
    <w:basedOn w:val="35"/>
    <w:uiPriority w:val="0"/>
    <w:rPr>
      <w:color w:val="BB6688"/>
    </w:rPr>
  </w:style>
  <w:style w:type="character" w:customStyle="1" w:styleId="50">
    <w:name w:val="ImportTok"/>
    <w:basedOn w:val="35"/>
    <w:uiPriority w:val="0"/>
    <w:rPr>
      <w:b/>
      <w:color w:val="008000"/>
    </w:rPr>
  </w:style>
  <w:style w:type="character" w:customStyle="1" w:styleId="51">
    <w:name w:val="CommentTok"/>
    <w:basedOn w:val="35"/>
    <w:uiPriority w:val="0"/>
    <w:rPr>
      <w:i/>
      <w:color w:val="60A0B0"/>
    </w:rPr>
  </w:style>
  <w:style w:type="character" w:customStyle="1" w:styleId="52">
    <w:name w:val="DocumentationTok"/>
    <w:basedOn w:val="35"/>
    <w:uiPriority w:val="0"/>
    <w:rPr>
      <w:i/>
      <w:color w:val="BA2121"/>
    </w:rPr>
  </w:style>
  <w:style w:type="character" w:customStyle="1" w:styleId="53">
    <w:name w:val="AnnotationTok"/>
    <w:basedOn w:val="35"/>
    <w:uiPriority w:val="0"/>
    <w:rPr>
      <w:b/>
      <w:i/>
      <w:color w:val="60A0B0"/>
    </w:rPr>
  </w:style>
  <w:style w:type="character" w:customStyle="1" w:styleId="54">
    <w:name w:val="CommentVarTok"/>
    <w:basedOn w:val="35"/>
    <w:uiPriority w:val="0"/>
    <w:rPr>
      <w:b/>
      <w:i/>
      <w:color w:val="60A0B0"/>
    </w:rPr>
  </w:style>
  <w:style w:type="character" w:customStyle="1" w:styleId="55">
    <w:name w:val="OtherTok"/>
    <w:basedOn w:val="35"/>
    <w:uiPriority w:val="0"/>
    <w:rPr>
      <w:color w:val="007020"/>
    </w:rPr>
  </w:style>
  <w:style w:type="character" w:customStyle="1" w:styleId="56">
    <w:name w:val="FunctionTok"/>
    <w:basedOn w:val="35"/>
    <w:uiPriority w:val="0"/>
    <w:rPr>
      <w:color w:val="06287E"/>
    </w:rPr>
  </w:style>
  <w:style w:type="character" w:customStyle="1" w:styleId="57">
    <w:name w:val="VariableTok"/>
    <w:basedOn w:val="35"/>
    <w:uiPriority w:val="0"/>
    <w:rPr>
      <w:color w:val="19177C"/>
    </w:rPr>
  </w:style>
  <w:style w:type="character" w:customStyle="1" w:styleId="58">
    <w:name w:val="ControlFlowTok"/>
    <w:basedOn w:val="35"/>
    <w:uiPriority w:val="0"/>
    <w:rPr>
      <w:b/>
      <w:color w:val="007020"/>
    </w:rPr>
  </w:style>
  <w:style w:type="character" w:customStyle="1" w:styleId="59">
    <w:name w:val="OperatorTok"/>
    <w:basedOn w:val="35"/>
    <w:uiPriority w:val="0"/>
    <w:rPr>
      <w:color w:val="666666"/>
    </w:rPr>
  </w:style>
  <w:style w:type="character" w:customStyle="1" w:styleId="60">
    <w:name w:val="BuiltInTok"/>
    <w:basedOn w:val="35"/>
    <w:uiPriority w:val="0"/>
    <w:rPr>
      <w:color w:val="008000"/>
    </w:rPr>
  </w:style>
  <w:style w:type="character" w:customStyle="1" w:styleId="61">
    <w:name w:val="ExtensionTok"/>
    <w:basedOn w:val="35"/>
    <w:uiPriority w:val="0"/>
  </w:style>
  <w:style w:type="character" w:customStyle="1" w:styleId="62">
    <w:name w:val="PreprocessorTok"/>
    <w:basedOn w:val="35"/>
    <w:uiPriority w:val="0"/>
    <w:rPr>
      <w:color w:val="BC7A00"/>
    </w:rPr>
  </w:style>
  <w:style w:type="character" w:customStyle="1" w:styleId="63">
    <w:name w:val="AttributeTok"/>
    <w:basedOn w:val="35"/>
    <w:uiPriority w:val="0"/>
    <w:rPr>
      <w:color w:val="7D9029"/>
    </w:rPr>
  </w:style>
  <w:style w:type="character" w:customStyle="1" w:styleId="64">
    <w:name w:val="RegionMarkerTok"/>
    <w:basedOn w:val="35"/>
    <w:uiPriority w:val="0"/>
  </w:style>
  <w:style w:type="character" w:customStyle="1" w:styleId="65">
    <w:name w:val="InformationTok"/>
    <w:basedOn w:val="35"/>
    <w:uiPriority w:val="0"/>
    <w:rPr>
      <w:b/>
      <w:i/>
      <w:color w:val="60A0B0"/>
    </w:rPr>
  </w:style>
  <w:style w:type="character" w:customStyle="1" w:styleId="66">
    <w:name w:val="WarningTok"/>
    <w:basedOn w:val="35"/>
    <w:uiPriority w:val="0"/>
    <w:rPr>
      <w:b/>
      <w:i/>
      <w:color w:val="60A0B0"/>
    </w:rPr>
  </w:style>
  <w:style w:type="character" w:customStyle="1" w:styleId="67">
    <w:name w:val="AlertTok"/>
    <w:basedOn w:val="35"/>
    <w:uiPriority w:val="0"/>
    <w:rPr>
      <w:b/>
      <w:color w:val="FF0000"/>
    </w:rPr>
  </w:style>
  <w:style w:type="character" w:customStyle="1" w:styleId="68">
    <w:name w:val="ErrorTok"/>
    <w:basedOn w:val="35"/>
    <w:uiPriority w:val="0"/>
    <w:rPr>
      <w:b/>
      <w:color w:val="FF0000"/>
    </w:rPr>
  </w:style>
  <w:style w:type="character" w:customStyle="1" w:styleId="69">
    <w:name w:val="NormalTok"/>
    <w:basedOn w:val="35"/>
    <w:uiPriority w:val="0"/>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notes" Target="footnotes.xml"/><Relationship Id="rId4" Type="http://schemas.openxmlformats.org/officeDocument/2006/relationships/theme" Target="theme/theme1.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5</Pages>
  <Words>83</Words>
  <Characters>475</Characters>
  <Lines>12</Lines>
  <Paragraphs>8</Paragraphs>
  <TotalTime>4</TotalTime>
  <ScaleCrop>false</ScaleCrop>
  <LinksUpToDate>false</LinksUpToDate>
  <CharactersWithSpaces>583</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2026-08-07T18:14:00Z</dcterms:created>
  <dc:creator>Vicky</dc:creator>
  <cp:lastModifiedBy>Vicky</cp:lastModifiedBy>
  <dcterms:modified xsi:type="dcterms:W3CDTF">2026-08-15T15:11:25Z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54AF5140F75BFC814945756AA29AB24A_42</vt:lpwstr>
  </property>
</Properties>
</file>