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D4495" w14:textId="77777777" w:rsidR="007E5EDC" w:rsidRDefault="007E5EDC" w:rsidP="007E5EDC">
      <w:pPr>
        <w:suppressLineNumbers/>
        <w:spacing w:before="240"/>
      </w:pPr>
      <w:r>
        <w:rPr>
          <w:b/>
          <w:sz w:val="26"/>
        </w:rPr>
        <w:t>Tables</w:t>
      </w:r>
    </w:p>
    <w:p w14:paraId="45CCB16A" w14:textId="77777777" w:rsidR="007E5EDC" w:rsidRDefault="007E5EDC" w:rsidP="007E5EDC">
      <w:pPr>
        <w:suppressLineNumbers/>
        <w:spacing w:line="240" w:lineRule="auto"/>
        <w:rPr>
          <w:rFonts w:ascii="Times New Roman Bold" w:hAnsi="Times New Roman Bold" w:cs="Times New Roman Bold"/>
          <w:b/>
          <w:sz w:val="28"/>
          <w:szCs w:val="28"/>
        </w:rPr>
      </w:pPr>
      <w:r>
        <w:rPr>
          <w:rFonts w:ascii="Times New Roman Bold" w:hAnsi="Times New Roman Bold" w:cs="Times New Roman Bold"/>
          <w:b/>
          <w:sz w:val="28"/>
          <w:szCs w:val="28"/>
        </w:rPr>
        <w:t>Table 1 Characteristics of the included studies</w:t>
      </w:r>
    </w:p>
    <w:tbl>
      <w:tblPr>
        <w:tblStyle w:val="TableGrid"/>
        <w:tblW w:w="15105" w:type="dxa"/>
        <w:jc w:val="center"/>
        <w:tblLayout w:type="fixed"/>
        <w:tblLook w:val="04A0" w:firstRow="1" w:lastRow="0" w:firstColumn="1" w:lastColumn="0" w:noHBand="0" w:noVBand="1"/>
      </w:tblPr>
      <w:tblGrid>
        <w:gridCol w:w="1921"/>
        <w:gridCol w:w="1030"/>
        <w:gridCol w:w="2257"/>
        <w:gridCol w:w="1624"/>
        <w:gridCol w:w="1148"/>
        <w:gridCol w:w="1961"/>
        <w:gridCol w:w="1584"/>
        <w:gridCol w:w="1227"/>
        <w:gridCol w:w="1327"/>
        <w:gridCol w:w="1026"/>
      </w:tblGrid>
      <w:tr w:rsidR="007E5EDC" w14:paraId="5DC806E6" w14:textId="77777777" w:rsidTr="00D9294B">
        <w:trPr>
          <w:trHeight w:val="1308"/>
          <w:jc w:val="center"/>
        </w:trPr>
        <w:tc>
          <w:tcPr>
            <w:tcW w:w="1921" w:type="dxa"/>
          </w:tcPr>
          <w:p w14:paraId="58BF0C9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Author (year)</w:t>
            </w:r>
          </w:p>
        </w:tc>
        <w:tc>
          <w:tcPr>
            <w:tcW w:w="1030" w:type="dxa"/>
          </w:tcPr>
          <w:p w14:paraId="3452077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Country</w:t>
            </w:r>
          </w:p>
        </w:tc>
        <w:tc>
          <w:tcPr>
            <w:tcW w:w="2257" w:type="dxa"/>
          </w:tcPr>
          <w:p w14:paraId="49F4620D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Study design</w:t>
            </w:r>
          </w:p>
        </w:tc>
        <w:tc>
          <w:tcPr>
            <w:tcW w:w="1624" w:type="dxa"/>
          </w:tcPr>
          <w:p w14:paraId="3F626B0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Data source</w:t>
            </w:r>
          </w:p>
        </w:tc>
        <w:tc>
          <w:tcPr>
            <w:tcW w:w="1148" w:type="dxa"/>
          </w:tcPr>
          <w:p w14:paraId="3DB1EC3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Participants</w:t>
            </w:r>
          </w:p>
        </w:tc>
        <w:tc>
          <w:tcPr>
            <w:tcW w:w="1961" w:type="dxa"/>
          </w:tcPr>
          <w:p w14:paraId="6DC0356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Outcome measure (assessment tool)</w:t>
            </w:r>
          </w:p>
        </w:tc>
        <w:tc>
          <w:tcPr>
            <w:tcW w:w="1584" w:type="dxa"/>
          </w:tcPr>
          <w:p w14:paraId="01CC889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Candidate predictor instruments</w:t>
            </w:r>
          </w:p>
        </w:tc>
        <w:tc>
          <w:tcPr>
            <w:tcW w:w="1227" w:type="dxa"/>
          </w:tcPr>
          <w:p w14:paraId="1EA0746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Cases/sample size (%)</w:t>
            </w:r>
          </w:p>
        </w:tc>
        <w:tc>
          <w:tcPr>
            <w:tcW w:w="1327" w:type="dxa"/>
          </w:tcPr>
          <w:p w14:paraId="0C9E56B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No. of candidate predictors</w:t>
            </w:r>
          </w:p>
        </w:tc>
        <w:tc>
          <w:tcPr>
            <w:tcW w:w="1026" w:type="dxa"/>
          </w:tcPr>
          <w:p w14:paraId="31712C9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No. of models</w:t>
            </w:r>
          </w:p>
        </w:tc>
      </w:tr>
      <w:tr w:rsidR="007E5EDC" w14:paraId="1F4923B7" w14:textId="77777777" w:rsidTr="00D9294B">
        <w:trPr>
          <w:jc w:val="center"/>
        </w:trPr>
        <w:tc>
          <w:tcPr>
            <w:tcW w:w="1921" w:type="dxa"/>
          </w:tcPr>
          <w:p w14:paraId="5DBD9D4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Zhang (2025) [21]</w:t>
            </w:r>
          </w:p>
        </w:tc>
        <w:tc>
          <w:tcPr>
            <w:tcW w:w="1030" w:type="dxa"/>
          </w:tcPr>
          <w:p w14:paraId="4E4803C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China</w:t>
            </w:r>
          </w:p>
        </w:tc>
        <w:tc>
          <w:tcPr>
            <w:tcW w:w="2257" w:type="dxa"/>
          </w:tcPr>
          <w:p w14:paraId="3BC52E8D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Cross-sectional study</w:t>
            </w:r>
          </w:p>
        </w:tc>
        <w:tc>
          <w:tcPr>
            <w:tcW w:w="1624" w:type="dxa"/>
          </w:tcPr>
          <w:p w14:paraId="1697A17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Three administrative districts (</w:t>
            </w: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Baohe</w:t>
            </w:r>
            <w:proofErr w:type="spellEnd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Luyang</w:t>
            </w:r>
            <w:proofErr w:type="spellEnd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, and Shushan) of Hefei</w:t>
            </w:r>
          </w:p>
        </w:tc>
        <w:tc>
          <w:tcPr>
            <w:tcW w:w="1148" w:type="dxa"/>
          </w:tcPr>
          <w:p w14:paraId="521A9F6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Community-dwelling older adults</w:t>
            </w:r>
          </w:p>
        </w:tc>
        <w:tc>
          <w:tcPr>
            <w:tcW w:w="1961" w:type="dxa"/>
          </w:tcPr>
          <w:p w14:paraId="6261592D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SFI</w:t>
            </w:r>
          </w:p>
        </w:tc>
        <w:tc>
          <w:tcPr>
            <w:tcW w:w="1584" w:type="dxa"/>
          </w:tcPr>
          <w:p w14:paraId="4BA706BD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SAS; GDS-5; FRAIL; SSRS</w:t>
            </w:r>
          </w:p>
        </w:tc>
        <w:tc>
          <w:tcPr>
            <w:tcW w:w="1227" w:type="dxa"/>
          </w:tcPr>
          <w:p w14:paraId="61BA500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169/650 (26.00%)</w:t>
            </w:r>
          </w:p>
        </w:tc>
        <w:tc>
          <w:tcPr>
            <w:tcW w:w="1327" w:type="dxa"/>
          </w:tcPr>
          <w:p w14:paraId="439C444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24</w:t>
            </w:r>
          </w:p>
        </w:tc>
        <w:tc>
          <w:tcPr>
            <w:tcW w:w="1026" w:type="dxa"/>
          </w:tcPr>
          <w:p w14:paraId="5CF432A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</w:t>
            </w:r>
          </w:p>
        </w:tc>
      </w:tr>
      <w:tr w:rsidR="007E5EDC" w14:paraId="63A21DB7" w14:textId="77777777" w:rsidTr="00D9294B">
        <w:trPr>
          <w:jc w:val="center"/>
        </w:trPr>
        <w:tc>
          <w:tcPr>
            <w:tcW w:w="1921" w:type="dxa"/>
          </w:tcPr>
          <w:p w14:paraId="53EBE98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Zhou et al. (2026) [22]</w:t>
            </w:r>
          </w:p>
        </w:tc>
        <w:tc>
          <w:tcPr>
            <w:tcW w:w="1030" w:type="dxa"/>
          </w:tcPr>
          <w:p w14:paraId="1C6B269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China</w:t>
            </w:r>
          </w:p>
        </w:tc>
        <w:tc>
          <w:tcPr>
            <w:tcW w:w="2257" w:type="dxa"/>
          </w:tcPr>
          <w:p w14:paraId="55B4C91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Cross-sectional study</w:t>
            </w:r>
          </w:p>
        </w:tc>
        <w:tc>
          <w:tcPr>
            <w:tcW w:w="1624" w:type="dxa"/>
          </w:tcPr>
          <w:p w14:paraId="139488AD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Endocrinology inpatient departments of two </w:t>
            </w: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hospitals in Hebei Province</w:t>
            </w:r>
          </w:p>
        </w:tc>
        <w:tc>
          <w:tcPr>
            <w:tcW w:w="1148" w:type="dxa"/>
          </w:tcPr>
          <w:p w14:paraId="444C033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 xml:space="preserve">Patients with type 2 </w:t>
            </w: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diabetes mellitus</w:t>
            </w:r>
          </w:p>
        </w:tc>
        <w:tc>
          <w:tcPr>
            <w:tcW w:w="1961" w:type="dxa"/>
          </w:tcPr>
          <w:p w14:paraId="3324B29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HALFT</w:t>
            </w:r>
          </w:p>
        </w:tc>
        <w:tc>
          <w:tcPr>
            <w:tcW w:w="1584" w:type="dxa"/>
          </w:tcPr>
          <w:p w14:paraId="21E53C7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DDS; GDS-5; SSRS; PSQI; </w:t>
            </w: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eHEALS</w:t>
            </w:r>
            <w:proofErr w:type="spellEnd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; </w:t>
            </w: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MNA-SF; Barthel</w:t>
            </w:r>
          </w:p>
        </w:tc>
        <w:tc>
          <w:tcPr>
            <w:tcW w:w="1227" w:type="dxa"/>
          </w:tcPr>
          <w:p w14:paraId="724DEF6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169/455 (37.1%)</w:t>
            </w:r>
          </w:p>
        </w:tc>
        <w:tc>
          <w:tcPr>
            <w:tcW w:w="1327" w:type="dxa"/>
          </w:tcPr>
          <w:p w14:paraId="32E74A5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17</w:t>
            </w:r>
          </w:p>
        </w:tc>
        <w:tc>
          <w:tcPr>
            <w:tcW w:w="1026" w:type="dxa"/>
          </w:tcPr>
          <w:p w14:paraId="6E1CD84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3</w:t>
            </w:r>
          </w:p>
        </w:tc>
      </w:tr>
      <w:tr w:rsidR="007E5EDC" w14:paraId="14679B76" w14:textId="77777777" w:rsidTr="00D9294B">
        <w:trPr>
          <w:jc w:val="center"/>
        </w:trPr>
        <w:tc>
          <w:tcPr>
            <w:tcW w:w="1921" w:type="dxa"/>
          </w:tcPr>
          <w:p w14:paraId="5D5AF47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Wang et al. (2025) [23]</w:t>
            </w:r>
          </w:p>
        </w:tc>
        <w:tc>
          <w:tcPr>
            <w:tcW w:w="1030" w:type="dxa"/>
          </w:tcPr>
          <w:p w14:paraId="05620E5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China</w:t>
            </w:r>
          </w:p>
        </w:tc>
        <w:tc>
          <w:tcPr>
            <w:tcW w:w="2257" w:type="dxa"/>
          </w:tcPr>
          <w:p w14:paraId="1DCC080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Cross-sectional study</w:t>
            </w:r>
          </w:p>
        </w:tc>
        <w:tc>
          <w:tcPr>
            <w:tcW w:w="1624" w:type="dxa"/>
          </w:tcPr>
          <w:p w14:paraId="375CBCC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Haemodialysis</w:t>
            </w:r>
            <w:proofErr w:type="spellEnd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 unit of a hospital in Jinan</w:t>
            </w:r>
          </w:p>
        </w:tc>
        <w:tc>
          <w:tcPr>
            <w:tcW w:w="1148" w:type="dxa"/>
          </w:tcPr>
          <w:p w14:paraId="7BC2D5A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Older patients receiving maintenance </w:t>
            </w: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haemodialysis</w:t>
            </w:r>
            <w:proofErr w:type="spellEnd"/>
          </w:p>
        </w:tc>
        <w:tc>
          <w:tcPr>
            <w:tcW w:w="1961" w:type="dxa"/>
          </w:tcPr>
          <w:p w14:paraId="7C8BBD8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HALFT</w:t>
            </w:r>
          </w:p>
        </w:tc>
        <w:tc>
          <w:tcPr>
            <w:tcW w:w="1584" w:type="dxa"/>
          </w:tcPr>
          <w:p w14:paraId="17F2340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HD-SMI; TAS-20; APGAR; SSRS</w:t>
            </w:r>
          </w:p>
        </w:tc>
        <w:tc>
          <w:tcPr>
            <w:tcW w:w="1227" w:type="dxa"/>
          </w:tcPr>
          <w:p w14:paraId="41C246C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98/340 (28.82%)</w:t>
            </w:r>
          </w:p>
        </w:tc>
        <w:tc>
          <w:tcPr>
            <w:tcW w:w="1327" w:type="dxa"/>
          </w:tcPr>
          <w:p w14:paraId="5523465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21</w:t>
            </w:r>
          </w:p>
        </w:tc>
        <w:tc>
          <w:tcPr>
            <w:tcW w:w="1026" w:type="dxa"/>
          </w:tcPr>
          <w:p w14:paraId="454F75D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</w:t>
            </w:r>
          </w:p>
        </w:tc>
      </w:tr>
      <w:tr w:rsidR="007E5EDC" w14:paraId="15D6F78B" w14:textId="77777777" w:rsidTr="00D9294B">
        <w:trPr>
          <w:jc w:val="center"/>
        </w:trPr>
        <w:tc>
          <w:tcPr>
            <w:tcW w:w="1921" w:type="dxa"/>
          </w:tcPr>
          <w:p w14:paraId="65C3AAB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Kuo et al. (2019) [24]</w:t>
            </w:r>
          </w:p>
        </w:tc>
        <w:tc>
          <w:tcPr>
            <w:tcW w:w="1030" w:type="dxa"/>
          </w:tcPr>
          <w:p w14:paraId="1E7A5A0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China</w:t>
            </w:r>
          </w:p>
        </w:tc>
        <w:tc>
          <w:tcPr>
            <w:tcW w:w="2257" w:type="dxa"/>
          </w:tcPr>
          <w:p w14:paraId="56DC5C9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Cross-sectional study</w:t>
            </w:r>
          </w:p>
        </w:tc>
        <w:tc>
          <w:tcPr>
            <w:tcW w:w="1624" w:type="dxa"/>
          </w:tcPr>
          <w:p w14:paraId="5ED8E07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Kaohsiung City, Taiwan</w:t>
            </w:r>
          </w:p>
        </w:tc>
        <w:tc>
          <w:tcPr>
            <w:tcW w:w="1148" w:type="dxa"/>
          </w:tcPr>
          <w:p w14:paraId="4128771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Community-dwelling older adults</w:t>
            </w:r>
          </w:p>
        </w:tc>
        <w:tc>
          <w:tcPr>
            <w:tcW w:w="1961" w:type="dxa"/>
          </w:tcPr>
          <w:p w14:paraId="486CC3B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LSNS-6</w:t>
            </w:r>
          </w:p>
        </w:tc>
        <w:tc>
          <w:tcPr>
            <w:tcW w:w="1584" w:type="dxa"/>
          </w:tcPr>
          <w:p w14:paraId="0F9CCC4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HLS-EU-Q16; GDS-5; FFQ</w:t>
            </w:r>
          </w:p>
        </w:tc>
        <w:tc>
          <w:tcPr>
            <w:tcW w:w="1227" w:type="dxa"/>
          </w:tcPr>
          <w:p w14:paraId="0D54706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405/595 (68.07%)</w:t>
            </w:r>
          </w:p>
        </w:tc>
        <w:tc>
          <w:tcPr>
            <w:tcW w:w="1327" w:type="dxa"/>
          </w:tcPr>
          <w:p w14:paraId="7B688E8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14</w:t>
            </w:r>
          </w:p>
        </w:tc>
        <w:tc>
          <w:tcPr>
            <w:tcW w:w="1026" w:type="dxa"/>
          </w:tcPr>
          <w:p w14:paraId="7531E2C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6</w:t>
            </w:r>
          </w:p>
        </w:tc>
      </w:tr>
      <w:tr w:rsidR="007E5EDC" w14:paraId="6809BA0D" w14:textId="77777777" w:rsidTr="00D9294B">
        <w:trPr>
          <w:jc w:val="center"/>
        </w:trPr>
        <w:tc>
          <w:tcPr>
            <w:tcW w:w="1921" w:type="dxa"/>
          </w:tcPr>
          <w:p w14:paraId="72E348F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Han et al. (2026) [25]</w:t>
            </w:r>
          </w:p>
        </w:tc>
        <w:tc>
          <w:tcPr>
            <w:tcW w:w="1030" w:type="dxa"/>
          </w:tcPr>
          <w:p w14:paraId="147311C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China</w:t>
            </w:r>
          </w:p>
        </w:tc>
        <w:tc>
          <w:tcPr>
            <w:tcW w:w="2257" w:type="dxa"/>
          </w:tcPr>
          <w:p w14:paraId="1D7E0EC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Cross-sectional study</w:t>
            </w:r>
          </w:p>
        </w:tc>
        <w:tc>
          <w:tcPr>
            <w:tcW w:w="1624" w:type="dxa"/>
          </w:tcPr>
          <w:p w14:paraId="0809E26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Lu'nan</w:t>
            </w:r>
            <w:proofErr w:type="spellEnd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 District, Tangshan</w:t>
            </w:r>
          </w:p>
        </w:tc>
        <w:tc>
          <w:tcPr>
            <w:tcW w:w="1148" w:type="dxa"/>
          </w:tcPr>
          <w:p w14:paraId="7E404C4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Community-dwelling older adults with chronic diseases</w:t>
            </w:r>
          </w:p>
        </w:tc>
        <w:tc>
          <w:tcPr>
            <w:tcW w:w="1961" w:type="dxa"/>
          </w:tcPr>
          <w:p w14:paraId="03BB5A7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HALFT</w:t>
            </w:r>
          </w:p>
        </w:tc>
        <w:tc>
          <w:tcPr>
            <w:tcW w:w="1584" w:type="dxa"/>
          </w:tcPr>
          <w:p w14:paraId="45899DA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eHEALS</w:t>
            </w:r>
            <w:proofErr w:type="spellEnd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; satisfaction with community public services; SSRS; APGAR; SPPB; Mini-Cog; MNA-SF; GDS-15</w:t>
            </w:r>
          </w:p>
        </w:tc>
        <w:tc>
          <w:tcPr>
            <w:tcW w:w="1227" w:type="dxa"/>
          </w:tcPr>
          <w:p w14:paraId="4B72127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186/785 (23.69%)</w:t>
            </w:r>
          </w:p>
        </w:tc>
        <w:tc>
          <w:tcPr>
            <w:tcW w:w="1327" w:type="dxa"/>
          </w:tcPr>
          <w:p w14:paraId="723C4B2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16</w:t>
            </w:r>
          </w:p>
        </w:tc>
        <w:tc>
          <w:tcPr>
            <w:tcW w:w="1026" w:type="dxa"/>
          </w:tcPr>
          <w:p w14:paraId="0E1C202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</w:t>
            </w:r>
          </w:p>
        </w:tc>
      </w:tr>
      <w:tr w:rsidR="007E5EDC" w14:paraId="566DF31C" w14:textId="77777777" w:rsidTr="00D9294B">
        <w:trPr>
          <w:jc w:val="center"/>
        </w:trPr>
        <w:tc>
          <w:tcPr>
            <w:tcW w:w="1921" w:type="dxa"/>
          </w:tcPr>
          <w:p w14:paraId="58336EA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Xian (2023) [26]</w:t>
            </w:r>
          </w:p>
        </w:tc>
        <w:tc>
          <w:tcPr>
            <w:tcW w:w="1030" w:type="dxa"/>
          </w:tcPr>
          <w:p w14:paraId="4829902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China</w:t>
            </w:r>
          </w:p>
        </w:tc>
        <w:tc>
          <w:tcPr>
            <w:tcW w:w="2257" w:type="dxa"/>
          </w:tcPr>
          <w:p w14:paraId="7D8D0A6D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Prospective cohort study</w:t>
            </w:r>
          </w:p>
        </w:tc>
        <w:tc>
          <w:tcPr>
            <w:tcW w:w="1624" w:type="dxa"/>
          </w:tcPr>
          <w:p w14:paraId="26D5F00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Eight nursing homes in Chengdu</w:t>
            </w:r>
          </w:p>
        </w:tc>
        <w:tc>
          <w:tcPr>
            <w:tcW w:w="1148" w:type="dxa"/>
          </w:tcPr>
          <w:p w14:paraId="786552A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Older adults</w:t>
            </w:r>
          </w:p>
        </w:tc>
        <w:tc>
          <w:tcPr>
            <w:tcW w:w="1961" w:type="dxa"/>
          </w:tcPr>
          <w:p w14:paraId="6221511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HALFT</w:t>
            </w:r>
          </w:p>
        </w:tc>
        <w:tc>
          <w:tcPr>
            <w:tcW w:w="1584" w:type="dxa"/>
          </w:tcPr>
          <w:p w14:paraId="33300F8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FCI; GDS-5; PSQI; MNA-SF; APGAR; PMS; ADL</w:t>
            </w:r>
          </w:p>
        </w:tc>
        <w:tc>
          <w:tcPr>
            <w:tcW w:w="1227" w:type="dxa"/>
          </w:tcPr>
          <w:p w14:paraId="55D1A9A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213/582 (36.6%)</w:t>
            </w:r>
          </w:p>
        </w:tc>
        <w:tc>
          <w:tcPr>
            <w:tcW w:w="1327" w:type="dxa"/>
          </w:tcPr>
          <w:p w14:paraId="676566A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16</w:t>
            </w:r>
          </w:p>
        </w:tc>
        <w:tc>
          <w:tcPr>
            <w:tcW w:w="1026" w:type="dxa"/>
          </w:tcPr>
          <w:p w14:paraId="38209E8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</w:t>
            </w:r>
          </w:p>
        </w:tc>
      </w:tr>
      <w:tr w:rsidR="007E5EDC" w14:paraId="7C5F807D" w14:textId="77777777" w:rsidTr="00D9294B">
        <w:trPr>
          <w:jc w:val="center"/>
        </w:trPr>
        <w:tc>
          <w:tcPr>
            <w:tcW w:w="1921" w:type="dxa"/>
          </w:tcPr>
          <w:p w14:paraId="53146C1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Fan et al. (2026a) [27]</w:t>
            </w:r>
          </w:p>
        </w:tc>
        <w:tc>
          <w:tcPr>
            <w:tcW w:w="1030" w:type="dxa"/>
          </w:tcPr>
          <w:p w14:paraId="5184607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China</w:t>
            </w:r>
          </w:p>
        </w:tc>
        <w:tc>
          <w:tcPr>
            <w:tcW w:w="2257" w:type="dxa"/>
          </w:tcPr>
          <w:p w14:paraId="5E74829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Cross-sectional study</w:t>
            </w:r>
          </w:p>
        </w:tc>
        <w:tc>
          <w:tcPr>
            <w:tcW w:w="1624" w:type="dxa"/>
          </w:tcPr>
          <w:p w14:paraId="36C3269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A tertiary grade-A hospital in Chengde</w:t>
            </w:r>
          </w:p>
        </w:tc>
        <w:tc>
          <w:tcPr>
            <w:tcW w:w="1148" w:type="dxa"/>
          </w:tcPr>
          <w:p w14:paraId="77AC1DC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Patients receiving maintenance </w:t>
            </w: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haemodialysis</w:t>
            </w:r>
            <w:proofErr w:type="spellEnd"/>
          </w:p>
        </w:tc>
        <w:tc>
          <w:tcPr>
            <w:tcW w:w="1961" w:type="dxa"/>
          </w:tcPr>
          <w:p w14:paraId="20FE907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HALFT</w:t>
            </w:r>
          </w:p>
        </w:tc>
        <w:tc>
          <w:tcPr>
            <w:tcW w:w="1584" w:type="dxa"/>
          </w:tcPr>
          <w:p w14:paraId="60F8075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GDS-5; DSI; B-APQ; APGAR; IPAQ-SF</w:t>
            </w:r>
          </w:p>
        </w:tc>
        <w:tc>
          <w:tcPr>
            <w:tcW w:w="1227" w:type="dxa"/>
          </w:tcPr>
          <w:p w14:paraId="263F12C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152/451 (33.7%)</w:t>
            </w:r>
          </w:p>
        </w:tc>
        <w:tc>
          <w:tcPr>
            <w:tcW w:w="1327" w:type="dxa"/>
          </w:tcPr>
          <w:p w14:paraId="5CBFA17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21</w:t>
            </w:r>
          </w:p>
        </w:tc>
        <w:tc>
          <w:tcPr>
            <w:tcW w:w="1026" w:type="dxa"/>
          </w:tcPr>
          <w:p w14:paraId="3EA2889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</w:t>
            </w:r>
          </w:p>
        </w:tc>
      </w:tr>
      <w:tr w:rsidR="007E5EDC" w14:paraId="30B8090B" w14:textId="77777777" w:rsidTr="00D9294B">
        <w:trPr>
          <w:jc w:val="center"/>
        </w:trPr>
        <w:tc>
          <w:tcPr>
            <w:tcW w:w="1921" w:type="dxa"/>
          </w:tcPr>
          <w:p w14:paraId="76D147F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Feng et al. (2026) [28]</w:t>
            </w:r>
          </w:p>
        </w:tc>
        <w:tc>
          <w:tcPr>
            <w:tcW w:w="1030" w:type="dxa"/>
          </w:tcPr>
          <w:p w14:paraId="55C3125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China</w:t>
            </w:r>
          </w:p>
        </w:tc>
        <w:tc>
          <w:tcPr>
            <w:tcW w:w="2257" w:type="dxa"/>
          </w:tcPr>
          <w:p w14:paraId="37A4842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Cross-sectional study</w:t>
            </w:r>
          </w:p>
        </w:tc>
        <w:tc>
          <w:tcPr>
            <w:tcW w:w="1624" w:type="dxa"/>
          </w:tcPr>
          <w:p w14:paraId="3D6F9EF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Zhejiang Provincial </w:t>
            </w: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Tongde</w:t>
            </w:r>
            <w:proofErr w:type="spellEnd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 Hospital and Zhejiang Cancer Hospital</w:t>
            </w:r>
          </w:p>
        </w:tc>
        <w:tc>
          <w:tcPr>
            <w:tcW w:w="1148" w:type="dxa"/>
          </w:tcPr>
          <w:p w14:paraId="7E335EA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Older patients with gastric cancer</w:t>
            </w:r>
          </w:p>
        </w:tc>
        <w:tc>
          <w:tcPr>
            <w:tcW w:w="1961" w:type="dxa"/>
          </w:tcPr>
          <w:p w14:paraId="13C2E11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SFI</w:t>
            </w:r>
          </w:p>
        </w:tc>
        <w:tc>
          <w:tcPr>
            <w:tcW w:w="1584" w:type="dxa"/>
          </w:tcPr>
          <w:p w14:paraId="36431B6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ECOG PS; HADS; PSQI; FRAIL</w:t>
            </w:r>
          </w:p>
        </w:tc>
        <w:tc>
          <w:tcPr>
            <w:tcW w:w="1227" w:type="dxa"/>
          </w:tcPr>
          <w:p w14:paraId="47803B8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208/391 (53.20%)</w:t>
            </w:r>
          </w:p>
        </w:tc>
        <w:tc>
          <w:tcPr>
            <w:tcW w:w="1327" w:type="dxa"/>
          </w:tcPr>
          <w:p w14:paraId="1D7796F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19</w:t>
            </w:r>
          </w:p>
        </w:tc>
        <w:tc>
          <w:tcPr>
            <w:tcW w:w="1026" w:type="dxa"/>
          </w:tcPr>
          <w:p w14:paraId="0FE71FB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</w:t>
            </w:r>
          </w:p>
        </w:tc>
      </w:tr>
      <w:tr w:rsidR="007E5EDC" w14:paraId="5CAD9222" w14:textId="77777777" w:rsidTr="00D9294B">
        <w:trPr>
          <w:jc w:val="center"/>
        </w:trPr>
        <w:tc>
          <w:tcPr>
            <w:tcW w:w="1921" w:type="dxa"/>
          </w:tcPr>
          <w:p w14:paraId="1F3FBDD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Fan et al. (2026b) [29]</w:t>
            </w:r>
          </w:p>
        </w:tc>
        <w:tc>
          <w:tcPr>
            <w:tcW w:w="1030" w:type="dxa"/>
          </w:tcPr>
          <w:p w14:paraId="6B63C37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China</w:t>
            </w:r>
          </w:p>
        </w:tc>
        <w:tc>
          <w:tcPr>
            <w:tcW w:w="2257" w:type="dxa"/>
          </w:tcPr>
          <w:p w14:paraId="6D4D9F1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Cross-sectional study</w:t>
            </w:r>
          </w:p>
        </w:tc>
        <w:tc>
          <w:tcPr>
            <w:tcW w:w="1624" w:type="dxa"/>
          </w:tcPr>
          <w:p w14:paraId="55DC20E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Haemodialysis</w:t>
            </w:r>
            <w:proofErr w:type="spellEnd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 units of three tertiary </w:t>
            </w: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grade-A hospitals in Chengde</w:t>
            </w:r>
          </w:p>
        </w:tc>
        <w:tc>
          <w:tcPr>
            <w:tcW w:w="1148" w:type="dxa"/>
          </w:tcPr>
          <w:p w14:paraId="78E7DE2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 xml:space="preserve">Older patients receiving </w:t>
            </w: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 xml:space="preserve">maintenance </w:t>
            </w: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haemodialysis</w:t>
            </w:r>
            <w:proofErr w:type="spellEnd"/>
          </w:p>
        </w:tc>
        <w:tc>
          <w:tcPr>
            <w:tcW w:w="1961" w:type="dxa"/>
          </w:tcPr>
          <w:p w14:paraId="7242E8B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HALFT</w:t>
            </w:r>
          </w:p>
        </w:tc>
        <w:tc>
          <w:tcPr>
            <w:tcW w:w="1584" w:type="dxa"/>
          </w:tcPr>
          <w:p w14:paraId="0BE5BCD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GDS-5; DSI; B-APQ; </w:t>
            </w: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APGAR; IPAQ-SF</w:t>
            </w:r>
          </w:p>
        </w:tc>
        <w:tc>
          <w:tcPr>
            <w:tcW w:w="1227" w:type="dxa"/>
          </w:tcPr>
          <w:p w14:paraId="07899B2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199/581 (34.25%)</w:t>
            </w:r>
          </w:p>
        </w:tc>
        <w:tc>
          <w:tcPr>
            <w:tcW w:w="1327" w:type="dxa"/>
          </w:tcPr>
          <w:p w14:paraId="45112ED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21</w:t>
            </w:r>
          </w:p>
        </w:tc>
        <w:tc>
          <w:tcPr>
            <w:tcW w:w="1026" w:type="dxa"/>
          </w:tcPr>
          <w:p w14:paraId="3F3E862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3</w:t>
            </w:r>
          </w:p>
        </w:tc>
      </w:tr>
    </w:tbl>
    <w:p w14:paraId="09CC07E2" w14:textId="77777777" w:rsidR="007E5EDC" w:rsidRDefault="007E5EDC" w:rsidP="007E5EDC">
      <w:pPr>
        <w:suppressLineNumbers/>
        <w:rPr>
          <w:rFonts w:ascii="Times New Roman Regular" w:hAnsi="Times New Roman Regular" w:cs="Times New Roman Regular"/>
          <w:bCs/>
          <w:szCs w:val="24"/>
        </w:rPr>
      </w:pPr>
      <w:r>
        <w:rPr>
          <w:rFonts w:ascii="Times New Roman Regular" w:hAnsi="Times New Roman Regular" w:cs="Times New Roman Regular"/>
          <w:bCs/>
          <w:szCs w:val="24"/>
        </w:rPr>
        <w:t xml:space="preserve">Note: SFI, Social Frailty Index; SAS, Self-Rating Anxiety Scale; GDS-5/GDS-15, five-/fifteen-item Geriatric Depression Scale; FRAIL, FRAIL scale; SSRS, Social Support Rating Scale; HALFT, Help, Participation, Loneliness, Financial, and Talk scale; DDS, Diabetes Distress Scale; PSQI, Pittsburgh Sleep Quality Index; </w:t>
      </w:r>
      <w:proofErr w:type="spellStart"/>
      <w:r>
        <w:rPr>
          <w:rFonts w:ascii="Times New Roman Regular" w:hAnsi="Times New Roman Regular" w:cs="Times New Roman Regular"/>
          <w:bCs/>
          <w:szCs w:val="24"/>
        </w:rPr>
        <w:t>eHEALS</w:t>
      </w:r>
      <w:proofErr w:type="spellEnd"/>
      <w:r>
        <w:rPr>
          <w:rFonts w:ascii="Times New Roman Regular" w:hAnsi="Times New Roman Regular" w:cs="Times New Roman Regular"/>
          <w:bCs/>
          <w:szCs w:val="24"/>
        </w:rPr>
        <w:t>, eHealth Literacy Scale; MNA-SF, Mini Nutritional Assessment–Short Form; Barthel, Barthel Index; HD-SMI, Hemodialysis Self-Management Instrument; TAS-20, twenty-item Toronto Alexithymia Scale; APGAR, Family Adaptation, Partnership, Growth, Affection, and Resolve Index; HLS-EU-Q16, sixteen-item short form of the European Health Literacy Survey; SPPB, Short Physical Performance Battery; FCI, Functional Comorbidity Index; PMS, Personal Mastery Scale; ADL, activities of daily living; DSI, Dialysis Symptom Index; B-APQ, Brief Ageing Perceptions Questionnaire; IPAQ-SF, International Physical Activity Questionnaire–Short Form; ECOG PS, Eastern Cooperative Oncology Group performance status; HADS, Hospital Anxiety and Depression Scale; FFQ, food frequency questionnaire; LSNS-6, six-item Lubben Social Network Scale.</w:t>
      </w:r>
    </w:p>
    <w:p w14:paraId="7357214C" w14:textId="77777777" w:rsidR="007E5EDC" w:rsidRDefault="007E5EDC" w:rsidP="007E5EDC">
      <w:pPr>
        <w:suppressLineNumbers/>
        <w:rPr>
          <w:rFonts w:ascii="Times New Roman Regular" w:hAnsi="Times New Roman Regular" w:cs="Times New Roman Regular"/>
          <w:bCs/>
          <w:szCs w:val="24"/>
        </w:rPr>
      </w:pPr>
    </w:p>
    <w:p w14:paraId="70A5434A" w14:textId="77777777" w:rsidR="007E5EDC" w:rsidRDefault="007E5EDC" w:rsidP="007E5EDC">
      <w:pPr>
        <w:suppressLineNumbers/>
        <w:rPr>
          <w:rFonts w:ascii="Times New Roman Bold" w:hAnsi="Times New Roman Bold" w:cs="Times New Roman Bold"/>
          <w:b/>
          <w:sz w:val="28"/>
          <w:szCs w:val="28"/>
        </w:rPr>
      </w:pPr>
      <w:r>
        <w:rPr>
          <w:rFonts w:ascii="Times New Roman Bold" w:hAnsi="Times New Roman Bold" w:cs="Times New Roman Bold"/>
          <w:b/>
          <w:sz w:val="28"/>
          <w:szCs w:val="28"/>
        </w:rPr>
        <w:t>Table 2 Development characteristics of the social frailty prediction models</w:t>
      </w:r>
    </w:p>
    <w:tbl>
      <w:tblPr>
        <w:tblStyle w:val="TableGrid"/>
        <w:tblW w:w="14821" w:type="dxa"/>
        <w:jc w:val="center"/>
        <w:tblLayout w:type="fixed"/>
        <w:tblLook w:val="04A0" w:firstRow="1" w:lastRow="0" w:firstColumn="1" w:lastColumn="0" w:noHBand="0" w:noVBand="1"/>
      </w:tblPr>
      <w:tblGrid>
        <w:gridCol w:w="2373"/>
        <w:gridCol w:w="2396"/>
        <w:gridCol w:w="1920"/>
        <w:gridCol w:w="1882"/>
        <w:gridCol w:w="1445"/>
        <w:gridCol w:w="1367"/>
        <w:gridCol w:w="1901"/>
        <w:gridCol w:w="1537"/>
      </w:tblGrid>
      <w:tr w:rsidR="007E5EDC" w14:paraId="286DF9A6" w14:textId="77777777" w:rsidTr="00D9294B">
        <w:trPr>
          <w:jc w:val="center"/>
        </w:trPr>
        <w:tc>
          <w:tcPr>
            <w:tcW w:w="2373" w:type="dxa"/>
          </w:tcPr>
          <w:p w14:paraId="0F13504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Author (year)</w:t>
            </w:r>
          </w:p>
        </w:tc>
        <w:tc>
          <w:tcPr>
            <w:tcW w:w="2396" w:type="dxa"/>
          </w:tcPr>
          <w:p w14:paraId="72FB073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Missing data handling</w:t>
            </w:r>
          </w:p>
        </w:tc>
        <w:tc>
          <w:tcPr>
            <w:tcW w:w="1920" w:type="dxa"/>
          </w:tcPr>
          <w:p w14:paraId="2350798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Continuous variable handling</w:t>
            </w:r>
          </w:p>
        </w:tc>
        <w:tc>
          <w:tcPr>
            <w:tcW w:w="1882" w:type="dxa"/>
          </w:tcPr>
          <w:p w14:paraId="61534B3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Predictor selection method</w:t>
            </w:r>
          </w:p>
        </w:tc>
        <w:tc>
          <w:tcPr>
            <w:tcW w:w="1445" w:type="dxa"/>
          </w:tcPr>
          <w:p w14:paraId="5379840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Modelling method</w:t>
            </w:r>
          </w:p>
        </w:tc>
        <w:tc>
          <w:tcPr>
            <w:tcW w:w="1367" w:type="dxa"/>
          </w:tcPr>
          <w:p w14:paraId="77C9D9F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Collinearity diagnostics</w:t>
            </w:r>
          </w:p>
        </w:tc>
        <w:tc>
          <w:tcPr>
            <w:tcW w:w="1901" w:type="dxa"/>
          </w:tcPr>
          <w:p w14:paraId="15BC2DD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Sample size estimation</w:t>
            </w:r>
          </w:p>
        </w:tc>
        <w:tc>
          <w:tcPr>
            <w:tcW w:w="1537" w:type="dxa"/>
          </w:tcPr>
          <w:p w14:paraId="6F36E7F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Model presentation</w:t>
            </w:r>
          </w:p>
        </w:tc>
      </w:tr>
      <w:tr w:rsidR="007E5EDC" w14:paraId="18AFEAF5" w14:textId="77777777" w:rsidTr="00D9294B">
        <w:trPr>
          <w:jc w:val="center"/>
        </w:trPr>
        <w:tc>
          <w:tcPr>
            <w:tcW w:w="2373" w:type="dxa"/>
          </w:tcPr>
          <w:p w14:paraId="1E0F262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Zhang (2025) [21]</w:t>
            </w:r>
          </w:p>
        </w:tc>
        <w:tc>
          <w:tcPr>
            <w:tcW w:w="2396" w:type="dxa"/>
          </w:tcPr>
          <w:p w14:paraId="46377FA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Invalid questionnaires excluded</w:t>
            </w:r>
          </w:p>
        </w:tc>
        <w:tc>
          <w:tcPr>
            <w:tcW w:w="1920" w:type="dxa"/>
          </w:tcPr>
          <w:p w14:paraId="5A283F0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Entered as original values</w:t>
            </w:r>
          </w:p>
        </w:tc>
        <w:tc>
          <w:tcPr>
            <w:tcW w:w="1882" w:type="dxa"/>
          </w:tcPr>
          <w:p w14:paraId="550776FD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Backward stepwise logistic regression</w:t>
            </w:r>
          </w:p>
        </w:tc>
        <w:tc>
          <w:tcPr>
            <w:tcW w:w="1445" w:type="dxa"/>
          </w:tcPr>
          <w:p w14:paraId="1A6CBAA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Logistic regression</w:t>
            </w:r>
          </w:p>
        </w:tc>
        <w:tc>
          <w:tcPr>
            <w:tcW w:w="1367" w:type="dxa"/>
          </w:tcPr>
          <w:p w14:paraId="5840697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VIF</w:t>
            </w:r>
          </w:p>
        </w:tc>
        <w:tc>
          <w:tcPr>
            <w:tcW w:w="1901" w:type="dxa"/>
          </w:tcPr>
          <w:p w14:paraId="3A1BA05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10-EPV method; EPV≈7.0 (169/24)</w:t>
            </w:r>
          </w:p>
        </w:tc>
        <w:tc>
          <w:tcPr>
            <w:tcW w:w="1537" w:type="dxa"/>
          </w:tcPr>
          <w:p w14:paraId="50E267A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Nomogram + full equation</w:t>
            </w:r>
          </w:p>
        </w:tc>
      </w:tr>
      <w:tr w:rsidR="007E5EDC" w14:paraId="2A3C24F3" w14:textId="77777777" w:rsidTr="00D9294B">
        <w:trPr>
          <w:jc w:val="center"/>
        </w:trPr>
        <w:tc>
          <w:tcPr>
            <w:tcW w:w="2373" w:type="dxa"/>
          </w:tcPr>
          <w:p w14:paraId="2FD578B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Zhou et al. (2026) [22]</w:t>
            </w:r>
          </w:p>
        </w:tc>
        <w:tc>
          <w:tcPr>
            <w:tcW w:w="2396" w:type="dxa"/>
          </w:tcPr>
          <w:p w14:paraId="2B84074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  <w:tc>
          <w:tcPr>
            <w:tcW w:w="1920" w:type="dxa"/>
          </w:tcPr>
          <w:p w14:paraId="0317F4A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Entered as original values</w:t>
            </w:r>
          </w:p>
        </w:tc>
        <w:tc>
          <w:tcPr>
            <w:tcW w:w="1882" w:type="dxa"/>
          </w:tcPr>
          <w:p w14:paraId="4910830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Univariable analysis + LASSO regression</w:t>
            </w:r>
          </w:p>
        </w:tc>
        <w:tc>
          <w:tcPr>
            <w:tcW w:w="1445" w:type="dxa"/>
          </w:tcPr>
          <w:p w14:paraId="19807D4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Logistic </w:t>
            </w:r>
            <w:proofErr w:type="spellStart"/>
            <w:proofErr w:type="gram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regression,XGBoost</w:t>
            </w:r>
            <w:proofErr w:type="spellEnd"/>
            <w:proofErr w:type="gramEnd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, random forest (five-fold cross-validation for tuning)</w:t>
            </w:r>
          </w:p>
        </w:tc>
        <w:tc>
          <w:tcPr>
            <w:tcW w:w="1367" w:type="dxa"/>
          </w:tcPr>
          <w:p w14:paraId="715267A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  <w:tc>
          <w:tcPr>
            <w:tcW w:w="1901" w:type="dxa"/>
          </w:tcPr>
          <w:p w14:paraId="015E61B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10-EPV method; EPV≈9.9(169/17)</w:t>
            </w:r>
          </w:p>
        </w:tc>
        <w:tc>
          <w:tcPr>
            <w:tcW w:w="1537" w:type="dxa"/>
          </w:tcPr>
          <w:p w14:paraId="1CD81F7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Variable-importance plot (random forest)</w:t>
            </w:r>
          </w:p>
        </w:tc>
      </w:tr>
      <w:tr w:rsidR="007E5EDC" w14:paraId="5588F828" w14:textId="77777777" w:rsidTr="00D9294B">
        <w:trPr>
          <w:jc w:val="center"/>
        </w:trPr>
        <w:tc>
          <w:tcPr>
            <w:tcW w:w="2373" w:type="dxa"/>
          </w:tcPr>
          <w:p w14:paraId="606241E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Wang et al. (2025) [23]</w:t>
            </w:r>
          </w:p>
        </w:tc>
        <w:tc>
          <w:tcPr>
            <w:tcW w:w="2396" w:type="dxa"/>
          </w:tcPr>
          <w:p w14:paraId="3486FEE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  <w:tc>
          <w:tcPr>
            <w:tcW w:w="1920" w:type="dxa"/>
          </w:tcPr>
          <w:p w14:paraId="39EE3DC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Entered as original values</w:t>
            </w:r>
          </w:p>
        </w:tc>
        <w:tc>
          <w:tcPr>
            <w:tcW w:w="1882" w:type="dxa"/>
          </w:tcPr>
          <w:p w14:paraId="03C6102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Univariable analysis</w:t>
            </w:r>
          </w:p>
        </w:tc>
        <w:tc>
          <w:tcPr>
            <w:tcW w:w="1445" w:type="dxa"/>
          </w:tcPr>
          <w:p w14:paraId="6065AB5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Logistic regression</w:t>
            </w:r>
          </w:p>
        </w:tc>
        <w:tc>
          <w:tcPr>
            <w:tcW w:w="1367" w:type="dxa"/>
          </w:tcPr>
          <w:p w14:paraId="376AEAE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VIF&lt;5</w:t>
            </w:r>
          </w:p>
        </w:tc>
        <w:tc>
          <w:tcPr>
            <w:tcW w:w="1901" w:type="dxa"/>
          </w:tcPr>
          <w:p w14:paraId="1BC309B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10-EPV method; EPV≈4.7 (98/21)</w:t>
            </w:r>
          </w:p>
        </w:tc>
        <w:tc>
          <w:tcPr>
            <w:tcW w:w="1537" w:type="dxa"/>
          </w:tcPr>
          <w:p w14:paraId="2457C0B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Nomogram</w:t>
            </w:r>
          </w:p>
        </w:tc>
      </w:tr>
      <w:tr w:rsidR="007E5EDC" w14:paraId="6C296136" w14:textId="77777777" w:rsidTr="00D9294B">
        <w:trPr>
          <w:jc w:val="center"/>
        </w:trPr>
        <w:tc>
          <w:tcPr>
            <w:tcW w:w="2373" w:type="dxa"/>
          </w:tcPr>
          <w:p w14:paraId="02A501E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Kuo et al. (2019) [24]</w:t>
            </w:r>
          </w:p>
        </w:tc>
        <w:tc>
          <w:tcPr>
            <w:tcW w:w="2396" w:type="dxa"/>
          </w:tcPr>
          <w:p w14:paraId="0F46DFED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  <w:tc>
          <w:tcPr>
            <w:tcW w:w="1920" w:type="dxa"/>
          </w:tcPr>
          <w:p w14:paraId="2D0934E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Entered as original values</w:t>
            </w:r>
          </w:p>
        </w:tc>
        <w:tc>
          <w:tcPr>
            <w:tcW w:w="1882" w:type="dxa"/>
          </w:tcPr>
          <w:p w14:paraId="553E8BE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14 predictors prespecified by literature review and expert consensus</w:t>
            </w:r>
          </w:p>
        </w:tc>
        <w:tc>
          <w:tcPr>
            <w:tcW w:w="1445" w:type="dxa"/>
          </w:tcPr>
          <w:p w14:paraId="5B8A19E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Six machine learning algorithms (C5.0, Bagged CART, random forest, </w:t>
            </w: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XGBoost</w:t>
            </w:r>
            <w:proofErr w:type="spellEnd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, SGB, model-averaged neural network)</w:t>
            </w:r>
          </w:p>
        </w:tc>
        <w:tc>
          <w:tcPr>
            <w:tcW w:w="1367" w:type="dxa"/>
          </w:tcPr>
          <w:p w14:paraId="5C10657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  <w:tc>
          <w:tcPr>
            <w:tcW w:w="1901" w:type="dxa"/>
          </w:tcPr>
          <w:p w14:paraId="7C1283E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—; EPV≈29 (405/14)</w:t>
            </w:r>
          </w:p>
        </w:tc>
        <w:tc>
          <w:tcPr>
            <w:tcW w:w="1537" w:type="dxa"/>
          </w:tcPr>
          <w:p w14:paraId="6D5B8C7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Web-based interactive interface</w:t>
            </w:r>
          </w:p>
        </w:tc>
      </w:tr>
      <w:tr w:rsidR="007E5EDC" w14:paraId="110845E9" w14:textId="77777777" w:rsidTr="00D9294B">
        <w:trPr>
          <w:jc w:val="center"/>
        </w:trPr>
        <w:tc>
          <w:tcPr>
            <w:tcW w:w="2373" w:type="dxa"/>
          </w:tcPr>
          <w:p w14:paraId="0A8351AD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Han et al. (2026) [25]</w:t>
            </w:r>
          </w:p>
        </w:tc>
        <w:tc>
          <w:tcPr>
            <w:tcW w:w="2396" w:type="dxa"/>
          </w:tcPr>
          <w:p w14:paraId="6AE1137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  <w:tc>
          <w:tcPr>
            <w:tcW w:w="1920" w:type="dxa"/>
          </w:tcPr>
          <w:p w14:paraId="57B4B03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Some variables </w:t>
            </w: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categorised</w:t>
            </w:r>
            <w:proofErr w:type="spellEnd"/>
          </w:p>
        </w:tc>
        <w:tc>
          <w:tcPr>
            <w:tcW w:w="1882" w:type="dxa"/>
          </w:tcPr>
          <w:p w14:paraId="49D9351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Univariable comparison + </w:t>
            </w: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LASSO regression (ten-fold cross-validation)</w:t>
            </w:r>
          </w:p>
        </w:tc>
        <w:tc>
          <w:tcPr>
            <w:tcW w:w="1445" w:type="dxa"/>
          </w:tcPr>
          <w:p w14:paraId="2CD606D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 xml:space="preserve">Logistic regression </w:t>
            </w: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(base model + model additionally including intrinsic capacity)</w:t>
            </w:r>
          </w:p>
        </w:tc>
        <w:tc>
          <w:tcPr>
            <w:tcW w:w="1367" w:type="dxa"/>
          </w:tcPr>
          <w:p w14:paraId="29D190B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—</w:t>
            </w:r>
          </w:p>
        </w:tc>
        <w:tc>
          <w:tcPr>
            <w:tcW w:w="1901" w:type="dxa"/>
          </w:tcPr>
          <w:p w14:paraId="67A9AD2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Formula method (≥343 </w:t>
            </w: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participants); EPV≈11.6</w:t>
            </w:r>
          </w:p>
        </w:tc>
        <w:tc>
          <w:tcPr>
            <w:tcW w:w="1537" w:type="dxa"/>
          </w:tcPr>
          <w:p w14:paraId="7365520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Nomogram</w:t>
            </w:r>
          </w:p>
        </w:tc>
      </w:tr>
      <w:tr w:rsidR="007E5EDC" w14:paraId="5A082437" w14:textId="77777777" w:rsidTr="00D9294B">
        <w:trPr>
          <w:jc w:val="center"/>
        </w:trPr>
        <w:tc>
          <w:tcPr>
            <w:tcW w:w="2373" w:type="dxa"/>
          </w:tcPr>
          <w:p w14:paraId="056EC93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Xian (2023) [26]</w:t>
            </w:r>
          </w:p>
        </w:tc>
        <w:tc>
          <w:tcPr>
            <w:tcW w:w="2396" w:type="dxa"/>
          </w:tcPr>
          <w:p w14:paraId="06295CE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Multiple imputation for missing follow-up data (including the outcome)</w:t>
            </w:r>
          </w:p>
        </w:tc>
        <w:tc>
          <w:tcPr>
            <w:tcW w:w="1920" w:type="dxa"/>
          </w:tcPr>
          <w:p w14:paraId="7BDEE12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Entered as original values</w:t>
            </w:r>
          </w:p>
        </w:tc>
        <w:tc>
          <w:tcPr>
            <w:tcW w:w="1882" w:type="dxa"/>
          </w:tcPr>
          <w:p w14:paraId="3070E5C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LASSO regression</w:t>
            </w:r>
          </w:p>
        </w:tc>
        <w:tc>
          <w:tcPr>
            <w:tcW w:w="1445" w:type="dxa"/>
          </w:tcPr>
          <w:p w14:paraId="762B846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Logistic regression</w:t>
            </w:r>
          </w:p>
        </w:tc>
        <w:tc>
          <w:tcPr>
            <w:tcW w:w="1367" w:type="dxa"/>
          </w:tcPr>
          <w:p w14:paraId="7E83CC2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VIF 1.188–1.892</w:t>
            </w:r>
          </w:p>
        </w:tc>
        <w:tc>
          <w:tcPr>
            <w:tcW w:w="1901" w:type="dxa"/>
          </w:tcPr>
          <w:p w14:paraId="213B882D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Reported; EPV≈13.3</w:t>
            </w:r>
          </w:p>
        </w:tc>
        <w:tc>
          <w:tcPr>
            <w:tcW w:w="1537" w:type="dxa"/>
          </w:tcPr>
          <w:p w14:paraId="03E3ED0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Nomogram + web calculator + full equation</w:t>
            </w:r>
          </w:p>
        </w:tc>
      </w:tr>
      <w:tr w:rsidR="007E5EDC" w14:paraId="1A7BECF4" w14:textId="77777777" w:rsidTr="00D9294B">
        <w:trPr>
          <w:jc w:val="center"/>
        </w:trPr>
        <w:tc>
          <w:tcPr>
            <w:tcW w:w="2373" w:type="dxa"/>
          </w:tcPr>
          <w:p w14:paraId="05623E8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Fan et al. (2026a) [27]</w:t>
            </w:r>
          </w:p>
        </w:tc>
        <w:tc>
          <w:tcPr>
            <w:tcW w:w="2396" w:type="dxa"/>
          </w:tcPr>
          <w:p w14:paraId="250688A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Incomplete questionnaires excluded</w:t>
            </w:r>
          </w:p>
        </w:tc>
        <w:tc>
          <w:tcPr>
            <w:tcW w:w="1920" w:type="dxa"/>
          </w:tcPr>
          <w:p w14:paraId="06B4676D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Entered as original values</w:t>
            </w:r>
          </w:p>
        </w:tc>
        <w:tc>
          <w:tcPr>
            <w:tcW w:w="1882" w:type="dxa"/>
          </w:tcPr>
          <w:p w14:paraId="51F0796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Univariable analysis + multivariable stepwise selection</w:t>
            </w:r>
          </w:p>
        </w:tc>
        <w:tc>
          <w:tcPr>
            <w:tcW w:w="1445" w:type="dxa"/>
          </w:tcPr>
          <w:p w14:paraId="116DE56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Logistic regression (base model + full model)</w:t>
            </w:r>
          </w:p>
        </w:tc>
        <w:tc>
          <w:tcPr>
            <w:tcW w:w="1367" w:type="dxa"/>
          </w:tcPr>
          <w:p w14:paraId="4006150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Tolerance 0.569–0.929</w:t>
            </w:r>
          </w:p>
        </w:tc>
        <w:tc>
          <w:tcPr>
            <w:tcW w:w="1901" w:type="dxa"/>
          </w:tcPr>
          <w:p w14:paraId="4461965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Formula method (350–467 participants); EPV≈7.2</w:t>
            </w:r>
          </w:p>
        </w:tc>
        <w:tc>
          <w:tcPr>
            <w:tcW w:w="1537" w:type="dxa"/>
          </w:tcPr>
          <w:p w14:paraId="6ED2726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Nomogram</w:t>
            </w:r>
          </w:p>
        </w:tc>
      </w:tr>
      <w:tr w:rsidR="007E5EDC" w14:paraId="59C6D7A3" w14:textId="77777777" w:rsidTr="00D9294B">
        <w:trPr>
          <w:jc w:val="center"/>
        </w:trPr>
        <w:tc>
          <w:tcPr>
            <w:tcW w:w="2373" w:type="dxa"/>
          </w:tcPr>
          <w:p w14:paraId="1F3E192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Feng et al. (2026) [28]</w:t>
            </w:r>
          </w:p>
        </w:tc>
        <w:tc>
          <w:tcPr>
            <w:tcW w:w="2396" w:type="dxa"/>
          </w:tcPr>
          <w:p w14:paraId="2C57656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Questionnaires checked and completed on site</w:t>
            </w:r>
          </w:p>
        </w:tc>
        <w:tc>
          <w:tcPr>
            <w:tcW w:w="1920" w:type="dxa"/>
          </w:tcPr>
          <w:p w14:paraId="2FD8F1E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Entered as original values</w:t>
            </w:r>
          </w:p>
        </w:tc>
        <w:tc>
          <w:tcPr>
            <w:tcW w:w="1882" w:type="dxa"/>
          </w:tcPr>
          <w:p w14:paraId="30C54FE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Univariable analysis + backward stepwise selection</w:t>
            </w:r>
          </w:p>
        </w:tc>
        <w:tc>
          <w:tcPr>
            <w:tcW w:w="1445" w:type="dxa"/>
          </w:tcPr>
          <w:p w14:paraId="1C97767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Logistic regression</w:t>
            </w:r>
          </w:p>
        </w:tc>
        <w:tc>
          <w:tcPr>
            <w:tcW w:w="1367" w:type="dxa"/>
          </w:tcPr>
          <w:p w14:paraId="79A7638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  <w:tc>
          <w:tcPr>
            <w:tcW w:w="1901" w:type="dxa"/>
          </w:tcPr>
          <w:p w14:paraId="25A21EC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Cross-sectional formula method; EPV≈11.6</w:t>
            </w:r>
          </w:p>
        </w:tc>
        <w:tc>
          <w:tcPr>
            <w:tcW w:w="1537" w:type="dxa"/>
          </w:tcPr>
          <w:p w14:paraId="57830E4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Nomogram</w:t>
            </w:r>
          </w:p>
        </w:tc>
      </w:tr>
      <w:tr w:rsidR="007E5EDC" w14:paraId="204B187E" w14:textId="77777777" w:rsidTr="00D9294B">
        <w:trPr>
          <w:jc w:val="center"/>
        </w:trPr>
        <w:tc>
          <w:tcPr>
            <w:tcW w:w="2373" w:type="dxa"/>
          </w:tcPr>
          <w:p w14:paraId="3C4B640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Fan et al. (2026b) [29]</w:t>
            </w:r>
          </w:p>
        </w:tc>
        <w:tc>
          <w:tcPr>
            <w:tcW w:w="2396" w:type="dxa"/>
          </w:tcPr>
          <w:p w14:paraId="3348416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  <w:tc>
          <w:tcPr>
            <w:tcW w:w="1920" w:type="dxa"/>
          </w:tcPr>
          <w:p w14:paraId="7601A10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Dialysis vintage </w:t>
            </w: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categorised</w:t>
            </w:r>
            <w:proofErr w:type="spellEnd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 after restricted cubic spline analysis; other variables entered as original values</w:t>
            </w:r>
          </w:p>
        </w:tc>
        <w:tc>
          <w:tcPr>
            <w:tcW w:w="1882" w:type="dxa"/>
          </w:tcPr>
          <w:p w14:paraId="378B3B2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21 candidates prespecified from literature and expert opinion + LASSO regression (ten-fold cross-validation)</w:t>
            </w:r>
          </w:p>
        </w:tc>
        <w:tc>
          <w:tcPr>
            <w:tcW w:w="1445" w:type="dxa"/>
          </w:tcPr>
          <w:p w14:paraId="7368DDD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Logistic regression, random forest, decision tree</w:t>
            </w:r>
          </w:p>
        </w:tc>
        <w:tc>
          <w:tcPr>
            <w:tcW w:w="1367" w:type="dxa"/>
          </w:tcPr>
          <w:p w14:paraId="19148F4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Tolerance 0.599–0.982; VIF 1.019–1.671</w:t>
            </w:r>
          </w:p>
        </w:tc>
        <w:tc>
          <w:tcPr>
            <w:tcW w:w="1901" w:type="dxa"/>
          </w:tcPr>
          <w:p w14:paraId="44C9538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pmsampsize</w:t>
            </w:r>
            <w:proofErr w:type="spellEnd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; EPV≈9.5</w:t>
            </w:r>
          </w:p>
        </w:tc>
        <w:tc>
          <w:tcPr>
            <w:tcW w:w="1537" w:type="dxa"/>
          </w:tcPr>
          <w:p w14:paraId="7A977AB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Web calculator</w:t>
            </w:r>
          </w:p>
        </w:tc>
      </w:tr>
    </w:tbl>
    <w:p w14:paraId="7BF7702A" w14:textId="77777777" w:rsidR="007E5EDC" w:rsidRDefault="007E5EDC" w:rsidP="007E5EDC">
      <w:pPr>
        <w:suppressLineNumbers/>
        <w:rPr>
          <w:rFonts w:ascii="Times New Roman Regular" w:hAnsi="Times New Roman Regular" w:cs="Times New Roman Regular"/>
          <w:bCs/>
          <w:szCs w:val="24"/>
        </w:rPr>
      </w:pPr>
      <w:r>
        <w:rPr>
          <w:rFonts w:ascii="Times New Roman Regular" w:hAnsi="Times New Roman Regular" w:cs="Times New Roman Regular"/>
          <w:bCs/>
          <w:szCs w:val="24"/>
        </w:rPr>
        <w:t xml:space="preserve">Note: EPV, events per variable, estimated using the number of candidate </w:t>
      </w:r>
      <w:proofErr w:type="gramStart"/>
      <w:r>
        <w:rPr>
          <w:rFonts w:ascii="Times New Roman Regular" w:hAnsi="Times New Roman Regular" w:cs="Times New Roman Regular"/>
          <w:bCs/>
          <w:szCs w:val="24"/>
        </w:rPr>
        <w:t>predictors; '—</w:t>
      </w:r>
      <w:proofErr w:type="gramEnd"/>
      <w:r>
        <w:rPr>
          <w:rFonts w:ascii="Times New Roman Regular" w:hAnsi="Times New Roman Regular" w:cs="Times New Roman Regular"/>
          <w:bCs/>
          <w:szCs w:val="24"/>
        </w:rPr>
        <w:t>' indicates not reported or not performed in the original study.</w:t>
      </w:r>
    </w:p>
    <w:p w14:paraId="5E96E5A8" w14:textId="77777777" w:rsidR="007E5EDC" w:rsidRDefault="007E5EDC" w:rsidP="007E5EDC">
      <w:pPr>
        <w:suppressLineNumbers/>
        <w:rPr>
          <w:rFonts w:ascii="Times New Roman Regular" w:hAnsi="Times New Roman Regular" w:cs="Times New Roman Regular"/>
          <w:bCs/>
          <w:szCs w:val="24"/>
        </w:rPr>
      </w:pPr>
    </w:p>
    <w:p w14:paraId="5DF5352C" w14:textId="77777777" w:rsidR="007E5EDC" w:rsidRDefault="007E5EDC" w:rsidP="007E5EDC">
      <w:pPr>
        <w:suppressLineNumbers/>
        <w:rPr>
          <w:rFonts w:ascii="Times New Roman Regular" w:hAnsi="Times New Roman Regular" w:cs="Times New Roman Regular"/>
          <w:bCs/>
          <w:sz w:val="28"/>
          <w:szCs w:val="28"/>
        </w:rPr>
      </w:pPr>
      <w:r>
        <w:rPr>
          <w:rFonts w:ascii="Times New Roman Regular" w:hAnsi="Times New Roman Regular" w:cs="Times New Roman Regular"/>
          <w:bCs/>
          <w:sz w:val="28"/>
          <w:szCs w:val="28"/>
        </w:rPr>
        <w:t>Table 3 Validation characteristics of the social frailty prediction models</w:t>
      </w:r>
    </w:p>
    <w:tbl>
      <w:tblPr>
        <w:tblStyle w:val="TableGrid"/>
        <w:tblW w:w="14968" w:type="dxa"/>
        <w:jc w:val="center"/>
        <w:tblLayout w:type="fixed"/>
        <w:tblLook w:val="04A0" w:firstRow="1" w:lastRow="0" w:firstColumn="1" w:lastColumn="0" w:noHBand="0" w:noVBand="1"/>
      </w:tblPr>
      <w:tblGrid>
        <w:gridCol w:w="2156"/>
        <w:gridCol w:w="6040"/>
        <w:gridCol w:w="2158"/>
        <w:gridCol w:w="1320"/>
        <w:gridCol w:w="1722"/>
        <w:gridCol w:w="1572"/>
      </w:tblGrid>
      <w:tr w:rsidR="007E5EDC" w14:paraId="53974277" w14:textId="77777777" w:rsidTr="00D9294B">
        <w:trPr>
          <w:trHeight w:val="658"/>
          <w:jc w:val="center"/>
        </w:trPr>
        <w:tc>
          <w:tcPr>
            <w:tcW w:w="2156" w:type="dxa"/>
          </w:tcPr>
          <w:p w14:paraId="2305BC5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Author (year)</w:t>
            </w:r>
          </w:p>
        </w:tc>
        <w:tc>
          <w:tcPr>
            <w:tcW w:w="6040" w:type="dxa"/>
          </w:tcPr>
          <w:p w14:paraId="2E1729E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Internal validation method</w:t>
            </w:r>
          </w:p>
        </w:tc>
        <w:tc>
          <w:tcPr>
            <w:tcW w:w="2158" w:type="dxa"/>
          </w:tcPr>
          <w:p w14:paraId="49AF43A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External validation (type/data source)</w:t>
            </w:r>
          </w:p>
        </w:tc>
        <w:tc>
          <w:tcPr>
            <w:tcW w:w="1320" w:type="dxa"/>
          </w:tcPr>
          <w:p w14:paraId="63C35B7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Discrimination</w:t>
            </w:r>
          </w:p>
        </w:tc>
        <w:tc>
          <w:tcPr>
            <w:tcW w:w="1722" w:type="dxa"/>
          </w:tcPr>
          <w:p w14:paraId="589909D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Calibration</w:t>
            </w:r>
          </w:p>
        </w:tc>
        <w:tc>
          <w:tcPr>
            <w:tcW w:w="1572" w:type="dxa"/>
          </w:tcPr>
          <w:p w14:paraId="021AA77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Clinical usefulness</w:t>
            </w:r>
          </w:p>
        </w:tc>
      </w:tr>
      <w:tr w:rsidR="007E5EDC" w14:paraId="521F6BE6" w14:textId="77777777" w:rsidTr="00D9294B">
        <w:trPr>
          <w:jc w:val="center"/>
        </w:trPr>
        <w:tc>
          <w:tcPr>
            <w:tcW w:w="2156" w:type="dxa"/>
          </w:tcPr>
          <w:p w14:paraId="6CDDBEF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Zhang (2025) [21]</w:t>
            </w:r>
          </w:p>
        </w:tc>
        <w:tc>
          <w:tcPr>
            <w:tcW w:w="6040" w:type="dxa"/>
          </w:tcPr>
          <w:p w14:paraId="11F35A7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7:3 random split</w:t>
            </w:r>
          </w:p>
        </w:tc>
        <w:tc>
          <w:tcPr>
            <w:tcW w:w="2158" w:type="dxa"/>
          </w:tcPr>
          <w:p w14:paraId="3FE1D67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None</w:t>
            </w:r>
          </w:p>
        </w:tc>
        <w:tc>
          <w:tcPr>
            <w:tcW w:w="1320" w:type="dxa"/>
          </w:tcPr>
          <w:p w14:paraId="55ECF07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AUC</w:t>
            </w:r>
          </w:p>
        </w:tc>
        <w:tc>
          <w:tcPr>
            <w:tcW w:w="1722" w:type="dxa"/>
          </w:tcPr>
          <w:p w14:paraId="7DD1D44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H-L test</w:t>
            </w:r>
          </w:p>
        </w:tc>
        <w:tc>
          <w:tcPr>
            <w:tcW w:w="1572" w:type="dxa"/>
          </w:tcPr>
          <w:p w14:paraId="75C999D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DCA</w:t>
            </w:r>
          </w:p>
        </w:tc>
      </w:tr>
      <w:tr w:rsidR="007E5EDC" w14:paraId="04E20603" w14:textId="77777777" w:rsidTr="00D9294B">
        <w:trPr>
          <w:jc w:val="center"/>
        </w:trPr>
        <w:tc>
          <w:tcPr>
            <w:tcW w:w="2156" w:type="dxa"/>
          </w:tcPr>
          <w:p w14:paraId="1A7B499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Zhou et al. (2026) [22]</w:t>
            </w:r>
          </w:p>
        </w:tc>
        <w:tc>
          <w:tcPr>
            <w:tcW w:w="6040" w:type="dxa"/>
          </w:tcPr>
          <w:p w14:paraId="06C238E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7:3 random split</w:t>
            </w:r>
          </w:p>
        </w:tc>
        <w:tc>
          <w:tcPr>
            <w:tcW w:w="2158" w:type="dxa"/>
          </w:tcPr>
          <w:p w14:paraId="640E187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None</w:t>
            </w:r>
          </w:p>
        </w:tc>
        <w:tc>
          <w:tcPr>
            <w:tcW w:w="1320" w:type="dxa"/>
          </w:tcPr>
          <w:p w14:paraId="0BCC59B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AUC</w:t>
            </w:r>
          </w:p>
        </w:tc>
        <w:tc>
          <w:tcPr>
            <w:tcW w:w="1722" w:type="dxa"/>
          </w:tcPr>
          <w:p w14:paraId="399A202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H-L test, Brier score</w:t>
            </w:r>
          </w:p>
        </w:tc>
        <w:tc>
          <w:tcPr>
            <w:tcW w:w="1572" w:type="dxa"/>
          </w:tcPr>
          <w:p w14:paraId="68CFBF1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Not assessed</w:t>
            </w:r>
          </w:p>
        </w:tc>
      </w:tr>
      <w:tr w:rsidR="007E5EDC" w14:paraId="45F69582" w14:textId="77777777" w:rsidTr="00D9294B">
        <w:trPr>
          <w:jc w:val="center"/>
        </w:trPr>
        <w:tc>
          <w:tcPr>
            <w:tcW w:w="2156" w:type="dxa"/>
          </w:tcPr>
          <w:p w14:paraId="6E0D46D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Wang et al. (2025) [23]</w:t>
            </w:r>
          </w:p>
        </w:tc>
        <w:tc>
          <w:tcPr>
            <w:tcW w:w="6040" w:type="dxa"/>
          </w:tcPr>
          <w:p w14:paraId="0E64080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Bootstrap resampling (1000 repetitions)</w:t>
            </w:r>
          </w:p>
        </w:tc>
        <w:tc>
          <w:tcPr>
            <w:tcW w:w="2158" w:type="dxa"/>
          </w:tcPr>
          <w:p w14:paraId="2E944DC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None</w:t>
            </w:r>
          </w:p>
        </w:tc>
        <w:tc>
          <w:tcPr>
            <w:tcW w:w="1320" w:type="dxa"/>
          </w:tcPr>
          <w:p w14:paraId="0A79B53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AUC</w:t>
            </w:r>
          </w:p>
        </w:tc>
        <w:tc>
          <w:tcPr>
            <w:tcW w:w="1722" w:type="dxa"/>
          </w:tcPr>
          <w:p w14:paraId="7A29257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H-L test, calibration curve</w:t>
            </w:r>
          </w:p>
        </w:tc>
        <w:tc>
          <w:tcPr>
            <w:tcW w:w="1572" w:type="dxa"/>
          </w:tcPr>
          <w:p w14:paraId="178E379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DCA (reported in the abstract and main text)</w:t>
            </w:r>
          </w:p>
        </w:tc>
      </w:tr>
      <w:tr w:rsidR="007E5EDC" w14:paraId="0859B916" w14:textId="77777777" w:rsidTr="00D9294B">
        <w:trPr>
          <w:jc w:val="center"/>
        </w:trPr>
        <w:tc>
          <w:tcPr>
            <w:tcW w:w="2156" w:type="dxa"/>
          </w:tcPr>
          <w:p w14:paraId="1FD2824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Kuo et al. (2019) [24]</w:t>
            </w:r>
          </w:p>
        </w:tc>
        <w:tc>
          <w:tcPr>
            <w:tcW w:w="6040" w:type="dxa"/>
          </w:tcPr>
          <w:p w14:paraId="69DCC6C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70/30 hold-out + ten-fold cross-validation of the training set</w:t>
            </w:r>
          </w:p>
        </w:tc>
        <w:tc>
          <w:tcPr>
            <w:tcW w:w="2158" w:type="dxa"/>
          </w:tcPr>
          <w:p w14:paraId="55C2396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None</w:t>
            </w:r>
          </w:p>
        </w:tc>
        <w:tc>
          <w:tcPr>
            <w:tcW w:w="1320" w:type="dxa"/>
          </w:tcPr>
          <w:p w14:paraId="1720E2F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AUC, Kappa</w:t>
            </w:r>
          </w:p>
        </w:tc>
        <w:tc>
          <w:tcPr>
            <w:tcW w:w="1722" w:type="dxa"/>
          </w:tcPr>
          <w:p w14:paraId="63B0AAB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Not assessed</w:t>
            </w:r>
          </w:p>
        </w:tc>
        <w:tc>
          <w:tcPr>
            <w:tcW w:w="1572" w:type="dxa"/>
          </w:tcPr>
          <w:p w14:paraId="0B92587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Not assessed</w:t>
            </w:r>
          </w:p>
        </w:tc>
      </w:tr>
      <w:tr w:rsidR="007E5EDC" w14:paraId="7C802E56" w14:textId="77777777" w:rsidTr="00D9294B">
        <w:trPr>
          <w:jc w:val="center"/>
        </w:trPr>
        <w:tc>
          <w:tcPr>
            <w:tcW w:w="2156" w:type="dxa"/>
          </w:tcPr>
          <w:p w14:paraId="751E364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Han et al. (2026) [25]</w:t>
            </w:r>
          </w:p>
        </w:tc>
        <w:tc>
          <w:tcPr>
            <w:tcW w:w="6040" w:type="dxa"/>
          </w:tcPr>
          <w:p w14:paraId="2314AE2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7:3 random split + bootstrap resampling</w:t>
            </w:r>
          </w:p>
        </w:tc>
        <w:tc>
          <w:tcPr>
            <w:tcW w:w="2158" w:type="dxa"/>
          </w:tcPr>
          <w:p w14:paraId="6B6A449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None</w:t>
            </w:r>
          </w:p>
        </w:tc>
        <w:tc>
          <w:tcPr>
            <w:tcW w:w="1320" w:type="dxa"/>
          </w:tcPr>
          <w:p w14:paraId="66D7468D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AUC</w:t>
            </w:r>
          </w:p>
        </w:tc>
        <w:tc>
          <w:tcPr>
            <w:tcW w:w="1722" w:type="dxa"/>
          </w:tcPr>
          <w:p w14:paraId="6BBA717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H-L test, calibration curve</w:t>
            </w:r>
          </w:p>
        </w:tc>
        <w:tc>
          <w:tcPr>
            <w:tcW w:w="1572" w:type="dxa"/>
          </w:tcPr>
          <w:p w14:paraId="6A9F4DF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DCA, NRI, IDI</w:t>
            </w:r>
          </w:p>
        </w:tc>
      </w:tr>
      <w:tr w:rsidR="007E5EDC" w14:paraId="4C8184AD" w14:textId="77777777" w:rsidTr="00D9294B">
        <w:trPr>
          <w:trHeight w:val="1150"/>
          <w:jc w:val="center"/>
        </w:trPr>
        <w:tc>
          <w:tcPr>
            <w:tcW w:w="2156" w:type="dxa"/>
          </w:tcPr>
          <w:p w14:paraId="5C7E9F5D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Xian (2023) [26]</w:t>
            </w:r>
          </w:p>
        </w:tc>
        <w:tc>
          <w:tcPr>
            <w:tcW w:w="6040" w:type="dxa"/>
          </w:tcPr>
          <w:p w14:paraId="00B4920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Bootstrap resampling (1000 repetitions)</w:t>
            </w:r>
          </w:p>
        </w:tc>
        <w:tc>
          <w:tcPr>
            <w:tcW w:w="2158" w:type="dxa"/>
          </w:tcPr>
          <w:p w14:paraId="2A529E7D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None</w:t>
            </w:r>
          </w:p>
        </w:tc>
        <w:tc>
          <w:tcPr>
            <w:tcW w:w="1320" w:type="dxa"/>
          </w:tcPr>
          <w:p w14:paraId="3E96DEA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AUC</w:t>
            </w:r>
          </w:p>
        </w:tc>
        <w:tc>
          <w:tcPr>
            <w:tcW w:w="1722" w:type="dxa"/>
          </w:tcPr>
          <w:p w14:paraId="3CE794D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Calibration curve, Brier score</w:t>
            </w:r>
          </w:p>
        </w:tc>
        <w:tc>
          <w:tcPr>
            <w:tcW w:w="1572" w:type="dxa"/>
          </w:tcPr>
          <w:p w14:paraId="1B454C0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DCA</w:t>
            </w:r>
          </w:p>
        </w:tc>
      </w:tr>
      <w:tr w:rsidR="007E5EDC" w14:paraId="7C8BEFE3" w14:textId="77777777" w:rsidTr="00D9294B">
        <w:trPr>
          <w:jc w:val="center"/>
        </w:trPr>
        <w:tc>
          <w:tcPr>
            <w:tcW w:w="2156" w:type="dxa"/>
          </w:tcPr>
          <w:p w14:paraId="1FCBB12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Fan et al. (2026a) [27]</w:t>
            </w:r>
          </w:p>
        </w:tc>
        <w:tc>
          <w:tcPr>
            <w:tcW w:w="6040" w:type="dxa"/>
          </w:tcPr>
          <w:p w14:paraId="6458B40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Bootstrap resampling (1000 repetitions)</w:t>
            </w:r>
          </w:p>
        </w:tc>
        <w:tc>
          <w:tcPr>
            <w:tcW w:w="2158" w:type="dxa"/>
          </w:tcPr>
          <w:p w14:paraId="39FF88F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Geographical external validation (181 patients from two other tertiary grade-A hospitals)</w:t>
            </w:r>
          </w:p>
        </w:tc>
        <w:tc>
          <w:tcPr>
            <w:tcW w:w="1320" w:type="dxa"/>
          </w:tcPr>
          <w:p w14:paraId="1B35974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AUC</w:t>
            </w:r>
          </w:p>
        </w:tc>
        <w:tc>
          <w:tcPr>
            <w:tcW w:w="1722" w:type="dxa"/>
          </w:tcPr>
          <w:p w14:paraId="71F9B08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H-L test, calibration curve, Brier score, calibration intercept and slope (95% CI)</w:t>
            </w:r>
          </w:p>
        </w:tc>
        <w:tc>
          <w:tcPr>
            <w:tcW w:w="1572" w:type="dxa"/>
          </w:tcPr>
          <w:p w14:paraId="12F5D8D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DCA</w:t>
            </w:r>
          </w:p>
        </w:tc>
      </w:tr>
      <w:tr w:rsidR="007E5EDC" w14:paraId="65F0E82B" w14:textId="77777777" w:rsidTr="00D9294B">
        <w:trPr>
          <w:jc w:val="center"/>
        </w:trPr>
        <w:tc>
          <w:tcPr>
            <w:tcW w:w="2156" w:type="dxa"/>
          </w:tcPr>
          <w:p w14:paraId="1F7EE47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Feng et al. (2026) [28]</w:t>
            </w:r>
          </w:p>
        </w:tc>
        <w:tc>
          <w:tcPr>
            <w:tcW w:w="6040" w:type="dxa"/>
          </w:tcPr>
          <w:p w14:paraId="621016D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Bootstrap resampling (1000 repetitions)</w:t>
            </w:r>
          </w:p>
        </w:tc>
        <w:tc>
          <w:tcPr>
            <w:tcW w:w="2158" w:type="dxa"/>
          </w:tcPr>
          <w:p w14:paraId="1E489C2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Temporal external validation (168 patients from a </w:t>
            </w: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 xml:space="preserve">different </w:t>
            </w:r>
            <w:proofErr w:type="gram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time period</w:t>
            </w:r>
            <w:proofErr w:type="gramEnd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)</w:t>
            </w:r>
          </w:p>
        </w:tc>
        <w:tc>
          <w:tcPr>
            <w:tcW w:w="1320" w:type="dxa"/>
          </w:tcPr>
          <w:p w14:paraId="629C706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AUC</w:t>
            </w:r>
          </w:p>
        </w:tc>
        <w:tc>
          <w:tcPr>
            <w:tcW w:w="1722" w:type="dxa"/>
          </w:tcPr>
          <w:p w14:paraId="2690AAC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H-L test, calibration curve</w:t>
            </w:r>
          </w:p>
        </w:tc>
        <w:tc>
          <w:tcPr>
            <w:tcW w:w="1572" w:type="dxa"/>
          </w:tcPr>
          <w:p w14:paraId="16F5920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Not assessed</w:t>
            </w:r>
          </w:p>
        </w:tc>
      </w:tr>
      <w:tr w:rsidR="007E5EDC" w14:paraId="484ED418" w14:textId="77777777" w:rsidTr="00D9294B">
        <w:trPr>
          <w:jc w:val="center"/>
        </w:trPr>
        <w:tc>
          <w:tcPr>
            <w:tcW w:w="2156" w:type="dxa"/>
          </w:tcPr>
          <w:p w14:paraId="6607A59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Fan et al. (2026b) [29]</w:t>
            </w:r>
          </w:p>
        </w:tc>
        <w:tc>
          <w:tcPr>
            <w:tcW w:w="6040" w:type="dxa"/>
          </w:tcPr>
          <w:p w14:paraId="4E68883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7:3 random split + bootstrap resampling of the validation set (1000 repetitions)</w:t>
            </w:r>
          </w:p>
        </w:tc>
        <w:tc>
          <w:tcPr>
            <w:tcW w:w="2158" w:type="dxa"/>
          </w:tcPr>
          <w:p w14:paraId="1B3F8C1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None</w:t>
            </w:r>
          </w:p>
        </w:tc>
        <w:tc>
          <w:tcPr>
            <w:tcW w:w="1320" w:type="dxa"/>
          </w:tcPr>
          <w:p w14:paraId="6FED1DF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AUC, accuracy</w:t>
            </w:r>
          </w:p>
        </w:tc>
        <w:tc>
          <w:tcPr>
            <w:tcW w:w="1722" w:type="dxa"/>
          </w:tcPr>
          <w:p w14:paraId="76A3C35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Brier score</w:t>
            </w:r>
          </w:p>
        </w:tc>
        <w:tc>
          <w:tcPr>
            <w:tcW w:w="1572" w:type="dxa"/>
          </w:tcPr>
          <w:p w14:paraId="038960A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Not assessed</w:t>
            </w:r>
          </w:p>
        </w:tc>
      </w:tr>
    </w:tbl>
    <w:p w14:paraId="132B713E" w14:textId="77777777" w:rsidR="007E5EDC" w:rsidRDefault="007E5EDC" w:rsidP="007E5EDC">
      <w:pPr>
        <w:suppressLineNumbers/>
        <w:rPr>
          <w:rFonts w:ascii="Times New Roman Regular" w:hAnsi="Times New Roman Regular" w:cs="Times New Roman Regular"/>
          <w:bCs/>
          <w:szCs w:val="24"/>
        </w:rPr>
      </w:pPr>
      <w:r>
        <w:rPr>
          <w:rFonts w:ascii="Times New Roman Regular" w:hAnsi="Times New Roman Regular" w:cs="Times New Roman Regular"/>
          <w:bCs/>
          <w:szCs w:val="24"/>
        </w:rPr>
        <w:t>Note: validation approaches were extracted in five categories (random split / bootstrap / cross-validation / temporal external validation / geographical external validation); the calibration column lists the measures used, and the corresponding values are given in Table 4. AUC, area under the receiver operating characteristic curve; H-L, Hosmer-</w:t>
      </w:r>
      <w:proofErr w:type="spellStart"/>
      <w:r>
        <w:rPr>
          <w:rFonts w:ascii="Times New Roman Regular" w:hAnsi="Times New Roman Regular" w:cs="Times New Roman Regular"/>
          <w:bCs/>
          <w:szCs w:val="24"/>
        </w:rPr>
        <w:t>Lemeshow</w:t>
      </w:r>
      <w:proofErr w:type="spellEnd"/>
      <w:r>
        <w:rPr>
          <w:rFonts w:ascii="Times New Roman Regular" w:hAnsi="Times New Roman Regular" w:cs="Times New Roman Regular"/>
          <w:bCs/>
          <w:szCs w:val="24"/>
        </w:rPr>
        <w:t>; DCA, decision curve analysis; NRI, net reclassification improvement; IDI, integrated discrimination improvement; CI, confidence interval.</w:t>
      </w:r>
    </w:p>
    <w:p w14:paraId="04A406CF" w14:textId="77777777" w:rsidR="007E5EDC" w:rsidRDefault="007E5EDC" w:rsidP="007E5EDC">
      <w:pPr>
        <w:suppressLineNumbers/>
        <w:rPr>
          <w:rFonts w:ascii="Times New Roman Regular" w:hAnsi="Times New Roman Regular" w:cs="Times New Roman Regular"/>
          <w:bCs/>
          <w:szCs w:val="24"/>
        </w:rPr>
      </w:pPr>
    </w:p>
    <w:p w14:paraId="23A5D7EB" w14:textId="77777777" w:rsidR="007E5EDC" w:rsidRDefault="007E5EDC" w:rsidP="007E5EDC">
      <w:pPr>
        <w:suppressLineNumbers/>
        <w:rPr>
          <w:rFonts w:ascii="Times New Roman Regular" w:hAnsi="Times New Roman Regular" w:cs="Times New Roman Regular"/>
          <w:bCs/>
          <w:szCs w:val="24"/>
        </w:rPr>
      </w:pPr>
    </w:p>
    <w:p w14:paraId="2C590600" w14:textId="77777777" w:rsidR="007E5EDC" w:rsidRDefault="007E5EDC" w:rsidP="007E5EDC">
      <w:pPr>
        <w:suppressLineNumbers/>
        <w:rPr>
          <w:rFonts w:ascii="Times New Roman Regular" w:hAnsi="Times New Roman Regular" w:cs="Times New Roman Regular"/>
          <w:bCs/>
          <w:szCs w:val="24"/>
        </w:rPr>
      </w:pPr>
    </w:p>
    <w:p w14:paraId="6E47E73E" w14:textId="77777777" w:rsidR="007E5EDC" w:rsidRDefault="007E5EDC" w:rsidP="007E5EDC">
      <w:pPr>
        <w:suppressLineNumbers/>
        <w:rPr>
          <w:rFonts w:ascii="Times New Roman Regular" w:hAnsi="Times New Roman Regular" w:cs="Times New Roman Regular"/>
          <w:bCs/>
          <w:sz w:val="28"/>
          <w:szCs w:val="28"/>
        </w:rPr>
      </w:pPr>
      <w:r>
        <w:rPr>
          <w:rFonts w:ascii="Times New Roman Regular" w:hAnsi="Times New Roman Regular" w:cs="Times New Roman Regular"/>
          <w:bCs/>
          <w:sz w:val="28"/>
          <w:szCs w:val="28"/>
        </w:rPr>
        <w:t>Table 4 Performance of the social frailty identification and prediction models</w:t>
      </w:r>
    </w:p>
    <w:tbl>
      <w:tblPr>
        <w:tblStyle w:val="TableGrid"/>
        <w:tblW w:w="14772" w:type="dxa"/>
        <w:jc w:val="center"/>
        <w:tblLayout w:type="fixed"/>
        <w:tblLook w:val="04A0" w:firstRow="1" w:lastRow="0" w:firstColumn="1" w:lastColumn="0" w:noHBand="0" w:noVBand="1"/>
      </w:tblPr>
      <w:tblGrid>
        <w:gridCol w:w="1536"/>
        <w:gridCol w:w="1148"/>
        <w:gridCol w:w="4100"/>
        <w:gridCol w:w="2178"/>
        <w:gridCol w:w="1485"/>
        <w:gridCol w:w="2000"/>
        <w:gridCol w:w="2325"/>
      </w:tblGrid>
      <w:tr w:rsidR="007E5EDC" w14:paraId="67EE60BC" w14:textId="77777777" w:rsidTr="00D9294B">
        <w:trPr>
          <w:jc w:val="center"/>
        </w:trPr>
        <w:tc>
          <w:tcPr>
            <w:tcW w:w="1536" w:type="dxa"/>
          </w:tcPr>
          <w:p w14:paraId="577F2D0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Author (year)</w:t>
            </w:r>
          </w:p>
        </w:tc>
        <w:tc>
          <w:tcPr>
            <w:tcW w:w="1148" w:type="dxa"/>
          </w:tcPr>
          <w:p w14:paraId="44EF815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Model</w:t>
            </w:r>
          </w:p>
        </w:tc>
        <w:tc>
          <w:tcPr>
            <w:tcW w:w="4100" w:type="dxa"/>
          </w:tcPr>
          <w:p w14:paraId="3340F27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AUC (development/internal validation)</w:t>
            </w:r>
          </w:p>
        </w:tc>
        <w:tc>
          <w:tcPr>
            <w:tcW w:w="2178" w:type="dxa"/>
          </w:tcPr>
          <w:p w14:paraId="5DA2AA9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AUC (external validation)</w:t>
            </w:r>
          </w:p>
        </w:tc>
        <w:tc>
          <w:tcPr>
            <w:tcW w:w="1485" w:type="dxa"/>
          </w:tcPr>
          <w:p w14:paraId="4477BAF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Calibration results</w:t>
            </w:r>
          </w:p>
        </w:tc>
        <w:tc>
          <w:tcPr>
            <w:tcW w:w="2000" w:type="dxa"/>
          </w:tcPr>
          <w:p w14:paraId="404BD06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Other metrics</w:t>
            </w:r>
          </w:p>
        </w:tc>
        <w:tc>
          <w:tcPr>
            <w:tcW w:w="2325" w:type="dxa"/>
          </w:tcPr>
          <w:p w14:paraId="3787986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DCA threshold range</w:t>
            </w:r>
          </w:p>
        </w:tc>
      </w:tr>
      <w:tr w:rsidR="007E5EDC" w14:paraId="288E2AAD" w14:textId="77777777" w:rsidTr="00D9294B">
        <w:trPr>
          <w:jc w:val="center"/>
        </w:trPr>
        <w:tc>
          <w:tcPr>
            <w:tcW w:w="1536" w:type="dxa"/>
          </w:tcPr>
          <w:p w14:paraId="3F020AC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Zhang (2025) [21]</w:t>
            </w:r>
          </w:p>
        </w:tc>
        <w:tc>
          <w:tcPr>
            <w:tcW w:w="1148" w:type="dxa"/>
          </w:tcPr>
          <w:p w14:paraId="4C643F2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Logistic regression</w:t>
            </w:r>
          </w:p>
        </w:tc>
        <w:tc>
          <w:tcPr>
            <w:tcW w:w="4100" w:type="dxa"/>
          </w:tcPr>
          <w:p w14:paraId="3CD759E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Training set 0.993 / validation set 0.987</w:t>
            </w:r>
          </w:p>
        </w:tc>
        <w:tc>
          <w:tcPr>
            <w:tcW w:w="2178" w:type="dxa"/>
          </w:tcPr>
          <w:p w14:paraId="2CA0457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  <w:tc>
          <w:tcPr>
            <w:tcW w:w="1485" w:type="dxa"/>
          </w:tcPr>
          <w:p w14:paraId="1B94A9B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H-L P=0.975</w:t>
            </w:r>
          </w:p>
        </w:tc>
        <w:tc>
          <w:tcPr>
            <w:tcW w:w="2000" w:type="dxa"/>
          </w:tcPr>
          <w:p w14:paraId="313F84A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  <w:tc>
          <w:tcPr>
            <w:tcW w:w="2325" w:type="dxa"/>
          </w:tcPr>
          <w:p w14:paraId="6CD0FD3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Training set 5%–99%; validation set 8%–99%</w:t>
            </w:r>
          </w:p>
        </w:tc>
      </w:tr>
      <w:tr w:rsidR="007E5EDC" w14:paraId="127EB586" w14:textId="77777777" w:rsidTr="00D9294B">
        <w:trPr>
          <w:trHeight w:val="1229"/>
          <w:jc w:val="center"/>
        </w:trPr>
        <w:tc>
          <w:tcPr>
            <w:tcW w:w="1536" w:type="dxa"/>
          </w:tcPr>
          <w:p w14:paraId="7107FBA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Zhou et al. (2026) [22]</w:t>
            </w:r>
          </w:p>
        </w:tc>
        <w:tc>
          <w:tcPr>
            <w:tcW w:w="1148" w:type="dxa"/>
          </w:tcPr>
          <w:p w14:paraId="5A4DF01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Logistic regression</w:t>
            </w:r>
          </w:p>
        </w:tc>
        <w:tc>
          <w:tcPr>
            <w:tcW w:w="4100" w:type="dxa"/>
          </w:tcPr>
          <w:p w14:paraId="7B01561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0.845</w:t>
            </w:r>
          </w:p>
        </w:tc>
        <w:tc>
          <w:tcPr>
            <w:tcW w:w="2178" w:type="dxa"/>
          </w:tcPr>
          <w:p w14:paraId="7D5063C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  <w:tc>
          <w:tcPr>
            <w:tcW w:w="1485" w:type="dxa"/>
          </w:tcPr>
          <w:p w14:paraId="100FD45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H-L P=0.862; Brier=0.156</w:t>
            </w:r>
          </w:p>
        </w:tc>
        <w:tc>
          <w:tcPr>
            <w:tcW w:w="2000" w:type="dxa"/>
          </w:tcPr>
          <w:p w14:paraId="4A51860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F1=0.748</w:t>
            </w:r>
          </w:p>
        </w:tc>
        <w:tc>
          <w:tcPr>
            <w:tcW w:w="2325" w:type="dxa"/>
          </w:tcPr>
          <w:p w14:paraId="348FFA3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</w:tr>
      <w:tr w:rsidR="007E5EDC" w14:paraId="006A718E" w14:textId="77777777" w:rsidTr="00D9294B">
        <w:trPr>
          <w:trHeight w:val="380"/>
          <w:jc w:val="center"/>
        </w:trPr>
        <w:tc>
          <w:tcPr>
            <w:tcW w:w="1536" w:type="dxa"/>
          </w:tcPr>
          <w:p w14:paraId="2206893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Zhou et al. (2026) [22]</w:t>
            </w:r>
          </w:p>
        </w:tc>
        <w:tc>
          <w:tcPr>
            <w:tcW w:w="1148" w:type="dxa"/>
          </w:tcPr>
          <w:p w14:paraId="6FCB751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XGBoost</w:t>
            </w:r>
            <w:proofErr w:type="spellEnd"/>
          </w:p>
        </w:tc>
        <w:tc>
          <w:tcPr>
            <w:tcW w:w="4100" w:type="dxa"/>
          </w:tcPr>
          <w:p w14:paraId="6B572F2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0.829</w:t>
            </w:r>
          </w:p>
        </w:tc>
        <w:tc>
          <w:tcPr>
            <w:tcW w:w="2178" w:type="dxa"/>
          </w:tcPr>
          <w:p w14:paraId="0AB979BD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  <w:tc>
          <w:tcPr>
            <w:tcW w:w="1485" w:type="dxa"/>
          </w:tcPr>
          <w:p w14:paraId="087FF78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Brier=0.167</w:t>
            </w:r>
          </w:p>
        </w:tc>
        <w:tc>
          <w:tcPr>
            <w:tcW w:w="2000" w:type="dxa"/>
          </w:tcPr>
          <w:p w14:paraId="3048459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F1=0.778</w:t>
            </w:r>
          </w:p>
        </w:tc>
        <w:tc>
          <w:tcPr>
            <w:tcW w:w="2325" w:type="dxa"/>
          </w:tcPr>
          <w:p w14:paraId="5FA2B79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</w:tr>
      <w:tr w:rsidR="007E5EDC" w14:paraId="4D57D314" w14:textId="77777777" w:rsidTr="00D9294B">
        <w:trPr>
          <w:jc w:val="center"/>
        </w:trPr>
        <w:tc>
          <w:tcPr>
            <w:tcW w:w="1536" w:type="dxa"/>
          </w:tcPr>
          <w:p w14:paraId="0E93099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Zhou et al. (2026) [22]</w:t>
            </w:r>
          </w:p>
        </w:tc>
        <w:tc>
          <w:tcPr>
            <w:tcW w:w="1148" w:type="dxa"/>
          </w:tcPr>
          <w:p w14:paraId="39E29CE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Random forest</w:t>
            </w:r>
          </w:p>
        </w:tc>
        <w:tc>
          <w:tcPr>
            <w:tcW w:w="4100" w:type="dxa"/>
          </w:tcPr>
          <w:p w14:paraId="45AA02C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0.866</w:t>
            </w:r>
          </w:p>
        </w:tc>
        <w:tc>
          <w:tcPr>
            <w:tcW w:w="2178" w:type="dxa"/>
          </w:tcPr>
          <w:p w14:paraId="2638642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  <w:tc>
          <w:tcPr>
            <w:tcW w:w="1485" w:type="dxa"/>
          </w:tcPr>
          <w:p w14:paraId="5C67154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Brier=0.153</w:t>
            </w:r>
          </w:p>
        </w:tc>
        <w:tc>
          <w:tcPr>
            <w:tcW w:w="2000" w:type="dxa"/>
          </w:tcPr>
          <w:p w14:paraId="79A8B20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F1=0.801</w:t>
            </w:r>
          </w:p>
        </w:tc>
        <w:tc>
          <w:tcPr>
            <w:tcW w:w="2325" w:type="dxa"/>
          </w:tcPr>
          <w:p w14:paraId="57C2202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</w:tr>
      <w:tr w:rsidR="007E5EDC" w14:paraId="21C44A08" w14:textId="77777777" w:rsidTr="00D9294B">
        <w:trPr>
          <w:jc w:val="center"/>
        </w:trPr>
        <w:tc>
          <w:tcPr>
            <w:tcW w:w="1536" w:type="dxa"/>
          </w:tcPr>
          <w:p w14:paraId="3D49837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Wang et al. (2025) [23]</w:t>
            </w:r>
          </w:p>
        </w:tc>
        <w:tc>
          <w:tcPr>
            <w:tcW w:w="1148" w:type="dxa"/>
          </w:tcPr>
          <w:p w14:paraId="4845B7A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Logistic regression</w:t>
            </w:r>
          </w:p>
        </w:tc>
        <w:tc>
          <w:tcPr>
            <w:tcW w:w="4100" w:type="dxa"/>
          </w:tcPr>
          <w:p w14:paraId="35A3AE2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0.921 (0.893–0.950)</w:t>
            </w:r>
          </w:p>
        </w:tc>
        <w:tc>
          <w:tcPr>
            <w:tcW w:w="2178" w:type="dxa"/>
          </w:tcPr>
          <w:p w14:paraId="635CED4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  <w:tc>
          <w:tcPr>
            <w:tcW w:w="1485" w:type="dxa"/>
          </w:tcPr>
          <w:p w14:paraId="7F069D5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H-L P=0.234; calibration curve</w:t>
            </w:r>
          </w:p>
        </w:tc>
        <w:tc>
          <w:tcPr>
            <w:tcW w:w="2000" w:type="dxa"/>
          </w:tcPr>
          <w:p w14:paraId="3BCF24C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Se=0.837, </w:t>
            </w: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Sp</w:t>
            </w:r>
            <w:proofErr w:type="spellEnd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=0.851; optimal cut-off 0.330</w:t>
            </w:r>
          </w:p>
        </w:tc>
        <w:tc>
          <w:tcPr>
            <w:tcW w:w="2325" w:type="dxa"/>
          </w:tcPr>
          <w:p w14:paraId="14C341E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DCA reported (0–100% threshold range)</w:t>
            </w:r>
          </w:p>
        </w:tc>
      </w:tr>
      <w:tr w:rsidR="007E5EDC" w14:paraId="6E3602F8" w14:textId="77777777" w:rsidTr="00D9294B">
        <w:trPr>
          <w:jc w:val="center"/>
        </w:trPr>
        <w:tc>
          <w:tcPr>
            <w:tcW w:w="1536" w:type="dxa"/>
          </w:tcPr>
          <w:p w14:paraId="0258EC3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Kuo et al. (2019) [24]</w:t>
            </w:r>
          </w:p>
        </w:tc>
        <w:tc>
          <w:tcPr>
            <w:tcW w:w="1148" w:type="dxa"/>
          </w:tcPr>
          <w:p w14:paraId="286A2B7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C5.0</w:t>
            </w:r>
          </w:p>
        </w:tc>
        <w:tc>
          <w:tcPr>
            <w:tcW w:w="4100" w:type="dxa"/>
          </w:tcPr>
          <w:p w14:paraId="0C11F39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0.972</w:t>
            </w:r>
          </w:p>
        </w:tc>
        <w:tc>
          <w:tcPr>
            <w:tcW w:w="2178" w:type="dxa"/>
          </w:tcPr>
          <w:p w14:paraId="27B98D7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  <w:tc>
          <w:tcPr>
            <w:tcW w:w="1485" w:type="dxa"/>
          </w:tcPr>
          <w:p w14:paraId="1473EF6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Not assessed</w:t>
            </w:r>
          </w:p>
        </w:tc>
        <w:tc>
          <w:tcPr>
            <w:tcW w:w="2000" w:type="dxa"/>
          </w:tcPr>
          <w:p w14:paraId="3EB3597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Kappa=0.942; Se=0.952; </w:t>
            </w: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Sp</w:t>
            </w:r>
            <w:proofErr w:type="spellEnd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=0.991</w:t>
            </w:r>
          </w:p>
        </w:tc>
        <w:tc>
          <w:tcPr>
            <w:tcW w:w="2325" w:type="dxa"/>
          </w:tcPr>
          <w:p w14:paraId="017B31E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</w:tr>
      <w:tr w:rsidR="007E5EDC" w14:paraId="69840798" w14:textId="77777777" w:rsidTr="00D9294B">
        <w:trPr>
          <w:jc w:val="center"/>
        </w:trPr>
        <w:tc>
          <w:tcPr>
            <w:tcW w:w="1536" w:type="dxa"/>
          </w:tcPr>
          <w:p w14:paraId="291CC9B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Han et al. (2026) [25]</w:t>
            </w:r>
          </w:p>
        </w:tc>
        <w:tc>
          <w:tcPr>
            <w:tcW w:w="1148" w:type="dxa"/>
          </w:tcPr>
          <w:p w14:paraId="5072A2B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Logistic regression</w:t>
            </w:r>
          </w:p>
        </w:tc>
        <w:tc>
          <w:tcPr>
            <w:tcW w:w="4100" w:type="dxa"/>
          </w:tcPr>
          <w:p w14:paraId="58D9BD7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Training set 0.828 / validation set 0.856</w:t>
            </w:r>
          </w:p>
        </w:tc>
        <w:tc>
          <w:tcPr>
            <w:tcW w:w="2178" w:type="dxa"/>
          </w:tcPr>
          <w:p w14:paraId="34458C4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  <w:tc>
          <w:tcPr>
            <w:tcW w:w="1485" w:type="dxa"/>
          </w:tcPr>
          <w:p w14:paraId="6B22DBF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H-L P=0.605; calibration curve</w:t>
            </w:r>
          </w:p>
        </w:tc>
        <w:tc>
          <w:tcPr>
            <w:tcW w:w="2000" w:type="dxa"/>
          </w:tcPr>
          <w:p w14:paraId="335DE66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NRI=0.117; IDI=0.016</w:t>
            </w:r>
          </w:p>
        </w:tc>
        <w:tc>
          <w:tcPr>
            <w:tcW w:w="2325" w:type="dxa"/>
          </w:tcPr>
          <w:p w14:paraId="345CDC8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5%–65%</w:t>
            </w:r>
          </w:p>
        </w:tc>
      </w:tr>
      <w:tr w:rsidR="007E5EDC" w14:paraId="10B2892F" w14:textId="77777777" w:rsidTr="00D9294B">
        <w:trPr>
          <w:jc w:val="center"/>
        </w:trPr>
        <w:tc>
          <w:tcPr>
            <w:tcW w:w="1536" w:type="dxa"/>
          </w:tcPr>
          <w:p w14:paraId="09243E0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Xian (2023) [26]</w:t>
            </w:r>
          </w:p>
        </w:tc>
        <w:tc>
          <w:tcPr>
            <w:tcW w:w="1148" w:type="dxa"/>
          </w:tcPr>
          <w:p w14:paraId="4E6CEE1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Logistic regression</w:t>
            </w:r>
          </w:p>
        </w:tc>
        <w:tc>
          <w:tcPr>
            <w:tcW w:w="4100" w:type="dxa"/>
          </w:tcPr>
          <w:p w14:paraId="43F67D6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0.825</w:t>
            </w:r>
          </w:p>
        </w:tc>
        <w:tc>
          <w:tcPr>
            <w:tcW w:w="2178" w:type="dxa"/>
          </w:tcPr>
          <w:p w14:paraId="6236008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  <w:tc>
          <w:tcPr>
            <w:tcW w:w="1485" w:type="dxa"/>
          </w:tcPr>
          <w:p w14:paraId="4CC0388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Calibration curve; Brier=0.140</w:t>
            </w:r>
          </w:p>
        </w:tc>
        <w:tc>
          <w:tcPr>
            <w:tcW w:w="2000" w:type="dxa"/>
          </w:tcPr>
          <w:p w14:paraId="05447C7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  <w:tc>
          <w:tcPr>
            <w:tcW w:w="2325" w:type="dxa"/>
          </w:tcPr>
          <w:p w14:paraId="2F66AAC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20%–70%</w:t>
            </w:r>
          </w:p>
        </w:tc>
      </w:tr>
      <w:tr w:rsidR="007E5EDC" w14:paraId="3E068491" w14:textId="77777777" w:rsidTr="00D9294B">
        <w:trPr>
          <w:jc w:val="center"/>
        </w:trPr>
        <w:tc>
          <w:tcPr>
            <w:tcW w:w="1536" w:type="dxa"/>
          </w:tcPr>
          <w:p w14:paraId="2C45915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Fan et al. (2026a) [27]</w:t>
            </w:r>
          </w:p>
        </w:tc>
        <w:tc>
          <w:tcPr>
            <w:tcW w:w="1148" w:type="dxa"/>
          </w:tcPr>
          <w:p w14:paraId="03E5721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Logistic regression</w:t>
            </w:r>
          </w:p>
        </w:tc>
        <w:tc>
          <w:tcPr>
            <w:tcW w:w="4100" w:type="dxa"/>
          </w:tcPr>
          <w:p w14:paraId="14570B7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0.888 (0.878–0.892)</w:t>
            </w:r>
          </w:p>
        </w:tc>
        <w:tc>
          <w:tcPr>
            <w:tcW w:w="2178" w:type="dxa"/>
          </w:tcPr>
          <w:p w14:paraId="6A5F9AA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0.876 (0.816–0.936)</w:t>
            </w:r>
          </w:p>
        </w:tc>
        <w:tc>
          <w:tcPr>
            <w:tcW w:w="1485" w:type="dxa"/>
          </w:tcPr>
          <w:p w14:paraId="70BD3BB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H-L P=0.319/0.086; Brier=0.117/0.129; calibration </w:t>
            </w: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slope 1.000 (0.814–1.209)/1.289 (0.926–1.911); calibration intercept 0.000 (−0.326–0.313)/0.015 (−0.409–0.517)</w:t>
            </w:r>
          </w:p>
        </w:tc>
        <w:tc>
          <w:tcPr>
            <w:tcW w:w="2000" w:type="dxa"/>
          </w:tcPr>
          <w:p w14:paraId="26A8615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 xml:space="preserve">AIC=360.6; BIC=385.3; optimal cut-off 0.296; PPV=0.721; </w:t>
            </w: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NPV=0.900; Se=0.816</w:t>
            </w:r>
          </w:p>
        </w:tc>
        <w:tc>
          <w:tcPr>
            <w:tcW w:w="2325" w:type="dxa"/>
          </w:tcPr>
          <w:p w14:paraId="24AA8D9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Development cohort 1%–93%; validation cohort 1%–96%</w:t>
            </w:r>
          </w:p>
        </w:tc>
      </w:tr>
      <w:tr w:rsidR="007E5EDC" w14:paraId="4281589C" w14:textId="77777777" w:rsidTr="00D9294B">
        <w:trPr>
          <w:trHeight w:val="2984"/>
          <w:jc w:val="center"/>
        </w:trPr>
        <w:tc>
          <w:tcPr>
            <w:tcW w:w="1536" w:type="dxa"/>
          </w:tcPr>
          <w:p w14:paraId="1B1876A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Feng et al. (2026) [28]</w:t>
            </w:r>
          </w:p>
        </w:tc>
        <w:tc>
          <w:tcPr>
            <w:tcW w:w="1148" w:type="dxa"/>
          </w:tcPr>
          <w:p w14:paraId="148DE06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Logistic regression</w:t>
            </w:r>
          </w:p>
        </w:tc>
        <w:tc>
          <w:tcPr>
            <w:tcW w:w="4100" w:type="dxa"/>
          </w:tcPr>
          <w:p w14:paraId="21E6BE8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Development cohort 0.930 (0.905–0.955)</w:t>
            </w:r>
          </w:p>
        </w:tc>
        <w:tc>
          <w:tcPr>
            <w:tcW w:w="2178" w:type="dxa"/>
          </w:tcPr>
          <w:p w14:paraId="2C2875E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0.824 (temporal external validation)</w:t>
            </w:r>
          </w:p>
        </w:tc>
        <w:tc>
          <w:tcPr>
            <w:tcW w:w="1485" w:type="dxa"/>
          </w:tcPr>
          <w:p w14:paraId="2740A4A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H-L P=0.585/0.354; calibration curve</w:t>
            </w:r>
          </w:p>
        </w:tc>
        <w:tc>
          <w:tcPr>
            <w:tcW w:w="2000" w:type="dxa"/>
          </w:tcPr>
          <w:p w14:paraId="75F9137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Development cohort Se=0.874, </w:t>
            </w: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Sp</w:t>
            </w:r>
            <w:proofErr w:type="spellEnd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=0.870; validation cohort Se=0.815, </w:t>
            </w: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Sp</w:t>
            </w:r>
            <w:proofErr w:type="spellEnd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=0.747</w:t>
            </w:r>
          </w:p>
        </w:tc>
        <w:tc>
          <w:tcPr>
            <w:tcW w:w="2325" w:type="dxa"/>
          </w:tcPr>
          <w:p w14:paraId="6F6CF85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</w:tr>
      <w:tr w:rsidR="007E5EDC" w14:paraId="3A7BBDA1" w14:textId="77777777" w:rsidTr="00D9294B">
        <w:trPr>
          <w:jc w:val="center"/>
        </w:trPr>
        <w:tc>
          <w:tcPr>
            <w:tcW w:w="1536" w:type="dxa"/>
          </w:tcPr>
          <w:p w14:paraId="77313B8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Fan et al. (2026b) [29]</w:t>
            </w:r>
          </w:p>
        </w:tc>
        <w:tc>
          <w:tcPr>
            <w:tcW w:w="1148" w:type="dxa"/>
          </w:tcPr>
          <w:p w14:paraId="36C48DB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Logistic regression</w:t>
            </w:r>
          </w:p>
        </w:tc>
        <w:tc>
          <w:tcPr>
            <w:tcW w:w="4100" w:type="dxa"/>
          </w:tcPr>
          <w:p w14:paraId="2D7E8FC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0.868</w:t>
            </w:r>
          </w:p>
        </w:tc>
        <w:tc>
          <w:tcPr>
            <w:tcW w:w="2178" w:type="dxa"/>
          </w:tcPr>
          <w:p w14:paraId="6B5DE83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  <w:tc>
          <w:tcPr>
            <w:tcW w:w="1485" w:type="dxa"/>
          </w:tcPr>
          <w:p w14:paraId="0CA308B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Brier=0.142</w:t>
            </w:r>
          </w:p>
        </w:tc>
        <w:tc>
          <w:tcPr>
            <w:tcW w:w="2000" w:type="dxa"/>
          </w:tcPr>
          <w:p w14:paraId="6591E98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Acc=0.800; Se=0.615; </w:t>
            </w: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Sp</w:t>
            </w:r>
            <w:proofErr w:type="spellEnd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=0.917; PPV=0.824; NPV=0.791; F1=0.703</w:t>
            </w:r>
          </w:p>
        </w:tc>
        <w:tc>
          <w:tcPr>
            <w:tcW w:w="2325" w:type="dxa"/>
          </w:tcPr>
          <w:p w14:paraId="29B9082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</w:tr>
      <w:tr w:rsidR="007E5EDC" w14:paraId="577104C6" w14:textId="77777777" w:rsidTr="00D9294B">
        <w:trPr>
          <w:jc w:val="center"/>
        </w:trPr>
        <w:tc>
          <w:tcPr>
            <w:tcW w:w="1536" w:type="dxa"/>
          </w:tcPr>
          <w:p w14:paraId="3826991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Fan et al. (2026b) [29]</w:t>
            </w:r>
          </w:p>
        </w:tc>
        <w:tc>
          <w:tcPr>
            <w:tcW w:w="1148" w:type="dxa"/>
          </w:tcPr>
          <w:p w14:paraId="3BCAD0E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Random forest</w:t>
            </w:r>
          </w:p>
        </w:tc>
        <w:tc>
          <w:tcPr>
            <w:tcW w:w="4100" w:type="dxa"/>
          </w:tcPr>
          <w:p w14:paraId="6EBD22C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0.884</w:t>
            </w:r>
          </w:p>
        </w:tc>
        <w:tc>
          <w:tcPr>
            <w:tcW w:w="2178" w:type="dxa"/>
          </w:tcPr>
          <w:p w14:paraId="68ED207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  <w:tc>
          <w:tcPr>
            <w:tcW w:w="1485" w:type="dxa"/>
          </w:tcPr>
          <w:p w14:paraId="6C0330C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Brier=0.135</w:t>
            </w:r>
          </w:p>
        </w:tc>
        <w:tc>
          <w:tcPr>
            <w:tcW w:w="2000" w:type="dxa"/>
          </w:tcPr>
          <w:p w14:paraId="5173EB7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Acc=0.824; Se=0.664; </w:t>
            </w: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Sp</w:t>
            </w:r>
            <w:proofErr w:type="spellEnd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=0.927; PPV=0.852; </w:t>
            </w: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NPV=0.812; F1=0.745</w:t>
            </w:r>
          </w:p>
        </w:tc>
        <w:tc>
          <w:tcPr>
            <w:tcW w:w="2325" w:type="dxa"/>
          </w:tcPr>
          <w:p w14:paraId="671CD05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—</w:t>
            </w:r>
          </w:p>
        </w:tc>
      </w:tr>
      <w:tr w:rsidR="007E5EDC" w14:paraId="0674BBBB" w14:textId="77777777" w:rsidTr="00D9294B">
        <w:trPr>
          <w:jc w:val="center"/>
        </w:trPr>
        <w:tc>
          <w:tcPr>
            <w:tcW w:w="1536" w:type="dxa"/>
          </w:tcPr>
          <w:p w14:paraId="25D10D1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Fan et al. (2026b) [29]</w:t>
            </w:r>
          </w:p>
        </w:tc>
        <w:tc>
          <w:tcPr>
            <w:tcW w:w="1148" w:type="dxa"/>
          </w:tcPr>
          <w:p w14:paraId="5FF06AD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Decision tree</w:t>
            </w:r>
          </w:p>
        </w:tc>
        <w:tc>
          <w:tcPr>
            <w:tcW w:w="4100" w:type="dxa"/>
          </w:tcPr>
          <w:p w14:paraId="2540D15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0.771</w:t>
            </w:r>
          </w:p>
        </w:tc>
        <w:tc>
          <w:tcPr>
            <w:tcW w:w="2178" w:type="dxa"/>
          </w:tcPr>
          <w:p w14:paraId="42ABD8C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  <w:tc>
          <w:tcPr>
            <w:tcW w:w="1485" w:type="dxa"/>
          </w:tcPr>
          <w:p w14:paraId="55A788B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Brier=0.179</w:t>
            </w:r>
          </w:p>
        </w:tc>
        <w:tc>
          <w:tcPr>
            <w:tcW w:w="2000" w:type="dxa"/>
          </w:tcPr>
          <w:p w14:paraId="17354A4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Acc=0.777; Se=0.647; </w:t>
            </w:r>
            <w:proofErr w:type="spellStart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Sp</w:t>
            </w:r>
            <w:proofErr w:type="spellEnd"/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=0.860; PPV=0.748; NPV=0.792; F1=0.692</w:t>
            </w:r>
          </w:p>
        </w:tc>
        <w:tc>
          <w:tcPr>
            <w:tcW w:w="2325" w:type="dxa"/>
          </w:tcPr>
          <w:p w14:paraId="726E245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—</w:t>
            </w:r>
          </w:p>
        </w:tc>
      </w:tr>
    </w:tbl>
    <w:p w14:paraId="4752A94F" w14:textId="77777777" w:rsidR="007E5EDC" w:rsidRDefault="007E5EDC" w:rsidP="007E5EDC">
      <w:pPr>
        <w:suppressLineNumbers/>
        <w:rPr>
          <w:rFonts w:ascii="Times New Roman Regular" w:hAnsi="Times New Roman Regular" w:cs="Times New Roman Regular"/>
          <w:bCs/>
          <w:szCs w:val="24"/>
        </w:rPr>
      </w:pPr>
      <w:r>
        <w:rPr>
          <w:rFonts w:ascii="Times New Roman Regular" w:hAnsi="Times New Roman Regular" w:cs="Times New Roman Regular"/>
          <w:bCs/>
          <w:szCs w:val="24"/>
        </w:rPr>
        <w:t xml:space="preserve">Note: '—' indicates not reported or not performed in the original study; values in parentheses after AUCs are 95% confidence intervals; in the calibration column, values before and after '/' refer to internal and external validation, respectively; Se, sensitivity; </w:t>
      </w:r>
      <w:proofErr w:type="spellStart"/>
      <w:r>
        <w:rPr>
          <w:rFonts w:ascii="Times New Roman Regular" w:hAnsi="Times New Roman Regular" w:cs="Times New Roman Regular"/>
          <w:bCs/>
          <w:szCs w:val="24"/>
        </w:rPr>
        <w:t>Sp</w:t>
      </w:r>
      <w:proofErr w:type="spellEnd"/>
      <w:r>
        <w:rPr>
          <w:rFonts w:ascii="Times New Roman Regular" w:hAnsi="Times New Roman Regular" w:cs="Times New Roman Regular"/>
          <w:bCs/>
          <w:szCs w:val="24"/>
        </w:rPr>
        <w:t>, specificity; PPV, positive predictive value; NPV, negative predictive value; Acc, accuracy; AIC, Akaike information criterion; BIC, Bayesian information criterion; AUC, area under the receiver operating characteristic curve; H-L, Hosmer-</w:t>
      </w:r>
      <w:proofErr w:type="spellStart"/>
      <w:r>
        <w:rPr>
          <w:rFonts w:ascii="Times New Roman Regular" w:hAnsi="Times New Roman Regular" w:cs="Times New Roman Regular"/>
          <w:bCs/>
          <w:szCs w:val="24"/>
        </w:rPr>
        <w:t>Lemeshow</w:t>
      </w:r>
      <w:proofErr w:type="spellEnd"/>
      <w:r>
        <w:rPr>
          <w:rFonts w:ascii="Times New Roman Regular" w:hAnsi="Times New Roman Regular" w:cs="Times New Roman Regular"/>
          <w:bCs/>
          <w:szCs w:val="24"/>
        </w:rPr>
        <w:t>; DCA, decision curve analysis; NRI, net reclassification improvement; IDI, integrated discrimination improvement.</w:t>
      </w:r>
    </w:p>
    <w:p w14:paraId="49361444" w14:textId="77777777" w:rsidR="007E5EDC" w:rsidRDefault="007E5EDC" w:rsidP="007E5EDC">
      <w:pPr>
        <w:suppressLineNumbers/>
        <w:rPr>
          <w:rFonts w:ascii="Times New Roman Regular" w:hAnsi="Times New Roman Regular" w:cs="Times New Roman Regular"/>
          <w:bCs/>
          <w:szCs w:val="24"/>
        </w:rPr>
      </w:pPr>
    </w:p>
    <w:p w14:paraId="3AB44301" w14:textId="77777777" w:rsidR="007E5EDC" w:rsidRDefault="007E5EDC" w:rsidP="007E5EDC">
      <w:pPr>
        <w:suppressLineNumbers/>
        <w:rPr>
          <w:rFonts w:ascii="Times New Roman Regular" w:hAnsi="Times New Roman Regular" w:cs="Times New Roman Regular"/>
          <w:bCs/>
          <w:sz w:val="28"/>
          <w:szCs w:val="28"/>
        </w:rPr>
      </w:pPr>
    </w:p>
    <w:p w14:paraId="307B5016" w14:textId="77777777" w:rsidR="007E5EDC" w:rsidRDefault="007E5EDC" w:rsidP="007E5EDC">
      <w:pPr>
        <w:suppressLineNumbers/>
        <w:rPr>
          <w:rFonts w:ascii="Times New Roman Regular" w:hAnsi="Times New Roman Regular" w:cs="Times New Roman Regular"/>
          <w:bCs/>
          <w:sz w:val="28"/>
          <w:szCs w:val="28"/>
        </w:rPr>
      </w:pPr>
      <w:r>
        <w:rPr>
          <w:rFonts w:ascii="Times New Roman Regular" w:hAnsi="Times New Roman Regular" w:cs="Times New Roman Regular"/>
          <w:bCs/>
          <w:sz w:val="28"/>
          <w:szCs w:val="28"/>
        </w:rPr>
        <w:t>Table 5 Final predictors included in the social frailty prediction models</w:t>
      </w:r>
    </w:p>
    <w:tbl>
      <w:tblPr>
        <w:tblStyle w:val="TableGrid"/>
        <w:tblW w:w="13560" w:type="dxa"/>
        <w:jc w:val="center"/>
        <w:tblLook w:val="04A0" w:firstRow="1" w:lastRow="0" w:firstColumn="1" w:lastColumn="0" w:noHBand="0" w:noVBand="1"/>
      </w:tblPr>
      <w:tblGrid>
        <w:gridCol w:w="2880"/>
        <w:gridCol w:w="1928"/>
        <w:gridCol w:w="8752"/>
      </w:tblGrid>
      <w:tr w:rsidR="007E5EDC" w14:paraId="3FEC8019" w14:textId="77777777" w:rsidTr="00D9294B">
        <w:trPr>
          <w:jc w:val="center"/>
        </w:trPr>
        <w:tc>
          <w:tcPr>
            <w:tcW w:w="2880" w:type="dxa"/>
          </w:tcPr>
          <w:p w14:paraId="05BC23D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Author (year)</w:t>
            </w:r>
          </w:p>
        </w:tc>
        <w:tc>
          <w:tcPr>
            <w:tcW w:w="1928" w:type="dxa"/>
          </w:tcPr>
          <w:p w14:paraId="1DB81D1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No. of predictors</w:t>
            </w:r>
          </w:p>
        </w:tc>
        <w:tc>
          <w:tcPr>
            <w:tcW w:w="8752" w:type="dxa"/>
          </w:tcPr>
          <w:p w14:paraId="3B40CC5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Final predictors</w:t>
            </w:r>
          </w:p>
        </w:tc>
      </w:tr>
      <w:tr w:rsidR="007E5EDC" w14:paraId="0FD0F514" w14:textId="77777777" w:rsidTr="00D9294B">
        <w:trPr>
          <w:jc w:val="center"/>
        </w:trPr>
        <w:tc>
          <w:tcPr>
            <w:tcW w:w="2880" w:type="dxa"/>
          </w:tcPr>
          <w:p w14:paraId="6EFB0C0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Zhang (2025) [21]</w:t>
            </w:r>
          </w:p>
        </w:tc>
        <w:tc>
          <w:tcPr>
            <w:tcW w:w="1928" w:type="dxa"/>
          </w:tcPr>
          <w:p w14:paraId="30097DA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5</w:t>
            </w:r>
          </w:p>
        </w:tc>
        <w:tc>
          <w:tcPr>
            <w:tcW w:w="8752" w:type="dxa"/>
          </w:tcPr>
          <w:p w14:paraId="7726352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Age, self-rated health score, depression, frailty score, social support score</w:t>
            </w:r>
          </w:p>
        </w:tc>
      </w:tr>
      <w:tr w:rsidR="007E5EDC" w14:paraId="5C170435" w14:textId="77777777" w:rsidTr="00D9294B">
        <w:trPr>
          <w:jc w:val="center"/>
        </w:trPr>
        <w:tc>
          <w:tcPr>
            <w:tcW w:w="2880" w:type="dxa"/>
          </w:tcPr>
          <w:p w14:paraId="5E56BBD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Zhou et al. (2026) [22]</w:t>
            </w:r>
          </w:p>
        </w:tc>
        <w:tc>
          <w:tcPr>
            <w:tcW w:w="1928" w:type="dxa"/>
          </w:tcPr>
          <w:p w14:paraId="4070C3B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7</w:t>
            </w:r>
          </w:p>
        </w:tc>
        <w:tc>
          <w:tcPr>
            <w:tcW w:w="8752" w:type="dxa"/>
          </w:tcPr>
          <w:p w14:paraId="41119F3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Glycated haemoglobin, educational level, eHealth literacy, social support, diabetes distress, number of diabetic complications, depressive symptoms</w:t>
            </w:r>
          </w:p>
        </w:tc>
      </w:tr>
      <w:tr w:rsidR="007E5EDC" w14:paraId="5027416D" w14:textId="77777777" w:rsidTr="00D9294B">
        <w:trPr>
          <w:jc w:val="center"/>
        </w:trPr>
        <w:tc>
          <w:tcPr>
            <w:tcW w:w="2880" w:type="dxa"/>
          </w:tcPr>
          <w:p w14:paraId="7A095AA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Wang et al. (2025) [23]</w:t>
            </w:r>
          </w:p>
        </w:tc>
        <w:tc>
          <w:tcPr>
            <w:tcW w:w="1928" w:type="dxa"/>
          </w:tcPr>
          <w:p w14:paraId="53E81DC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5</w:t>
            </w:r>
          </w:p>
        </w:tc>
        <w:tc>
          <w:tcPr>
            <w:tcW w:w="8752" w:type="dxa"/>
          </w:tcPr>
          <w:p w14:paraId="0ACC06A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History of falls in the past year, self-care ability, alexithymia, family care, social support</w:t>
            </w:r>
          </w:p>
        </w:tc>
      </w:tr>
      <w:tr w:rsidR="007E5EDC" w14:paraId="127FDBE5" w14:textId="77777777" w:rsidTr="00D9294B">
        <w:trPr>
          <w:jc w:val="center"/>
        </w:trPr>
        <w:tc>
          <w:tcPr>
            <w:tcW w:w="2880" w:type="dxa"/>
          </w:tcPr>
          <w:p w14:paraId="0D05E4D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Kuo et al. (2019) [24]</w:t>
            </w:r>
          </w:p>
        </w:tc>
        <w:tc>
          <w:tcPr>
            <w:tcW w:w="1928" w:type="dxa"/>
          </w:tcPr>
          <w:p w14:paraId="3629CC3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14</w:t>
            </w:r>
          </w:p>
        </w:tc>
        <w:tc>
          <w:tcPr>
            <w:tcW w:w="8752" w:type="dxa"/>
          </w:tcPr>
          <w:p w14:paraId="7C8B992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Age, sex, BMI, educational level, annual income, living status, marital status, polypharmacy, religious participation, health literacy, comorbidity, physical activity, daily protein intake, depression</w:t>
            </w:r>
          </w:p>
        </w:tc>
      </w:tr>
      <w:tr w:rsidR="007E5EDC" w14:paraId="7A0F57ED" w14:textId="77777777" w:rsidTr="00D9294B">
        <w:trPr>
          <w:jc w:val="center"/>
        </w:trPr>
        <w:tc>
          <w:tcPr>
            <w:tcW w:w="2880" w:type="dxa"/>
          </w:tcPr>
          <w:p w14:paraId="4E23889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Han et al. (2026) [25]</w:t>
            </w:r>
          </w:p>
        </w:tc>
        <w:tc>
          <w:tcPr>
            <w:tcW w:w="1928" w:type="dxa"/>
          </w:tcPr>
          <w:p w14:paraId="443B6BE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7</w:t>
            </w:r>
          </w:p>
        </w:tc>
        <w:tc>
          <w:tcPr>
            <w:tcW w:w="8752" w:type="dxa"/>
          </w:tcPr>
          <w:p w14:paraId="36A8855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Age, educational level, duration of chronic disease, eHealth literacy, satisfaction with community public services, family function, intrinsic capacity</w:t>
            </w:r>
          </w:p>
        </w:tc>
      </w:tr>
      <w:tr w:rsidR="007E5EDC" w14:paraId="7F2380B3" w14:textId="77777777" w:rsidTr="00D9294B">
        <w:trPr>
          <w:jc w:val="center"/>
        </w:trPr>
        <w:tc>
          <w:tcPr>
            <w:tcW w:w="2880" w:type="dxa"/>
          </w:tcPr>
          <w:p w14:paraId="39AD27B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Xian (2023) [26]</w:t>
            </w:r>
          </w:p>
        </w:tc>
        <w:tc>
          <w:tcPr>
            <w:tcW w:w="1928" w:type="dxa"/>
          </w:tcPr>
          <w:p w14:paraId="42D8903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7</w:t>
            </w:r>
          </w:p>
        </w:tc>
        <w:tc>
          <w:tcPr>
            <w:tcW w:w="8752" w:type="dxa"/>
          </w:tcPr>
          <w:p w14:paraId="09222CF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Educational level, marital status, multimorbidity, depressive symptoms, sleep quality, activities of daily living, leisure activity frequency</w:t>
            </w:r>
          </w:p>
        </w:tc>
      </w:tr>
      <w:tr w:rsidR="007E5EDC" w14:paraId="4F3CE96A" w14:textId="77777777" w:rsidTr="00D9294B">
        <w:trPr>
          <w:jc w:val="center"/>
        </w:trPr>
        <w:tc>
          <w:tcPr>
            <w:tcW w:w="2880" w:type="dxa"/>
          </w:tcPr>
          <w:p w14:paraId="100D611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Fan et al. (2026a) [27]</w:t>
            </w:r>
          </w:p>
        </w:tc>
        <w:tc>
          <w:tcPr>
            <w:tcW w:w="1928" w:type="dxa"/>
          </w:tcPr>
          <w:p w14:paraId="6C52982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5</w:t>
            </w:r>
          </w:p>
        </w:tc>
        <w:tc>
          <w:tcPr>
            <w:tcW w:w="8752" w:type="dxa"/>
          </w:tcPr>
          <w:p w14:paraId="37A4FAF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Dialysis vintage, dialysis symptom burden, family function, physical activity, depression</w:t>
            </w:r>
          </w:p>
        </w:tc>
      </w:tr>
      <w:tr w:rsidR="007E5EDC" w14:paraId="23CFBBA1" w14:textId="77777777" w:rsidTr="00D9294B">
        <w:trPr>
          <w:jc w:val="center"/>
        </w:trPr>
        <w:tc>
          <w:tcPr>
            <w:tcW w:w="2880" w:type="dxa"/>
          </w:tcPr>
          <w:p w14:paraId="6ED361D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Feng et al. (2026) [28]</w:t>
            </w:r>
          </w:p>
        </w:tc>
        <w:tc>
          <w:tcPr>
            <w:tcW w:w="1928" w:type="dxa"/>
          </w:tcPr>
          <w:p w14:paraId="3E5E841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8</w:t>
            </w:r>
          </w:p>
        </w:tc>
        <w:tc>
          <w:tcPr>
            <w:tcW w:w="8752" w:type="dxa"/>
          </w:tcPr>
          <w:p w14:paraId="4AFE961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Age, educational level, marital status, employment before retirement, hobbies, performance status, sleep quality, depression</w:t>
            </w:r>
          </w:p>
        </w:tc>
      </w:tr>
      <w:tr w:rsidR="007E5EDC" w14:paraId="6FAB5DE3" w14:textId="77777777" w:rsidTr="00D9294B">
        <w:trPr>
          <w:jc w:val="center"/>
        </w:trPr>
        <w:tc>
          <w:tcPr>
            <w:tcW w:w="2880" w:type="dxa"/>
          </w:tcPr>
          <w:p w14:paraId="735DE4D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Fan et al. (2026b) [29]</w:t>
            </w:r>
          </w:p>
        </w:tc>
        <w:tc>
          <w:tcPr>
            <w:tcW w:w="1928" w:type="dxa"/>
          </w:tcPr>
          <w:p w14:paraId="742094F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5</w:t>
            </w:r>
          </w:p>
        </w:tc>
        <w:tc>
          <w:tcPr>
            <w:tcW w:w="8752" w:type="dxa"/>
          </w:tcPr>
          <w:p w14:paraId="20FEF28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Living arrangement; dialysis vintage; depressive symptoms; dialysis symptom burden; family function</w:t>
            </w:r>
          </w:p>
        </w:tc>
      </w:tr>
    </w:tbl>
    <w:p w14:paraId="1C3DD1CA" w14:textId="77777777" w:rsidR="007E5EDC" w:rsidRDefault="007E5EDC" w:rsidP="007E5EDC">
      <w:pPr>
        <w:suppressLineNumbers/>
        <w:rPr>
          <w:rFonts w:ascii="Times New Roman Regular" w:hAnsi="Times New Roman Regular" w:cs="Times New Roman Regular"/>
          <w:bCs/>
          <w:szCs w:val="24"/>
        </w:rPr>
      </w:pPr>
    </w:p>
    <w:p w14:paraId="0AA603D5" w14:textId="77777777" w:rsidR="007E5EDC" w:rsidRDefault="007E5EDC" w:rsidP="007E5EDC">
      <w:pPr>
        <w:suppressLineNumbers/>
        <w:rPr>
          <w:rFonts w:ascii="Times New Roman Regular" w:hAnsi="Times New Roman Regular" w:cs="Times New Roman Regular"/>
          <w:bCs/>
          <w:szCs w:val="24"/>
        </w:rPr>
      </w:pPr>
      <w:r>
        <w:rPr>
          <w:rFonts w:ascii="Times New Roman Regular" w:hAnsi="Times New Roman Regular" w:cs="Times New Roman Regular"/>
          <w:bCs/>
          <w:sz w:val="28"/>
          <w:szCs w:val="28"/>
        </w:rPr>
        <w:t>Table 6 Risk of bias and applicability assessment of the included models (PROBAST)</w:t>
      </w:r>
    </w:p>
    <w:tbl>
      <w:tblPr>
        <w:tblStyle w:val="TableGrid"/>
        <w:tblW w:w="14430" w:type="dxa"/>
        <w:jc w:val="center"/>
        <w:tblLayout w:type="fixed"/>
        <w:tblLook w:val="04A0" w:firstRow="1" w:lastRow="0" w:firstColumn="1" w:lastColumn="0" w:noHBand="0" w:noVBand="1"/>
      </w:tblPr>
      <w:tblGrid>
        <w:gridCol w:w="948"/>
        <w:gridCol w:w="1070"/>
        <w:gridCol w:w="1124"/>
        <w:gridCol w:w="1155"/>
        <w:gridCol w:w="1064"/>
        <w:gridCol w:w="1026"/>
        <w:gridCol w:w="1502"/>
        <w:gridCol w:w="1502"/>
        <w:gridCol w:w="1122"/>
        <w:gridCol w:w="1545"/>
        <w:gridCol w:w="2372"/>
      </w:tblGrid>
      <w:tr w:rsidR="007E5EDC" w14:paraId="5DF91DB1" w14:textId="77777777" w:rsidTr="00D9294B">
        <w:trPr>
          <w:trHeight w:val="383"/>
          <w:jc w:val="center"/>
        </w:trPr>
        <w:tc>
          <w:tcPr>
            <w:tcW w:w="948" w:type="dxa"/>
            <w:vMerge w:val="restart"/>
          </w:tcPr>
          <w:p w14:paraId="1DEDC6D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Author (year)</w:t>
            </w:r>
          </w:p>
        </w:tc>
        <w:tc>
          <w:tcPr>
            <w:tcW w:w="1070" w:type="dxa"/>
            <w:vMerge w:val="restart"/>
          </w:tcPr>
          <w:p w14:paraId="45F2E6E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No. of models</w:t>
            </w:r>
          </w:p>
        </w:tc>
        <w:tc>
          <w:tcPr>
            <w:tcW w:w="4369" w:type="dxa"/>
            <w:gridSpan w:val="4"/>
          </w:tcPr>
          <w:p w14:paraId="128FEA02" w14:textId="77777777" w:rsidR="007E5EDC" w:rsidRDefault="007E5EDC" w:rsidP="00D9294B">
            <w:pPr>
              <w:jc w:val="center"/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Risk of bias</w:t>
            </w:r>
          </w:p>
        </w:tc>
        <w:tc>
          <w:tcPr>
            <w:tcW w:w="4126" w:type="dxa"/>
            <w:gridSpan w:val="3"/>
          </w:tcPr>
          <w:p w14:paraId="3610FEE8" w14:textId="77777777" w:rsidR="007E5EDC" w:rsidRDefault="007E5EDC" w:rsidP="00D9294B">
            <w:pPr>
              <w:jc w:val="center"/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Applicability</w:t>
            </w:r>
          </w:p>
        </w:tc>
        <w:tc>
          <w:tcPr>
            <w:tcW w:w="1545" w:type="dxa"/>
            <w:vMerge w:val="restart"/>
          </w:tcPr>
          <w:p w14:paraId="450FDC4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Overall risk of bias</w:t>
            </w:r>
          </w:p>
        </w:tc>
        <w:tc>
          <w:tcPr>
            <w:tcW w:w="2372" w:type="dxa"/>
            <w:vMerge w:val="restart"/>
          </w:tcPr>
          <w:p w14:paraId="0C81788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Overall applicability</w:t>
            </w:r>
          </w:p>
        </w:tc>
      </w:tr>
      <w:tr w:rsidR="007E5EDC" w14:paraId="565F36C5" w14:textId="77777777" w:rsidTr="00D9294B">
        <w:trPr>
          <w:trHeight w:val="1098"/>
          <w:jc w:val="center"/>
        </w:trPr>
        <w:tc>
          <w:tcPr>
            <w:tcW w:w="948" w:type="dxa"/>
            <w:vMerge/>
          </w:tcPr>
          <w:p w14:paraId="38F502EA" w14:textId="77777777" w:rsidR="007E5EDC" w:rsidRDefault="007E5EDC" w:rsidP="00D9294B"/>
        </w:tc>
        <w:tc>
          <w:tcPr>
            <w:tcW w:w="1070" w:type="dxa"/>
            <w:vMerge/>
          </w:tcPr>
          <w:p w14:paraId="2A7DAF43" w14:textId="77777777" w:rsidR="007E5EDC" w:rsidRDefault="007E5EDC" w:rsidP="00D9294B"/>
        </w:tc>
        <w:tc>
          <w:tcPr>
            <w:tcW w:w="1124" w:type="dxa"/>
          </w:tcPr>
          <w:p w14:paraId="32B9788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Participants</w:t>
            </w:r>
          </w:p>
        </w:tc>
        <w:tc>
          <w:tcPr>
            <w:tcW w:w="1155" w:type="dxa"/>
          </w:tcPr>
          <w:p w14:paraId="1051AF0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Predictors</w:t>
            </w:r>
          </w:p>
        </w:tc>
        <w:tc>
          <w:tcPr>
            <w:tcW w:w="1064" w:type="dxa"/>
          </w:tcPr>
          <w:p w14:paraId="28B5880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Outcome</w:t>
            </w:r>
          </w:p>
        </w:tc>
        <w:tc>
          <w:tcPr>
            <w:tcW w:w="1026" w:type="dxa"/>
          </w:tcPr>
          <w:p w14:paraId="5730232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Analysis</w:t>
            </w:r>
          </w:p>
        </w:tc>
        <w:tc>
          <w:tcPr>
            <w:tcW w:w="1502" w:type="dxa"/>
          </w:tcPr>
          <w:p w14:paraId="6CC141E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Participants</w:t>
            </w:r>
          </w:p>
        </w:tc>
        <w:tc>
          <w:tcPr>
            <w:tcW w:w="1502" w:type="dxa"/>
          </w:tcPr>
          <w:p w14:paraId="4D09C6E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Predictors</w:t>
            </w:r>
          </w:p>
        </w:tc>
        <w:tc>
          <w:tcPr>
            <w:tcW w:w="1122" w:type="dxa"/>
          </w:tcPr>
          <w:p w14:paraId="0B208E8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Outcome</w:t>
            </w:r>
          </w:p>
        </w:tc>
        <w:tc>
          <w:tcPr>
            <w:tcW w:w="1545" w:type="dxa"/>
            <w:vMerge/>
          </w:tcPr>
          <w:p w14:paraId="7B084EC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</w:p>
        </w:tc>
        <w:tc>
          <w:tcPr>
            <w:tcW w:w="2372" w:type="dxa"/>
            <w:vMerge/>
          </w:tcPr>
          <w:p w14:paraId="08C3B0B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</w:p>
        </w:tc>
      </w:tr>
      <w:tr w:rsidR="007E5EDC" w14:paraId="63B4E88B" w14:textId="77777777" w:rsidTr="00D9294B">
        <w:trPr>
          <w:jc w:val="center"/>
        </w:trPr>
        <w:tc>
          <w:tcPr>
            <w:tcW w:w="948" w:type="dxa"/>
          </w:tcPr>
          <w:p w14:paraId="1DC4F8B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Zhang (2025) [21]</w:t>
            </w:r>
          </w:p>
        </w:tc>
        <w:tc>
          <w:tcPr>
            <w:tcW w:w="1070" w:type="dxa"/>
          </w:tcPr>
          <w:p w14:paraId="2885389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</w:t>
            </w:r>
          </w:p>
        </w:tc>
        <w:tc>
          <w:tcPr>
            <w:tcW w:w="1124" w:type="dxa"/>
          </w:tcPr>
          <w:p w14:paraId="19D93C6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155" w:type="dxa"/>
          </w:tcPr>
          <w:p w14:paraId="3DEFB1D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064" w:type="dxa"/>
          </w:tcPr>
          <w:p w14:paraId="2F87085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026" w:type="dxa"/>
          </w:tcPr>
          <w:p w14:paraId="6A58772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−</w:t>
            </w:r>
          </w:p>
        </w:tc>
        <w:tc>
          <w:tcPr>
            <w:tcW w:w="1502" w:type="dxa"/>
          </w:tcPr>
          <w:p w14:paraId="5EE0FDA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502" w:type="dxa"/>
          </w:tcPr>
          <w:p w14:paraId="787080C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122" w:type="dxa"/>
          </w:tcPr>
          <w:p w14:paraId="0F09559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545" w:type="dxa"/>
          </w:tcPr>
          <w:p w14:paraId="74247E8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−</w:t>
            </w:r>
          </w:p>
        </w:tc>
        <w:tc>
          <w:tcPr>
            <w:tcW w:w="2372" w:type="dxa"/>
          </w:tcPr>
          <w:p w14:paraId="37160B1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</w:tr>
      <w:tr w:rsidR="007E5EDC" w14:paraId="0349F8F9" w14:textId="77777777" w:rsidTr="00D9294B">
        <w:trPr>
          <w:jc w:val="center"/>
        </w:trPr>
        <w:tc>
          <w:tcPr>
            <w:tcW w:w="948" w:type="dxa"/>
          </w:tcPr>
          <w:p w14:paraId="2E49FF4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Zhou et al. (2026) [22]</w:t>
            </w:r>
          </w:p>
        </w:tc>
        <w:tc>
          <w:tcPr>
            <w:tcW w:w="1070" w:type="dxa"/>
          </w:tcPr>
          <w:p w14:paraId="67D2238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3</w:t>
            </w:r>
          </w:p>
        </w:tc>
        <w:tc>
          <w:tcPr>
            <w:tcW w:w="1124" w:type="dxa"/>
          </w:tcPr>
          <w:p w14:paraId="03A9AD6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155" w:type="dxa"/>
          </w:tcPr>
          <w:p w14:paraId="1F6D836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064" w:type="dxa"/>
          </w:tcPr>
          <w:p w14:paraId="475721D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026" w:type="dxa"/>
          </w:tcPr>
          <w:p w14:paraId="74B9447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−</w:t>
            </w:r>
          </w:p>
        </w:tc>
        <w:tc>
          <w:tcPr>
            <w:tcW w:w="1502" w:type="dxa"/>
          </w:tcPr>
          <w:p w14:paraId="0285490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502" w:type="dxa"/>
          </w:tcPr>
          <w:p w14:paraId="4E4F4E4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122" w:type="dxa"/>
          </w:tcPr>
          <w:p w14:paraId="537C127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545" w:type="dxa"/>
          </w:tcPr>
          <w:p w14:paraId="59DCD03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−</w:t>
            </w:r>
          </w:p>
        </w:tc>
        <w:tc>
          <w:tcPr>
            <w:tcW w:w="2372" w:type="dxa"/>
          </w:tcPr>
          <w:p w14:paraId="072DCE2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</w:tr>
      <w:tr w:rsidR="007E5EDC" w14:paraId="03BA11B5" w14:textId="77777777" w:rsidTr="00D9294B">
        <w:trPr>
          <w:jc w:val="center"/>
        </w:trPr>
        <w:tc>
          <w:tcPr>
            <w:tcW w:w="948" w:type="dxa"/>
          </w:tcPr>
          <w:p w14:paraId="47E11D4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Wang et al. </w:t>
            </w: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(2025) [23]</w:t>
            </w:r>
          </w:p>
        </w:tc>
        <w:tc>
          <w:tcPr>
            <w:tcW w:w="1070" w:type="dxa"/>
          </w:tcPr>
          <w:p w14:paraId="222D2F2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124" w:type="dxa"/>
          </w:tcPr>
          <w:p w14:paraId="3A77779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155" w:type="dxa"/>
          </w:tcPr>
          <w:p w14:paraId="14329B3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064" w:type="dxa"/>
          </w:tcPr>
          <w:p w14:paraId="747966E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026" w:type="dxa"/>
          </w:tcPr>
          <w:p w14:paraId="706D37D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−</w:t>
            </w:r>
          </w:p>
        </w:tc>
        <w:tc>
          <w:tcPr>
            <w:tcW w:w="1502" w:type="dxa"/>
          </w:tcPr>
          <w:p w14:paraId="2903BBB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502" w:type="dxa"/>
          </w:tcPr>
          <w:p w14:paraId="0F457DD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122" w:type="dxa"/>
          </w:tcPr>
          <w:p w14:paraId="77F9DF4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545" w:type="dxa"/>
          </w:tcPr>
          <w:p w14:paraId="47F75A6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−</w:t>
            </w:r>
          </w:p>
        </w:tc>
        <w:tc>
          <w:tcPr>
            <w:tcW w:w="2372" w:type="dxa"/>
          </w:tcPr>
          <w:p w14:paraId="77549A8D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</w:tr>
      <w:tr w:rsidR="007E5EDC" w14:paraId="7CBFF3A6" w14:textId="77777777" w:rsidTr="00D9294B">
        <w:trPr>
          <w:jc w:val="center"/>
        </w:trPr>
        <w:tc>
          <w:tcPr>
            <w:tcW w:w="948" w:type="dxa"/>
          </w:tcPr>
          <w:p w14:paraId="1445F13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Kuo et al. (2019) [24]</w:t>
            </w:r>
          </w:p>
        </w:tc>
        <w:tc>
          <w:tcPr>
            <w:tcW w:w="1070" w:type="dxa"/>
          </w:tcPr>
          <w:p w14:paraId="5A44C2F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6</w:t>
            </w:r>
          </w:p>
        </w:tc>
        <w:tc>
          <w:tcPr>
            <w:tcW w:w="1124" w:type="dxa"/>
          </w:tcPr>
          <w:p w14:paraId="1AF8901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155" w:type="dxa"/>
          </w:tcPr>
          <w:p w14:paraId="4CBBAC3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064" w:type="dxa"/>
          </w:tcPr>
          <w:p w14:paraId="56C9FA1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026" w:type="dxa"/>
          </w:tcPr>
          <w:p w14:paraId="1D8B3A5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−</w:t>
            </w:r>
          </w:p>
        </w:tc>
        <w:tc>
          <w:tcPr>
            <w:tcW w:w="1502" w:type="dxa"/>
          </w:tcPr>
          <w:p w14:paraId="0149DF1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502" w:type="dxa"/>
          </w:tcPr>
          <w:p w14:paraId="0A014EA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122" w:type="dxa"/>
          </w:tcPr>
          <w:p w14:paraId="6F3229F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545" w:type="dxa"/>
          </w:tcPr>
          <w:p w14:paraId="7280C5E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−</w:t>
            </w:r>
          </w:p>
        </w:tc>
        <w:tc>
          <w:tcPr>
            <w:tcW w:w="2372" w:type="dxa"/>
          </w:tcPr>
          <w:p w14:paraId="513516F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</w:tr>
      <w:tr w:rsidR="007E5EDC" w14:paraId="12F5C9C0" w14:textId="77777777" w:rsidTr="00D9294B">
        <w:trPr>
          <w:jc w:val="center"/>
        </w:trPr>
        <w:tc>
          <w:tcPr>
            <w:tcW w:w="948" w:type="dxa"/>
          </w:tcPr>
          <w:p w14:paraId="6AF31E4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Han et al. (2026) [25]</w:t>
            </w:r>
          </w:p>
        </w:tc>
        <w:tc>
          <w:tcPr>
            <w:tcW w:w="1070" w:type="dxa"/>
          </w:tcPr>
          <w:p w14:paraId="0BDDE7C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</w:t>
            </w:r>
          </w:p>
        </w:tc>
        <w:tc>
          <w:tcPr>
            <w:tcW w:w="1124" w:type="dxa"/>
          </w:tcPr>
          <w:p w14:paraId="5B12AB7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155" w:type="dxa"/>
          </w:tcPr>
          <w:p w14:paraId="7648E81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064" w:type="dxa"/>
          </w:tcPr>
          <w:p w14:paraId="65FBCD5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026" w:type="dxa"/>
          </w:tcPr>
          <w:p w14:paraId="08012B2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−</w:t>
            </w:r>
          </w:p>
        </w:tc>
        <w:tc>
          <w:tcPr>
            <w:tcW w:w="1502" w:type="dxa"/>
          </w:tcPr>
          <w:p w14:paraId="2FE0E82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502" w:type="dxa"/>
          </w:tcPr>
          <w:p w14:paraId="6238205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122" w:type="dxa"/>
          </w:tcPr>
          <w:p w14:paraId="1E3CF46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545" w:type="dxa"/>
          </w:tcPr>
          <w:p w14:paraId="237914F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−</w:t>
            </w:r>
          </w:p>
        </w:tc>
        <w:tc>
          <w:tcPr>
            <w:tcW w:w="2372" w:type="dxa"/>
          </w:tcPr>
          <w:p w14:paraId="77264A1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</w:tr>
      <w:tr w:rsidR="007E5EDC" w14:paraId="14E53A62" w14:textId="77777777" w:rsidTr="00D9294B">
        <w:trPr>
          <w:jc w:val="center"/>
        </w:trPr>
        <w:tc>
          <w:tcPr>
            <w:tcW w:w="948" w:type="dxa"/>
          </w:tcPr>
          <w:p w14:paraId="7A49796D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Xian (2023) [26]</w:t>
            </w:r>
          </w:p>
        </w:tc>
        <w:tc>
          <w:tcPr>
            <w:tcW w:w="1070" w:type="dxa"/>
          </w:tcPr>
          <w:p w14:paraId="6FC4510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</w:t>
            </w:r>
          </w:p>
        </w:tc>
        <w:tc>
          <w:tcPr>
            <w:tcW w:w="1124" w:type="dxa"/>
          </w:tcPr>
          <w:p w14:paraId="5965018F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155" w:type="dxa"/>
          </w:tcPr>
          <w:p w14:paraId="12F9B593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064" w:type="dxa"/>
          </w:tcPr>
          <w:p w14:paraId="10B78E1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026" w:type="dxa"/>
          </w:tcPr>
          <w:p w14:paraId="6CD2B8F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−</w:t>
            </w:r>
          </w:p>
        </w:tc>
        <w:tc>
          <w:tcPr>
            <w:tcW w:w="1502" w:type="dxa"/>
          </w:tcPr>
          <w:p w14:paraId="6B0F70F6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502" w:type="dxa"/>
          </w:tcPr>
          <w:p w14:paraId="4A6D904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122" w:type="dxa"/>
          </w:tcPr>
          <w:p w14:paraId="6844672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545" w:type="dxa"/>
          </w:tcPr>
          <w:p w14:paraId="2335427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−</w:t>
            </w:r>
          </w:p>
        </w:tc>
        <w:tc>
          <w:tcPr>
            <w:tcW w:w="2372" w:type="dxa"/>
          </w:tcPr>
          <w:p w14:paraId="4D42C0A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</w:tr>
      <w:tr w:rsidR="007E5EDC" w14:paraId="2549DC3B" w14:textId="77777777" w:rsidTr="00D9294B">
        <w:trPr>
          <w:jc w:val="center"/>
        </w:trPr>
        <w:tc>
          <w:tcPr>
            <w:tcW w:w="948" w:type="dxa"/>
          </w:tcPr>
          <w:p w14:paraId="38FD7D2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 xml:space="preserve">Fan et al. </w:t>
            </w: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(2026a) [27]</w:t>
            </w:r>
          </w:p>
        </w:tc>
        <w:tc>
          <w:tcPr>
            <w:tcW w:w="1070" w:type="dxa"/>
          </w:tcPr>
          <w:p w14:paraId="6FB7C3F8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124" w:type="dxa"/>
          </w:tcPr>
          <w:p w14:paraId="77E5E9C4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155" w:type="dxa"/>
          </w:tcPr>
          <w:p w14:paraId="4A45FAF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064" w:type="dxa"/>
          </w:tcPr>
          <w:p w14:paraId="79B9ABD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026" w:type="dxa"/>
          </w:tcPr>
          <w:p w14:paraId="63018C2D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−</w:t>
            </w:r>
          </w:p>
        </w:tc>
        <w:tc>
          <w:tcPr>
            <w:tcW w:w="1502" w:type="dxa"/>
          </w:tcPr>
          <w:p w14:paraId="4D6B81F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502" w:type="dxa"/>
          </w:tcPr>
          <w:p w14:paraId="30660F5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122" w:type="dxa"/>
          </w:tcPr>
          <w:p w14:paraId="5666527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545" w:type="dxa"/>
          </w:tcPr>
          <w:p w14:paraId="2E75A5D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−</w:t>
            </w:r>
          </w:p>
        </w:tc>
        <w:tc>
          <w:tcPr>
            <w:tcW w:w="2372" w:type="dxa"/>
          </w:tcPr>
          <w:p w14:paraId="726845C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</w:tr>
      <w:tr w:rsidR="007E5EDC" w14:paraId="6D36B1F2" w14:textId="77777777" w:rsidTr="00D9294B">
        <w:trPr>
          <w:jc w:val="center"/>
        </w:trPr>
        <w:tc>
          <w:tcPr>
            <w:tcW w:w="948" w:type="dxa"/>
          </w:tcPr>
          <w:p w14:paraId="1D927D8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Feng et al. (2026) [28]</w:t>
            </w:r>
          </w:p>
        </w:tc>
        <w:tc>
          <w:tcPr>
            <w:tcW w:w="1070" w:type="dxa"/>
          </w:tcPr>
          <w:p w14:paraId="17E58EF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1</w:t>
            </w:r>
          </w:p>
        </w:tc>
        <w:tc>
          <w:tcPr>
            <w:tcW w:w="1124" w:type="dxa"/>
          </w:tcPr>
          <w:p w14:paraId="5CA9553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155" w:type="dxa"/>
          </w:tcPr>
          <w:p w14:paraId="673627F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064" w:type="dxa"/>
          </w:tcPr>
          <w:p w14:paraId="23A92A6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026" w:type="dxa"/>
          </w:tcPr>
          <w:p w14:paraId="2BCC267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−</w:t>
            </w:r>
          </w:p>
        </w:tc>
        <w:tc>
          <w:tcPr>
            <w:tcW w:w="1502" w:type="dxa"/>
          </w:tcPr>
          <w:p w14:paraId="51ED029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502" w:type="dxa"/>
          </w:tcPr>
          <w:p w14:paraId="0C8946C1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122" w:type="dxa"/>
          </w:tcPr>
          <w:p w14:paraId="096C232C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545" w:type="dxa"/>
          </w:tcPr>
          <w:p w14:paraId="148E064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−</w:t>
            </w:r>
          </w:p>
        </w:tc>
        <w:tc>
          <w:tcPr>
            <w:tcW w:w="2372" w:type="dxa"/>
          </w:tcPr>
          <w:p w14:paraId="2793D3F2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</w:tr>
      <w:tr w:rsidR="007E5EDC" w14:paraId="5125AF7B" w14:textId="77777777" w:rsidTr="00D9294B">
        <w:trPr>
          <w:jc w:val="center"/>
        </w:trPr>
        <w:tc>
          <w:tcPr>
            <w:tcW w:w="948" w:type="dxa"/>
          </w:tcPr>
          <w:p w14:paraId="6655723E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Fan et al. (2026b) [29]</w:t>
            </w:r>
          </w:p>
        </w:tc>
        <w:tc>
          <w:tcPr>
            <w:tcW w:w="1070" w:type="dxa"/>
          </w:tcPr>
          <w:p w14:paraId="770CB2ED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3</w:t>
            </w:r>
          </w:p>
        </w:tc>
        <w:tc>
          <w:tcPr>
            <w:tcW w:w="1124" w:type="dxa"/>
          </w:tcPr>
          <w:p w14:paraId="3D391859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155" w:type="dxa"/>
          </w:tcPr>
          <w:p w14:paraId="5267D7B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064" w:type="dxa"/>
          </w:tcPr>
          <w:p w14:paraId="74CA4E1B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026" w:type="dxa"/>
          </w:tcPr>
          <w:p w14:paraId="1023537A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−</w:t>
            </w:r>
          </w:p>
        </w:tc>
        <w:tc>
          <w:tcPr>
            <w:tcW w:w="1502" w:type="dxa"/>
          </w:tcPr>
          <w:p w14:paraId="364637ED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502" w:type="dxa"/>
          </w:tcPr>
          <w:p w14:paraId="3EDC5950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122" w:type="dxa"/>
          </w:tcPr>
          <w:p w14:paraId="265B2037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  <w:tc>
          <w:tcPr>
            <w:tcW w:w="1545" w:type="dxa"/>
          </w:tcPr>
          <w:p w14:paraId="10EFA2C5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−</w:t>
            </w:r>
          </w:p>
        </w:tc>
        <w:tc>
          <w:tcPr>
            <w:tcW w:w="2372" w:type="dxa"/>
          </w:tcPr>
          <w:p w14:paraId="5444094D" w14:textId="77777777" w:rsidR="007E5EDC" w:rsidRDefault="007E5EDC" w:rsidP="00D9294B">
            <w:pPr>
              <w:rPr>
                <w:rFonts w:ascii="Times New Roman Regular" w:hAnsi="Times New Roman Regular" w:cs="Times New Roman Regular"/>
                <w:bCs/>
                <w:szCs w:val="24"/>
              </w:rPr>
            </w:pPr>
            <w:r>
              <w:rPr>
                <w:rFonts w:ascii="Times New Roman Regular" w:hAnsi="Times New Roman Regular" w:cs="Times New Roman Regular"/>
                <w:bCs/>
                <w:sz w:val="24"/>
                <w:szCs w:val="24"/>
              </w:rPr>
              <w:t>+</w:t>
            </w:r>
          </w:p>
        </w:tc>
      </w:tr>
    </w:tbl>
    <w:p w14:paraId="2DC9D9BA" w14:textId="77777777" w:rsidR="007E5EDC" w:rsidRDefault="007E5EDC" w:rsidP="007E5EDC">
      <w:pPr>
        <w:suppressLineNumbers/>
        <w:spacing w:line="240" w:lineRule="auto"/>
        <w:rPr>
          <w:rFonts w:ascii="Times New Roman Regular" w:hAnsi="Times New Roman Regular" w:cs="Times New Roman Regular"/>
          <w:bCs/>
          <w:szCs w:val="24"/>
        </w:rPr>
      </w:pPr>
      <w:r>
        <w:rPr>
          <w:rFonts w:ascii="Times New Roman Regular" w:hAnsi="Times New Roman Regular" w:cs="Times New Roman Regular"/>
          <w:bCs/>
          <w:szCs w:val="24"/>
        </w:rPr>
        <w:t xml:space="preserve">Note: PROBAST, Prediction model Risk </w:t>
      </w:r>
      <w:proofErr w:type="gramStart"/>
      <w:r>
        <w:rPr>
          <w:rFonts w:ascii="Times New Roman Regular" w:hAnsi="Times New Roman Regular" w:cs="Times New Roman Regular"/>
          <w:bCs/>
          <w:szCs w:val="24"/>
        </w:rPr>
        <w:t>Of</w:t>
      </w:r>
      <w:proofErr w:type="gramEnd"/>
      <w:r>
        <w:rPr>
          <w:rFonts w:ascii="Times New Roman Regular" w:hAnsi="Times New Roman Regular" w:cs="Times New Roman Regular"/>
          <w:bCs/>
          <w:szCs w:val="24"/>
        </w:rPr>
        <w:t xml:space="preserve"> Bias </w:t>
      </w:r>
      <w:proofErr w:type="spellStart"/>
      <w:r>
        <w:rPr>
          <w:rFonts w:ascii="Times New Roman Regular" w:hAnsi="Times New Roman Regular" w:cs="Times New Roman Regular"/>
          <w:bCs/>
          <w:szCs w:val="24"/>
        </w:rPr>
        <w:t>ASsessment</w:t>
      </w:r>
      <w:proofErr w:type="spellEnd"/>
      <w:r>
        <w:rPr>
          <w:rFonts w:ascii="Times New Roman Regular" w:hAnsi="Times New Roman Regular" w:cs="Times New Roman Regular"/>
          <w:bCs/>
          <w:szCs w:val="24"/>
        </w:rPr>
        <w:t xml:space="preserve"> Tool; '+', low risk of bias / low applicability concern; '−', high risk of bias / high applicability concern.</w:t>
      </w:r>
    </w:p>
    <w:p w14:paraId="78A9EC98" w14:textId="77777777" w:rsidR="005B16F5" w:rsidRDefault="005B16F5"/>
    <w:sectPr w:rsidR="005B16F5" w:rsidSect="007E5ED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Times New Roman Regular">
    <w:altName w:val="Times New Roman"/>
    <w:charset w:val="00"/>
    <w:family w:val="auto"/>
    <w:pitch w:val="default"/>
    <w:sig w:usb0="E0002AEF" w:usb1="C0007841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EDC"/>
    <w:rsid w:val="000A4D5A"/>
    <w:rsid w:val="00251082"/>
    <w:rsid w:val="005B16F5"/>
    <w:rsid w:val="00777074"/>
    <w:rsid w:val="007C18D4"/>
    <w:rsid w:val="007E5EDC"/>
    <w:rsid w:val="00976316"/>
    <w:rsid w:val="00A444D6"/>
    <w:rsid w:val="00AF17F3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558CB"/>
  <w15:chartTrackingRefBased/>
  <w15:docId w15:val="{844B18E8-4DC2-4ED3-A7E9-392764BC6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EDC"/>
    <w:pPr>
      <w:spacing w:after="0" w:line="480" w:lineRule="auto"/>
    </w:pPr>
    <w:rPr>
      <w:rFonts w:ascii="Times New Roman" w:eastAsia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5ED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ED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ED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ED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ED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ED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ED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ED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ED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E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E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E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E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E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E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E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E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E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5E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E5E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ED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E5E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5EDC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E5E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5EDC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E5E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E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E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5ED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7E5EDC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IN"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1908</Words>
  <Characters>10876</Characters>
  <Application>Microsoft Office Word</Application>
  <DocSecurity>0</DocSecurity>
  <Lines>90</Lines>
  <Paragraphs>25</Paragraphs>
  <ScaleCrop>false</ScaleCrop>
  <Company/>
  <LinksUpToDate>false</LinksUpToDate>
  <CharactersWithSpaces>12759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2026-10-04T06:47:00Z</dcterms:created>
  <dcterms:modified xsi:type="dcterms:W3CDTF">2026-10-04T06:47:00Z</dcterms:modified>
</cp:coreProperties>
</file>