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7EBD9" w14:textId="75C9C7D8" w:rsidR="000931F6" w:rsidRDefault="000931F6" w:rsidP="000931F6">
      <w:pPr>
        <w:rPr>
          <w:rFonts w:ascii="Arial" w:hAnsi="Arial" w:cs="Arial"/>
          <w:sz w:val="22"/>
          <w:szCs w:val="22"/>
        </w:rPr>
      </w:pPr>
      <w:r>
        <w:rPr>
          <w:rFonts w:ascii="Arial" w:hAnsi="Arial" w:cs="Arial"/>
          <w:noProof/>
          <w:sz w:val="22"/>
          <w:szCs w:val="22"/>
        </w:rPr>
        <w:drawing>
          <wp:inline distT="0" distB="0" distL="0" distR="0" wp14:anchorId="30779A50" wp14:editId="233392A2">
            <wp:extent cx="5274310" cy="5583555"/>
            <wp:effectExtent l="0" t="0" r="2540" b="0"/>
            <wp:docPr id="9277407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40759" name="图片 9277407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5583555"/>
                    </a:xfrm>
                    <a:prstGeom prst="rect">
                      <a:avLst/>
                    </a:prstGeom>
                  </pic:spPr>
                </pic:pic>
              </a:graphicData>
            </a:graphic>
          </wp:inline>
        </w:drawing>
      </w:r>
    </w:p>
    <w:p w14:paraId="6153FFBB" w14:textId="23A5B2EF" w:rsidR="000931F6" w:rsidRDefault="000931F6" w:rsidP="000931F6">
      <w:pPr>
        <w:spacing w:after="0" w:line="240" w:lineRule="auto"/>
        <w:jc w:val="both"/>
        <w:rPr>
          <w:rFonts w:ascii="Arial" w:hAnsi="Arial" w:cs="Arial"/>
          <w:sz w:val="21"/>
          <w:szCs w:val="21"/>
        </w:rPr>
      </w:pPr>
      <w:r w:rsidRPr="000931F6">
        <w:rPr>
          <w:rFonts w:ascii="Arial" w:hAnsi="Arial" w:cs="Arial"/>
          <w:b/>
          <w:bCs w:val="0"/>
          <w:sz w:val="21"/>
          <w:szCs w:val="21"/>
        </w:rPr>
        <w:t>Supplementary Figure 1</w:t>
      </w:r>
      <w:r w:rsidRPr="000931F6">
        <w:rPr>
          <w:rFonts w:ascii="Arial" w:hAnsi="Arial" w:cs="Arial"/>
          <w:sz w:val="21"/>
          <w:szCs w:val="21"/>
        </w:rPr>
        <w:t>. Weighted Gene Co-Expression Network Analysis (WGCNA), Gene Set Enrichment Analysis (GSEA), and Immune Correlation of PTTG1 in UCEC. (A) Sample clustering dendrogram for outlier detection. Hierarchical clustering was performed on the integrated GEO datasets (GSE17025, GSE115810, GSE63678) to identify and remove outlier samples prior to WGCNA. The y-axis represents the height (Euclidean distance) of the clustering tree. (B) Scatter plot of module membership versus gene significance for the cancer trait. The strong positive correlation (</w:t>
      </w:r>
      <w:proofErr w:type="spellStart"/>
      <w:r w:rsidRPr="000931F6">
        <w:rPr>
          <w:rFonts w:ascii="Arial" w:hAnsi="Arial" w:cs="Arial"/>
          <w:sz w:val="21"/>
          <w:szCs w:val="21"/>
        </w:rPr>
        <w:t>cor</w:t>
      </w:r>
      <w:proofErr w:type="spellEnd"/>
      <w:r w:rsidRPr="000931F6">
        <w:rPr>
          <w:rFonts w:ascii="Arial" w:hAnsi="Arial" w:cs="Arial"/>
          <w:sz w:val="21"/>
          <w:szCs w:val="21"/>
        </w:rPr>
        <w:t xml:space="preserve"> = 0.76, p = 1.2 × 10</w:t>
      </w:r>
      <w:r w:rsidRPr="000931F6">
        <w:rPr>
          <w:rFonts w:ascii="Cambria Math" w:hAnsi="Cambria Math" w:cs="Cambria Math"/>
          <w:sz w:val="21"/>
          <w:szCs w:val="21"/>
        </w:rPr>
        <w:t>⁻</w:t>
      </w:r>
      <w:r w:rsidRPr="000931F6">
        <w:rPr>
          <w:rFonts w:ascii="Arial" w:hAnsi="Arial" w:cs="Arial"/>
          <w:sz w:val="21"/>
          <w:szCs w:val="21"/>
        </w:rPr>
        <w:t xml:space="preserve">¹⁹³) demonstrates that genes with high module membership are significantly associated with cancer status, validating the relevance of the identified key module. (C) GSEA of pathways enriched in the PTTG1-high expression group. Five hallmark pathways—cell cycle, DNA replication, mismatch repair, proteasome, and spliceosome—were significantly activated. (D) Spearman correlation heatmap between five core genes (PTTG1, PNP, CDC20, S100A11, KLF5) and 22 infiltrating immune cell subtypes. Red and blue lines denote positive and negative correlations, respectively. PTTG1 exhibited significant positive correlations with multiple immunosuppressive cell populations. (E) GSEA of pathways </w:t>
      </w:r>
      <w:r w:rsidRPr="000931F6">
        <w:rPr>
          <w:rFonts w:ascii="Arial" w:hAnsi="Arial" w:cs="Arial"/>
          <w:sz w:val="21"/>
          <w:szCs w:val="21"/>
        </w:rPr>
        <w:lastRenderedPageBreak/>
        <w:t>enriched in the PTTG1-low expression group. Five immune-related pathways—complement and coagulation cascades, cytokine-cytokine receptor interaction, graft-versus-host disease, hematopoietic cell lineage, and intestinal immune network for IgA production—were significantly enriched.</w:t>
      </w:r>
    </w:p>
    <w:p w14:paraId="3695E147" w14:textId="77777777" w:rsidR="000931F6" w:rsidRPr="000931F6" w:rsidRDefault="000931F6" w:rsidP="000931F6">
      <w:pPr>
        <w:spacing w:after="0" w:line="240" w:lineRule="auto"/>
        <w:jc w:val="both"/>
        <w:rPr>
          <w:rFonts w:ascii="Arial" w:hAnsi="Arial" w:cs="Arial" w:hint="eastAsia"/>
          <w:sz w:val="21"/>
          <w:szCs w:val="21"/>
        </w:rPr>
      </w:pPr>
    </w:p>
    <w:p w14:paraId="6048E659" w14:textId="2EF041E7" w:rsidR="00601213" w:rsidRDefault="000931F6" w:rsidP="000931F6">
      <w:pPr>
        <w:rPr>
          <w:rFonts w:ascii="Arial" w:hAnsi="Arial" w:cs="Arial"/>
          <w:sz w:val="22"/>
          <w:szCs w:val="22"/>
        </w:rPr>
      </w:pPr>
      <w:r>
        <w:rPr>
          <w:rFonts w:ascii="Arial" w:hAnsi="Arial" w:cs="Arial"/>
          <w:noProof/>
          <w:sz w:val="22"/>
          <w:szCs w:val="22"/>
        </w:rPr>
        <w:drawing>
          <wp:inline distT="0" distB="0" distL="0" distR="0" wp14:anchorId="2D6B18D4" wp14:editId="40F21C46">
            <wp:extent cx="5274310" cy="5040630"/>
            <wp:effectExtent l="0" t="0" r="2540" b="7620"/>
            <wp:docPr id="19051761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76173" name="图片 190517617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5040630"/>
                    </a:xfrm>
                    <a:prstGeom prst="rect">
                      <a:avLst/>
                    </a:prstGeom>
                  </pic:spPr>
                </pic:pic>
              </a:graphicData>
            </a:graphic>
          </wp:inline>
        </w:drawing>
      </w:r>
    </w:p>
    <w:p w14:paraId="3D484F77" w14:textId="0C7F0C39" w:rsidR="000931F6" w:rsidRDefault="000931F6" w:rsidP="000931F6">
      <w:pPr>
        <w:spacing w:line="240" w:lineRule="auto"/>
        <w:jc w:val="both"/>
        <w:rPr>
          <w:rFonts w:ascii="Arial" w:hAnsi="Arial" w:cs="Arial"/>
          <w:sz w:val="22"/>
          <w:szCs w:val="22"/>
        </w:rPr>
      </w:pPr>
      <w:r w:rsidRPr="000931F6">
        <w:rPr>
          <w:rFonts w:ascii="Arial" w:hAnsi="Arial" w:cs="Arial"/>
          <w:b/>
          <w:bCs w:val="0"/>
          <w:sz w:val="22"/>
          <w:szCs w:val="22"/>
        </w:rPr>
        <w:t>Supplementary Figure 2</w:t>
      </w:r>
      <w:r w:rsidRPr="000931F6">
        <w:rPr>
          <w:rFonts w:ascii="Arial" w:hAnsi="Arial" w:cs="Arial"/>
          <w:sz w:val="22"/>
          <w:szCs w:val="22"/>
        </w:rPr>
        <w:t>. Differential expression and progression-free interval (PFI) survival analysis of the five machine-learning-derived core genes in UCEC. (A–F) Paired differential expression analysis of PTTG1 (A), PNP (B), CDC20 (C), S100A11 (D), and KLF5 (E) in matched tumor and adjacent normal endometrial tissues from the TCGA-UCEC cohort (n = 23 pairs). PTTG1, PNP, and CDC20 were robustly upregulated in tumor tissues (****p &lt; 0.0001), and S100A11 was moderately upregulated (***p &lt; 0.001), whereas KLF5 showed no significant difference. (F–I) Kaplan-Meier PFI survival curves stratified by median expression of the four other core genes: PNP (F), CDC20 (G), S100A11 (H), and KLF5 (I). CDC20 (panel G) exhibited a statistically significant association with worse PFI (p = 0.003). PNP (p = 0.350), S100A11 (p = 0.279), and KLF5 (p = 0.463) showed no significant prognostic value for progression-free interval. The PFI analysis for PTTG1 is presented in the main manuscript.</w:t>
      </w:r>
    </w:p>
    <w:p w14:paraId="48DDECBB" w14:textId="77777777" w:rsidR="000931F6" w:rsidRDefault="000931F6" w:rsidP="000931F6">
      <w:pPr>
        <w:spacing w:line="240" w:lineRule="auto"/>
        <w:jc w:val="both"/>
        <w:rPr>
          <w:rFonts w:ascii="Arial" w:hAnsi="Arial" w:cs="Arial"/>
          <w:sz w:val="22"/>
          <w:szCs w:val="22"/>
        </w:rPr>
      </w:pPr>
    </w:p>
    <w:p w14:paraId="1D3069D1" w14:textId="22B8E1BF" w:rsidR="000931F6" w:rsidRDefault="000931F6" w:rsidP="000931F6">
      <w:pPr>
        <w:spacing w:line="240" w:lineRule="auto"/>
        <w:jc w:val="both"/>
        <w:rPr>
          <w:rFonts w:ascii="Arial" w:hAnsi="Arial" w:cs="Arial"/>
          <w:sz w:val="22"/>
          <w:szCs w:val="22"/>
        </w:rPr>
      </w:pPr>
      <w:r>
        <w:rPr>
          <w:rFonts w:ascii="Arial" w:hAnsi="Arial" w:cs="Arial"/>
          <w:noProof/>
          <w:sz w:val="22"/>
          <w:szCs w:val="22"/>
        </w:rPr>
        <w:drawing>
          <wp:inline distT="0" distB="0" distL="0" distR="0" wp14:anchorId="2E791CDA" wp14:editId="30C2EC5B">
            <wp:extent cx="5274310" cy="4102735"/>
            <wp:effectExtent l="0" t="0" r="2540" b="0"/>
            <wp:docPr id="8522192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19204" name="图片 8522192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102735"/>
                    </a:xfrm>
                    <a:prstGeom prst="rect">
                      <a:avLst/>
                    </a:prstGeom>
                  </pic:spPr>
                </pic:pic>
              </a:graphicData>
            </a:graphic>
          </wp:inline>
        </w:drawing>
      </w:r>
    </w:p>
    <w:p w14:paraId="7855E2C5" w14:textId="0785BD7C" w:rsidR="000931F6" w:rsidRPr="000931F6" w:rsidRDefault="000931F6" w:rsidP="000931F6">
      <w:pPr>
        <w:spacing w:after="0" w:line="240" w:lineRule="auto"/>
        <w:jc w:val="both"/>
        <w:rPr>
          <w:rFonts w:ascii="Arial" w:hAnsi="Arial" w:cs="Arial" w:hint="eastAsia"/>
          <w:sz w:val="22"/>
          <w:szCs w:val="22"/>
        </w:rPr>
      </w:pPr>
      <w:r w:rsidRPr="000931F6">
        <w:rPr>
          <w:rFonts w:ascii="Arial" w:hAnsi="Arial" w:cs="Arial"/>
          <w:b/>
          <w:bCs w:val="0"/>
          <w:sz w:val="22"/>
          <w:szCs w:val="22"/>
        </w:rPr>
        <w:t>Supplementary Figure 3</w:t>
      </w:r>
      <w:r w:rsidRPr="000931F6">
        <w:rPr>
          <w:rFonts w:ascii="Arial" w:hAnsi="Arial" w:cs="Arial"/>
          <w:sz w:val="22"/>
          <w:szCs w:val="22"/>
        </w:rPr>
        <w:t xml:space="preserve">. Quality control, identification of highly variable genes, cell-type annotation, and intercellular communication network analysis of UCEC single-cell transcriptomes. (A) t-SNE visualization of doublet detection. Cells colored by Singlet (cyan) or Doublet (pink). Doublets were computationally identified and removed prior to downstream analyses to minimize technical artifacts. (B) Violin plots of quality control metrics across all retained cells. Four distributions are shown: </w:t>
      </w:r>
      <w:proofErr w:type="spellStart"/>
      <w:r w:rsidRPr="000931F6">
        <w:rPr>
          <w:rFonts w:ascii="Arial" w:hAnsi="Arial" w:cs="Arial"/>
          <w:sz w:val="22"/>
          <w:szCs w:val="22"/>
        </w:rPr>
        <w:t>nFeature_RNA</w:t>
      </w:r>
      <w:proofErr w:type="spellEnd"/>
      <w:r w:rsidRPr="000931F6">
        <w:rPr>
          <w:rFonts w:ascii="Arial" w:hAnsi="Arial" w:cs="Arial"/>
          <w:sz w:val="22"/>
          <w:szCs w:val="22"/>
        </w:rPr>
        <w:t xml:space="preserve"> (number of detected genes per cell), </w:t>
      </w:r>
      <w:proofErr w:type="spellStart"/>
      <w:r w:rsidRPr="000931F6">
        <w:rPr>
          <w:rFonts w:ascii="Arial" w:hAnsi="Arial" w:cs="Arial"/>
          <w:sz w:val="22"/>
          <w:szCs w:val="22"/>
        </w:rPr>
        <w:t>nCount_RNA</w:t>
      </w:r>
      <w:proofErr w:type="spellEnd"/>
      <w:r w:rsidRPr="000931F6">
        <w:rPr>
          <w:rFonts w:ascii="Arial" w:hAnsi="Arial" w:cs="Arial"/>
          <w:sz w:val="22"/>
          <w:szCs w:val="22"/>
        </w:rPr>
        <w:t xml:space="preserve"> (total UMI counts per cell), percent.mt (percentage of mitochondrial gene expression), and </w:t>
      </w:r>
      <w:proofErr w:type="spellStart"/>
      <w:proofErr w:type="gramStart"/>
      <w:r w:rsidRPr="000931F6">
        <w:rPr>
          <w:rFonts w:ascii="Arial" w:hAnsi="Arial" w:cs="Arial"/>
          <w:sz w:val="22"/>
          <w:szCs w:val="22"/>
        </w:rPr>
        <w:t>percent.HB</w:t>
      </w:r>
      <w:proofErr w:type="spellEnd"/>
      <w:proofErr w:type="gramEnd"/>
      <w:r w:rsidRPr="000931F6">
        <w:rPr>
          <w:rFonts w:ascii="Arial" w:hAnsi="Arial" w:cs="Arial"/>
          <w:sz w:val="22"/>
          <w:szCs w:val="22"/>
        </w:rPr>
        <w:t xml:space="preserve"> (percentage of erythrocyte gene expression). Cells with extreme values were filtered out (</w:t>
      </w:r>
      <w:proofErr w:type="spellStart"/>
      <w:r w:rsidRPr="000931F6">
        <w:rPr>
          <w:rFonts w:ascii="Arial" w:hAnsi="Arial" w:cs="Arial"/>
          <w:sz w:val="22"/>
          <w:szCs w:val="22"/>
        </w:rPr>
        <w:t>nFeature_RNA</w:t>
      </w:r>
      <w:proofErr w:type="spellEnd"/>
      <w:r w:rsidRPr="000931F6">
        <w:rPr>
          <w:rFonts w:ascii="Arial" w:hAnsi="Arial" w:cs="Arial"/>
          <w:sz w:val="22"/>
          <w:szCs w:val="22"/>
        </w:rPr>
        <w:t xml:space="preserve">: 300–6,000; </w:t>
      </w:r>
      <w:proofErr w:type="spellStart"/>
      <w:r w:rsidRPr="000931F6">
        <w:rPr>
          <w:rFonts w:ascii="Arial" w:hAnsi="Arial" w:cs="Arial"/>
          <w:sz w:val="22"/>
          <w:szCs w:val="22"/>
        </w:rPr>
        <w:t>nCount_RNA</w:t>
      </w:r>
      <w:proofErr w:type="spellEnd"/>
      <w:r w:rsidRPr="000931F6">
        <w:rPr>
          <w:rFonts w:ascii="Arial" w:hAnsi="Arial" w:cs="Arial"/>
          <w:sz w:val="22"/>
          <w:szCs w:val="22"/>
        </w:rPr>
        <w:t xml:space="preserve">: 1,000–40,000; percent.mt &lt; 20%; </w:t>
      </w:r>
      <w:proofErr w:type="spellStart"/>
      <w:proofErr w:type="gramStart"/>
      <w:r w:rsidRPr="000931F6">
        <w:rPr>
          <w:rFonts w:ascii="Arial" w:hAnsi="Arial" w:cs="Arial"/>
          <w:sz w:val="22"/>
          <w:szCs w:val="22"/>
        </w:rPr>
        <w:t>percent.HB</w:t>
      </w:r>
      <w:proofErr w:type="spellEnd"/>
      <w:proofErr w:type="gramEnd"/>
      <w:r w:rsidRPr="000931F6">
        <w:rPr>
          <w:rFonts w:ascii="Arial" w:hAnsi="Arial" w:cs="Arial"/>
          <w:sz w:val="22"/>
          <w:szCs w:val="22"/>
        </w:rPr>
        <w:t xml:space="preserve"> &lt; 1%). (C) Identification of highly variable genes. The top 3,000 highly variable genes (red dots) are plotted as residual variance against the geometric mean of expression. The 10 most variable genes are labeled (HSPA1A, HBB, CCL3, IL1B, CCL4, WFDC2, MMP3, CXCL8, HLA-DRA, TFF3). (D) Dot plot of representative marker genes expression across the annotated cell types. Dot size reflects the percentage of cells expressing each gene; color intensity reflects average expression level. Key markers: EPCAM, KRT8, CDH1 (epithelial cells); CD3D/E/G, CD8A, CD2 (T cells); MS4A1, CD79A, IGKC (B cells); CD163, C1QA, LYZ (macrophages); NKG7, GNLY (NK cells); TPSAB1, CPA3, KIT (mast cells); COL1A1, OGN, APOD (fibroblasts); CLDN5, VWF, PECAM1 (endothelial cells). (E–F) Intercellular communication networks inferred by </w:t>
      </w:r>
      <w:proofErr w:type="spellStart"/>
      <w:r w:rsidRPr="000931F6">
        <w:rPr>
          <w:rFonts w:ascii="Arial" w:hAnsi="Arial" w:cs="Arial"/>
          <w:sz w:val="22"/>
          <w:szCs w:val="22"/>
        </w:rPr>
        <w:t>CellChat</w:t>
      </w:r>
      <w:proofErr w:type="spellEnd"/>
      <w:r w:rsidRPr="000931F6">
        <w:rPr>
          <w:rFonts w:ascii="Arial" w:hAnsi="Arial" w:cs="Arial"/>
          <w:sz w:val="22"/>
          <w:szCs w:val="22"/>
        </w:rPr>
        <w:t xml:space="preserve">. Node size is proportional to the number or strength of </w:t>
      </w:r>
      <w:r w:rsidRPr="000931F6">
        <w:rPr>
          <w:rFonts w:ascii="Arial" w:hAnsi="Arial" w:cs="Arial"/>
          <w:sz w:val="22"/>
          <w:szCs w:val="22"/>
        </w:rPr>
        <w:lastRenderedPageBreak/>
        <w:t>incoming and outgoing interactions. (E) Interaction count</w:t>
      </w:r>
      <w:r>
        <w:rPr>
          <w:rFonts w:ascii="Arial" w:hAnsi="Arial" w:cs="Arial" w:hint="eastAsia"/>
          <w:sz w:val="22"/>
          <w:szCs w:val="22"/>
        </w:rPr>
        <w:t>s</w:t>
      </w:r>
      <w:r w:rsidRPr="000931F6">
        <w:rPr>
          <w:rFonts w:ascii="Arial" w:hAnsi="Arial" w:cs="Arial"/>
          <w:sz w:val="22"/>
          <w:szCs w:val="22"/>
        </w:rPr>
        <w:t xml:space="preserve"> and (F) interaction </w:t>
      </w:r>
      <w:proofErr w:type="spellStart"/>
      <w:r w:rsidRPr="000931F6">
        <w:rPr>
          <w:rFonts w:ascii="Arial" w:hAnsi="Arial" w:cs="Arial"/>
          <w:sz w:val="22"/>
          <w:szCs w:val="22"/>
        </w:rPr>
        <w:t>strength</w:t>
      </w:r>
      <w:r>
        <w:rPr>
          <w:rFonts w:ascii="Arial" w:hAnsi="Arial" w:cs="Arial" w:hint="eastAsia"/>
          <w:sz w:val="22"/>
          <w:szCs w:val="22"/>
        </w:rPr>
        <w:t>es</w:t>
      </w:r>
      <w:proofErr w:type="spellEnd"/>
      <w:r w:rsidRPr="000931F6">
        <w:rPr>
          <w:rFonts w:ascii="Arial" w:hAnsi="Arial" w:cs="Arial"/>
          <w:sz w:val="22"/>
          <w:szCs w:val="22"/>
        </w:rPr>
        <w:t xml:space="preserve"> among the eight cell types. Fibroblasts emerged as the central communication hub, exhibiting the largest number and strongest interactions with all other cell types, particularly with macrophages, epithelial cells, and T cells.</w:t>
      </w:r>
    </w:p>
    <w:p w14:paraId="46E8C540" w14:textId="77777777" w:rsidR="000931F6" w:rsidRPr="000931F6" w:rsidRDefault="000931F6" w:rsidP="000931F6">
      <w:pPr>
        <w:rPr>
          <w:rFonts w:ascii="Arial" w:hAnsi="Arial" w:cs="Arial"/>
          <w:sz w:val="22"/>
          <w:szCs w:val="22"/>
        </w:rPr>
      </w:pPr>
    </w:p>
    <w:sectPr w:rsidR="000931F6" w:rsidRPr="000931F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1F6"/>
    <w:rsid w:val="000931F6"/>
    <w:rsid w:val="004B6EDC"/>
    <w:rsid w:val="00601213"/>
    <w:rsid w:val="008B725F"/>
    <w:rsid w:val="00DA0C30"/>
    <w:rsid w:val="00ED6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1A791"/>
  <w15:chartTrackingRefBased/>
  <w15:docId w15:val="{51221029-21DF-45D0-8539-277C7676C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ajorBidi"/>
        <w:bCs/>
        <w:color w:val="000000" w:themeColor="text1"/>
        <w:sz w:val="24"/>
        <w:szCs w:val="28"/>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931F6"/>
    <w:pPr>
      <w:keepNext/>
      <w:keepLines/>
      <w:spacing w:before="480" w:after="80"/>
      <w:outlineLvl w:val="0"/>
    </w:pPr>
    <w:rPr>
      <w:rFonts w:asciiTheme="majorHAnsi" w:eastAsiaTheme="majorEastAsia" w:hAnsiTheme="majorHAnsi"/>
      <w:color w:val="0F4761" w:themeColor="accent1" w:themeShade="BF"/>
      <w:sz w:val="48"/>
      <w:szCs w:val="48"/>
    </w:rPr>
  </w:style>
  <w:style w:type="paragraph" w:styleId="2">
    <w:name w:val="heading 2"/>
    <w:basedOn w:val="a"/>
    <w:next w:val="a"/>
    <w:link w:val="20"/>
    <w:uiPriority w:val="9"/>
    <w:semiHidden/>
    <w:unhideWhenUsed/>
    <w:qFormat/>
    <w:rsid w:val="000931F6"/>
    <w:pPr>
      <w:keepNext/>
      <w:keepLines/>
      <w:spacing w:before="160" w:after="80"/>
      <w:outlineLvl w:val="1"/>
    </w:pPr>
    <w:rPr>
      <w:rFonts w:asciiTheme="majorHAnsi" w:eastAsiaTheme="majorEastAsia" w:hAnsiTheme="majorHAnsi"/>
      <w:color w:val="0F4761" w:themeColor="accent1" w:themeShade="BF"/>
      <w:sz w:val="40"/>
      <w:szCs w:val="40"/>
    </w:rPr>
  </w:style>
  <w:style w:type="paragraph" w:styleId="3">
    <w:name w:val="heading 3"/>
    <w:basedOn w:val="a"/>
    <w:next w:val="a"/>
    <w:link w:val="30"/>
    <w:uiPriority w:val="9"/>
    <w:semiHidden/>
    <w:unhideWhenUsed/>
    <w:qFormat/>
    <w:rsid w:val="000931F6"/>
    <w:pPr>
      <w:keepNext/>
      <w:keepLines/>
      <w:spacing w:before="160" w:after="80"/>
      <w:outlineLvl w:val="2"/>
    </w:pPr>
    <w:rPr>
      <w:rFonts w:asciiTheme="majorHAnsi" w:eastAsiaTheme="majorEastAsia" w:hAnsiTheme="majorHAnsi"/>
      <w:color w:val="0F4761" w:themeColor="accent1" w:themeShade="BF"/>
      <w:sz w:val="32"/>
      <w:szCs w:val="32"/>
    </w:rPr>
  </w:style>
  <w:style w:type="paragraph" w:styleId="4">
    <w:name w:val="heading 4"/>
    <w:basedOn w:val="a"/>
    <w:next w:val="a"/>
    <w:link w:val="40"/>
    <w:uiPriority w:val="9"/>
    <w:semiHidden/>
    <w:unhideWhenUsed/>
    <w:qFormat/>
    <w:rsid w:val="000931F6"/>
    <w:pPr>
      <w:keepNext/>
      <w:keepLines/>
      <w:spacing w:before="80" w:after="40"/>
      <w:outlineLvl w:val="3"/>
    </w:pPr>
    <w:rPr>
      <w:rFonts w:asciiTheme="minorHAnsi" w:eastAsiaTheme="minorEastAsia" w:hAnsiTheme="minorHAnsi"/>
      <w:color w:val="0F4761" w:themeColor="accent1" w:themeShade="BF"/>
      <w:sz w:val="28"/>
    </w:rPr>
  </w:style>
  <w:style w:type="paragraph" w:styleId="5">
    <w:name w:val="heading 5"/>
    <w:basedOn w:val="a"/>
    <w:next w:val="a"/>
    <w:link w:val="50"/>
    <w:uiPriority w:val="9"/>
    <w:semiHidden/>
    <w:unhideWhenUsed/>
    <w:qFormat/>
    <w:rsid w:val="000931F6"/>
    <w:pPr>
      <w:keepNext/>
      <w:keepLines/>
      <w:spacing w:before="80" w:after="40"/>
      <w:outlineLvl w:val="4"/>
    </w:pPr>
    <w:rPr>
      <w:rFonts w:asciiTheme="minorHAnsi" w:eastAsiaTheme="minorEastAsia" w:hAnsiTheme="minorHAnsi"/>
      <w:color w:val="0F4761" w:themeColor="accent1" w:themeShade="BF"/>
      <w:szCs w:val="24"/>
    </w:rPr>
  </w:style>
  <w:style w:type="paragraph" w:styleId="6">
    <w:name w:val="heading 6"/>
    <w:basedOn w:val="a"/>
    <w:next w:val="a"/>
    <w:link w:val="60"/>
    <w:uiPriority w:val="9"/>
    <w:semiHidden/>
    <w:unhideWhenUsed/>
    <w:qFormat/>
    <w:rsid w:val="000931F6"/>
    <w:pPr>
      <w:keepNext/>
      <w:keepLines/>
      <w:spacing w:before="40" w:after="0"/>
      <w:outlineLvl w:val="5"/>
    </w:pPr>
    <w:rPr>
      <w:rFonts w:asciiTheme="minorHAnsi" w:eastAsiaTheme="minorEastAsia" w:hAnsiTheme="minorHAnsi"/>
      <w:b/>
      <w:color w:val="0F4761" w:themeColor="accent1" w:themeShade="BF"/>
    </w:rPr>
  </w:style>
  <w:style w:type="paragraph" w:styleId="7">
    <w:name w:val="heading 7"/>
    <w:basedOn w:val="a"/>
    <w:next w:val="a"/>
    <w:link w:val="70"/>
    <w:uiPriority w:val="9"/>
    <w:semiHidden/>
    <w:unhideWhenUsed/>
    <w:qFormat/>
    <w:rsid w:val="000931F6"/>
    <w:pPr>
      <w:keepNext/>
      <w:keepLines/>
      <w:spacing w:before="40" w:after="0"/>
      <w:outlineLvl w:val="6"/>
    </w:pPr>
    <w:rPr>
      <w:rFonts w:asciiTheme="minorHAnsi" w:eastAsiaTheme="minorEastAsia" w:hAnsiTheme="minorHAnsi"/>
      <w:b/>
      <w:color w:val="595959" w:themeColor="text1" w:themeTint="A6"/>
    </w:rPr>
  </w:style>
  <w:style w:type="paragraph" w:styleId="8">
    <w:name w:val="heading 8"/>
    <w:basedOn w:val="a"/>
    <w:next w:val="a"/>
    <w:link w:val="80"/>
    <w:uiPriority w:val="9"/>
    <w:semiHidden/>
    <w:unhideWhenUsed/>
    <w:qFormat/>
    <w:rsid w:val="000931F6"/>
    <w:pPr>
      <w:keepNext/>
      <w:keepLines/>
      <w:spacing w:after="0"/>
      <w:outlineLvl w:val="7"/>
    </w:pPr>
    <w:rPr>
      <w:rFonts w:asciiTheme="minorHAnsi" w:eastAsiaTheme="minorEastAsia" w:hAnsiTheme="minorHAnsi"/>
      <w:color w:val="595959" w:themeColor="text1" w:themeTint="A6"/>
    </w:rPr>
  </w:style>
  <w:style w:type="paragraph" w:styleId="9">
    <w:name w:val="heading 9"/>
    <w:basedOn w:val="a"/>
    <w:next w:val="a"/>
    <w:link w:val="90"/>
    <w:uiPriority w:val="9"/>
    <w:semiHidden/>
    <w:unhideWhenUsed/>
    <w:qFormat/>
    <w:rsid w:val="000931F6"/>
    <w:pPr>
      <w:keepNext/>
      <w:keepLines/>
      <w:spacing w:after="0"/>
      <w:outlineLvl w:val="8"/>
    </w:pPr>
    <w:rPr>
      <w:rFonts w:asciiTheme="minorHAnsi" w:eastAsiaTheme="majorEastAsia" w:hAnsiTheme="minorHAns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931F6"/>
    <w:rPr>
      <w:rFonts w:asciiTheme="majorHAnsi" w:eastAsiaTheme="majorEastAsia" w:hAnsiTheme="majorHAnsi"/>
      <w:color w:val="0F4761" w:themeColor="accent1" w:themeShade="BF"/>
      <w:sz w:val="48"/>
      <w:szCs w:val="48"/>
    </w:rPr>
  </w:style>
  <w:style w:type="character" w:customStyle="1" w:styleId="20">
    <w:name w:val="标题 2 字符"/>
    <w:basedOn w:val="a0"/>
    <w:link w:val="2"/>
    <w:uiPriority w:val="9"/>
    <w:semiHidden/>
    <w:rsid w:val="000931F6"/>
    <w:rPr>
      <w:rFonts w:asciiTheme="majorHAnsi" w:eastAsiaTheme="majorEastAsia" w:hAnsiTheme="majorHAnsi"/>
      <w:color w:val="0F4761" w:themeColor="accent1" w:themeShade="BF"/>
      <w:sz w:val="40"/>
      <w:szCs w:val="40"/>
    </w:rPr>
  </w:style>
  <w:style w:type="character" w:customStyle="1" w:styleId="30">
    <w:name w:val="标题 3 字符"/>
    <w:basedOn w:val="a0"/>
    <w:link w:val="3"/>
    <w:uiPriority w:val="9"/>
    <w:semiHidden/>
    <w:rsid w:val="000931F6"/>
    <w:rPr>
      <w:rFonts w:asciiTheme="majorHAnsi" w:eastAsiaTheme="majorEastAsia" w:hAnsiTheme="majorHAnsi"/>
      <w:color w:val="0F4761" w:themeColor="accent1" w:themeShade="BF"/>
      <w:sz w:val="32"/>
      <w:szCs w:val="32"/>
    </w:rPr>
  </w:style>
  <w:style w:type="character" w:customStyle="1" w:styleId="40">
    <w:name w:val="标题 4 字符"/>
    <w:basedOn w:val="a0"/>
    <w:link w:val="4"/>
    <w:uiPriority w:val="9"/>
    <w:semiHidden/>
    <w:rsid w:val="000931F6"/>
    <w:rPr>
      <w:rFonts w:asciiTheme="minorHAnsi" w:eastAsiaTheme="minorEastAsia" w:hAnsiTheme="minorHAnsi"/>
      <w:color w:val="0F4761" w:themeColor="accent1" w:themeShade="BF"/>
      <w:sz w:val="28"/>
    </w:rPr>
  </w:style>
  <w:style w:type="character" w:customStyle="1" w:styleId="50">
    <w:name w:val="标题 5 字符"/>
    <w:basedOn w:val="a0"/>
    <w:link w:val="5"/>
    <w:uiPriority w:val="9"/>
    <w:semiHidden/>
    <w:rsid w:val="000931F6"/>
    <w:rPr>
      <w:rFonts w:asciiTheme="minorHAnsi" w:eastAsiaTheme="minorEastAsia" w:hAnsiTheme="minorHAnsi"/>
      <w:color w:val="0F4761" w:themeColor="accent1" w:themeShade="BF"/>
      <w:szCs w:val="24"/>
    </w:rPr>
  </w:style>
  <w:style w:type="character" w:customStyle="1" w:styleId="60">
    <w:name w:val="标题 6 字符"/>
    <w:basedOn w:val="a0"/>
    <w:link w:val="6"/>
    <w:uiPriority w:val="9"/>
    <w:semiHidden/>
    <w:rsid w:val="000931F6"/>
    <w:rPr>
      <w:rFonts w:asciiTheme="minorHAnsi" w:eastAsiaTheme="minorEastAsia" w:hAnsiTheme="minorHAnsi"/>
      <w:b/>
      <w:color w:val="0F4761" w:themeColor="accent1" w:themeShade="BF"/>
    </w:rPr>
  </w:style>
  <w:style w:type="character" w:customStyle="1" w:styleId="70">
    <w:name w:val="标题 7 字符"/>
    <w:basedOn w:val="a0"/>
    <w:link w:val="7"/>
    <w:uiPriority w:val="9"/>
    <w:semiHidden/>
    <w:rsid w:val="000931F6"/>
    <w:rPr>
      <w:rFonts w:asciiTheme="minorHAnsi" w:eastAsiaTheme="minorEastAsia" w:hAnsiTheme="minorHAnsi"/>
      <w:b/>
      <w:color w:val="595959" w:themeColor="text1" w:themeTint="A6"/>
    </w:rPr>
  </w:style>
  <w:style w:type="character" w:customStyle="1" w:styleId="80">
    <w:name w:val="标题 8 字符"/>
    <w:basedOn w:val="a0"/>
    <w:link w:val="8"/>
    <w:uiPriority w:val="9"/>
    <w:semiHidden/>
    <w:rsid w:val="000931F6"/>
    <w:rPr>
      <w:rFonts w:asciiTheme="minorHAnsi" w:eastAsiaTheme="minorEastAsia" w:hAnsiTheme="minorHAnsi"/>
      <w:color w:val="595959" w:themeColor="text1" w:themeTint="A6"/>
    </w:rPr>
  </w:style>
  <w:style w:type="character" w:customStyle="1" w:styleId="90">
    <w:name w:val="标题 9 字符"/>
    <w:basedOn w:val="a0"/>
    <w:link w:val="9"/>
    <w:uiPriority w:val="9"/>
    <w:semiHidden/>
    <w:rsid w:val="000931F6"/>
    <w:rPr>
      <w:rFonts w:asciiTheme="minorHAnsi" w:eastAsiaTheme="majorEastAsia" w:hAnsiTheme="minorHAnsi"/>
      <w:color w:val="595959" w:themeColor="text1" w:themeTint="A6"/>
    </w:rPr>
  </w:style>
  <w:style w:type="paragraph" w:styleId="a3">
    <w:name w:val="Title"/>
    <w:basedOn w:val="a"/>
    <w:next w:val="a"/>
    <w:link w:val="a4"/>
    <w:uiPriority w:val="10"/>
    <w:qFormat/>
    <w:rsid w:val="000931F6"/>
    <w:pPr>
      <w:spacing w:after="80" w:line="240" w:lineRule="auto"/>
      <w:contextualSpacing/>
      <w:jc w:val="center"/>
    </w:pPr>
    <w:rPr>
      <w:rFonts w:asciiTheme="majorHAnsi" w:eastAsiaTheme="majorEastAsia" w:hAnsiTheme="majorHAnsi"/>
      <w:color w:val="auto"/>
      <w:spacing w:val="-10"/>
      <w:kern w:val="28"/>
      <w:sz w:val="56"/>
      <w:szCs w:val="56"/>
    </w:rPr>
  </w:style>
  <w:style w:type="character" w:customStyle="1" w:styleId="a4">
    <w:name w:val="标题 字符"/>
    <w:basedOn w:val="a0"/>
    <w:link w:val="a3"/>
    <w:uiPriority w:val="10"/>
    <w:rsid w:val="000931F6"/>
    <w:rPr>
      <w:rFonts w:asciiTheme="majorHAnsi" w:eastAsiaTheme="majorEastAsia" w:hAnsiTheme="majorHAnsi"/>
      <w:color w:val="auto"/>
      <w:spacing w:val="-10"/>
      <w:kern w:val="28"/>
      <w:sz w:val="56"/>
      <w:szCs w:val="56"/>
    </w:rPr>
  </w:style>
  <w:style w:type="paragraph" w:styleId="a5">
    <w:name w:val="Subtitle"/>
    <w:basedOn w:val="a"/>
    <w:next w:val="a"/>
    <w:link w:val="a6"/>
    <w:uiPriority w:val="11"/>
    <w:qFormat/>
    <w:rsid w:val="000931F6"/>
    <w:pPr>
      <w:numPr>
        <w:ilvl w:val="1"/>
      </w:numPr>
      <w:jc w:val="center"/>
    </w:pPr>
    <w:rPr>
      <w:rFonts w:asciiTheme="majorHAnsi" w:eastAsiaTheme="majorEastAsia" w:hAnsiTheme="majorHAnsi"/>
      <w:color w:val="595959" w:themeColor="text1" w:themeTint="A6"/>
      <w:spacing w:val="15"/>
      <w:sz w:val="28"/>
    </w:rPr>
  </w:style>
  <w:style w:type="character" w:customStyle="1" w:styleId="a6">
    <w:name w:val="副标题 字符"/>
    <w:basedOn w:val="a0"/>
    <w:link w:val="a5"/>
    <w:uiPriority w:val="11"/>
    <w:rsid w:val="000931F6"/>
    <w:rPr>
      <w:rFonts w:asciiTheme="majorHAnsi" w:eastAsiaTheme="majorEastAsia" w:hAnsiTheme="majorHAnsi"/>
      <w:color w:val="595959" w:themeColor="text1" w:themeTint="A6"/>
      <w:spacing w:val="15"/>
      <w:sz w:val="28"/>
    </w:rPr>
  </w:style>
  <w:style w:type="paragraph" w:styleId="a7">
    <w:name w:val="Quote"/>
    <w:basedOn w:val="a"/>
    <w:next w:val="a"/>
    <w:link w:val="a8"/>
    <w:uiPriority w:val="29"/>
    <w:qFormat/>
    <w:rsid w:val="000931F6"/>
    <w:pPr>
      <w:spacing w:before="160"/>
      <w:jc w:val="center"/>
    </w:pPr>
    <w:rPr>
      <w:i/>
      <w:iCs/>
      <w:color w:val="404040" w:themeColor="text1" w:themeTint="BF"/>
    </w:rPr>
  </w:style>
  <w:style w:type="character" w:customStyle="1" w:styleId="a8">
    <w:name w:val="引用 字符"/>
    <w:basedOn w:val="a0"/>
    <w:link w:val="a7"/>
    <w:uiPriority w:val="29"/>
    <w:rsid w:val="000931F6"/>
    <w:rPr>
      <w:i/>
      <w:iCs/>
      <w:color w:val="404040" w:themeColor="text1" w:themeTint="BF"/>
    </w:rPr>
  </w:style>
  <w:style w:type="paragraph" w:styleId="a9">
    <w:name w:val="List Paragraph"/>
    <w:basedOn w:val="a"/>
    <w:uiPriority w:val="34"/>
    <w:qFormat/>
    <w:rsid w:val="000931F6"/>
    <w:pPr>
      <w:ind w:left="720"/>
      <w:contextualSpacing/>
    </w:pPr>
  </w:style>
  <w:style w:type="character" w:styleId="aa">
    <w:name w:val="Intense Emphasis"/>
    <w:basedOn w:val="a0"/>
    <w:uiPriority w:val="21"/>
    <w:qFormat/>
    <w:rsid w:val="000931F6"/>
    <w:rPr>
      <w:i/>
      <w:iCs/>
      <w:color w:val="0F4761" w:themeColor="accent1" w:themeShade="BF"/>
    </w:rPr>
  </w:style>
  <w:style w:type="paragraph" w:styleId="ab">
    <w:name w:val="Intense Quote"/>
    <w:basedOn w:val="a"/>
    <w:next w:val="a"/>
    <w:link w:val="ac"/>
    <w:uiPriority w:val="30"/>
    <w:qFormat/>
    <w:rsid w:val="00093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931F6"/>
    <w:rPr>
      <w:i/>
      <w:iCs/>
      <w:color w:val="0F4761" w:themeColor="accent1" w:themeShade="BF"/>
    </w:rPr>
  </w:style>
  <w:style w:type="character" w:styleId="ad">
    <w:name w:val="Intense Reference"/>
    <w:basedOn w:val="a0"/>
    <w:uiPriority w:val="32"/>
    <w:qFormat/>
    <w:rsid w:val="000931F6"/>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Yalkun Dilmurat</dc:creator>
  <cp:keywords/>
  <dc:description/>
  <cp:lastModifiedBy>Yalkun Dilmurat</cp:lastModifiedBy>
  <cp:revision>2</cp:revision>
  <dcterms:created xsi:type="dcterms:W3CDTF">2026-08-03T15:17:00Z</dcterms:created>
  <dcterms:modified xsi:type="dcterms:W3CDTF">2026-08-03T15:17:00Z</dcterms:modified>
</cp:coreProperties>
</file>