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55CA" w14:textId="77777777" w:rsidR="00BC63C5" w:rsidRPr="009B49FA" w:rsidRDefault="00BC63C5" w:rsidP="00BC63C5">
      <w:r>
        <w:rPr>
          <w:b/>
          <w:bCs/>
        </w:rPr>
        <w:t xml:space="preserve">Supplementary </w:t>
      </w:r>
      <w:proofErr w:type="spellStart"/>
      <w:r>
        <w:rPr>
          <w:b/>
          <w:bCs/>
        </w:rPr>
        <w:t>e</w:t>
      </w:r>
      <w:r w:rsidRPr="00A63F9F">
        <w:rPr>
          <w:b/>
          <w:bCs/>
        </w:rPr>
        <w:t>TABLE</w:t>
      </w:r>
      <w:proofErr w:type="spellEnd"/>
      <w:r w:rsidRPr="00A63F9F">
        <w:rPr>
          <w:b/>
          <w:bCs/>
        </w:rPr>
        <w:t xml:space="preserve"> 5</w:t>
      </w:r>
      <w:r>
        <w:rPr>
          <w:b/>
          <w:bCs/>
        </w:rPr>
        <w:t xml:space="preserve"> </w:t>
      </w:r>
      <w:r w:rsidRPr="009B49FA">
        <w:t>Summative content analysis of open-text comments to background questions</w:t>
      </w:r>
      <w: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3214"/>
        <w:gridCol w:w="2172"/>
        <w:gridCol w:w="1418"/>
      </w:tblGrid>
      <w:tr w:rsidR="00BC63C5" w:rsidRPr="00A63F9F" w14:paraId="00DEDE3A" w14:textId="77777777" w:rsidTr="00623C4D">
        <w:trPr>
          <w:tblHeader/>
          <w:tblCellSpacing w:w="15" w:type="dxa"/>
        </w:trPr>
        <w:tc>
          <w:tcPr>
            <w:tcW w:w="22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F602D9" w14:textId="77777777" w:rsidR="00BC63C5" w:rsidRPr="00A63F9F" w:rsidRDefault="00BC63C5" w:rsidP="00623C4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A63F9F">
              <w:rPr>
                <w:b/>
                <w:bCs/>
                <w:sz w:val="20"/>
                <w:szCs w:val="20"/>
              </w:rPr>
              <w:t>Descriptive category (n)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D7F7DA" w14:textId="77777777" w:rsidR="00BC63C5" w:rsidRPr="00A63F9F" w:rsidRDefault="00BC63C5" w:rsidP="00623C4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A63F9F">
              <w:rPr>
                <w:b/>
                <w:bCs/>
                <w:sz w:val="20"/>
                <w:szCs w:val="20"/>
              </w:rPr>
              <w:t>Manifest meaning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4C48CC" w14:textId="77777777" w:rsidR="00BC63C5" w:rsidRPr="00A63F9F" w:rsidRDefault="00BC63C5" w:rsidP="00623C4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A63F9F">
              <w:rPr>
                <w:b/>
                <w:bCs/>
                <w:sz w:val="20"/>
                <w:szCs w:val="20"/>
              </w:rPr>
              <w:t>Example quotations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91BBCF" w14:textId="77777777" w:rsidR="00BC63C5" w:rsidRPr="00A63F9F" w:rsidRDefault="00BC63C5" w:rsidP="00623C4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A63F9F">
              <w:rPr>
                <w:b/>
                <w:bCs/>
                <w:sz w:val="20"/>
                <w:szCs w:val="20"/>
              </w:rPr>
              <w:t>Background question</w:t>
            </w:r>
          </w:p>
        </w:tc>
      </w:tr>
      <w:tr w:rsidR="00BC63C5" w:rsidRPr="00A63F9F" w14:paraId="11CED5DC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01000B60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Patient-related barriers (13)</w:t>
            </w:r>
          </w:p>
        </w:tc>
        <w:tc>
          <w:tcPr>
            <w:tcW w:w="3184" w:type="dxa"/>
            <w:hideMark/>
          </w:tcPr>
          <w:p w14:paraId="79C10D1B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Patients’ symptoms, illness insight, or motivation limit participation.</w:t>
            </w:r>
          </w:p>
        </w:tc>
        <w:tc>
          <w:tcPr>
            <w:tcW w:w="0" w:type="auto"/>
            <w:hideMark/>
          </w:tcPr>
          <w:p w14:paraId="7E20C917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“Some patients don’t want to participate in their care because of their illness.”</w:t>
            </w:r>
          </w:p>
        </w:tc>
        <w:tc>
          <w:tcPr>
            <w:tcW w:w="0" w:type="auto"/>
            <w:hideMark/>
          </w:tcPr>
          <w:p w14:paraId="4ACF67D3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Q1 Participation</w:t>
            </w:r>
          </w:p>
        </w:tc>
      </w:tr>
      <w:tr w:rsidR="00BC63C5" w:rsidRPr="00A63F9F" w14:paraId="6DE587AE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46EF01FC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Participation already sufficient (31)</w:t>
            </w:r>
          </w:p>
        </w:tc>
        <w:tc>
          <w:tcPr>
            <w:tcW w:w="3184" w:type="dxa"/>
            <w:hideMark/>
          </w:tcPr>
          <w:p w14:paraId="5A2BE8B4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Staff believe their current level of participation support is adequate.</w:t>
            </w:r>
          </w:p>
        </w:tc>
        <w:tc>
          <w:tcPr>
            <w:tcW w:w="0" w:type="auto"/>
            <w:hideMark/>
          </w:tcPr>
          <w:p w14:paraId="618B1828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“(I) think they are as involved as they can be.”</w:t>
            </w:r>
          </w:p>
        </w:tc>
        <w:tc>
          <w:tcPr>
            <w:tcW w:w="0" w:type="auto"/>
            <w:hideMark/>
          </w:tcPr>
          <w:p w14:paraId="302A9D69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Q1</w:t>
            </w:r>
          </w:p>
        </w:tc>
      </w:tr>
      <w:tr w:rsidR="00BC63C5" w:rsidRPr="00A63F9F" w14:paraId="560A3C9A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19930371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Time and staffing constraints (13)</w:t>
            </w:r>
          </w:p>
        </w:tc>
        <w:tc>
          <w:tcPr>
            <w:tcW w:w="3184" w:type="dxa"/>
            <w:hideMark/>
          </w:tcPr>
          <w:p w14:paraId="37F7C8D0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Lack of time and staff reduces ability to support participation.</w:t>
            </w:r>
          </w:p>
        </w:tc>
        <w:tc>
          <w:tcPr>
            <w:tcW w:w="0" w:type="auto"/>
            <w:hideMark/>
          </w:tcPr>
          <w:p w14:paraId="37DFA755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“It depends on staffing levels and workload.”</w:t>
            </w:r>
          </w:p>
        </w:tc>
        <w:tc>
          <w:tcPr>
            <w:tcW w:w="0" w:type="auto"/>
            <w:hideMark/>
          </w:tcPr>
          <w:p w14:paraId="1A234491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Q1</w:t>
            </w:r>
          </w:p>
        </w:tc>
      </w:tr>
      <w:tr w:rsidR="00BC63C5" w:rsidRPr="00A63F9F" w14:paraId="68567915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61C3B630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Staffing shortages (50)</w:t>
            </w:r>
          </w:p>
        </w:tc>
        <w:tc>
          <w:tcPr>
            <w:tcW w:w="3184" w:type="dxa"/>
            <w:hideMark/>
          </w:tcPr>
          <w:p w14:paraId="2C312BE7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Insufficient staff presence affects safety and workload.</w:t>
            </w:r>
          </w:p>
        </w:tc>
        <w:tc>
          <w:tcPr>
            <w:tcW w:w="0" w:type="auto"/>
            <w:hideMark/>
          </w:tcPr>
          <w:p w14:paraId="756DF5EF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“We often need more staff on shift.”</w:t>
            </w:r>
          </w:p>
        </w:tc>
        <w:tc>
          <w:tcPr>
            <w:tcW w:w="0" w:type="auto"/>
            <w:hideMark/>
          </w:tcPr>
          <w:p w14:paraId="1680DACC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Q2–3 Safety/Security</w:t>
            </w:r>
          </w:p>
        </w:tc>
      </w:tr>
      <w:tr w:rsidR="00BC63C5" w:rsidRPr="00A63F9F" w14:paraId="7B2C0CFF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58700494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Staff competence (59)</w:t>
            </w:r>
          </w:p>
        </w:tc>
        <w:tc>
          <w:tcPr>
            <w:tcW w:w="3184" w:type="dxa"/>
            <w:hideMark/>
          </w:tcPr>
          <w:p w14:paraId="5C6C7576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Safety depends on colleagues’ skills and experience.</w:t>
            </w:r>
          </w:p>
        </w:tc>
        <w:tc>
          <w:tcPr>
            <w:tcW w:w="0" w:type="auto"/>
            <w:hideMark/>
          </w:tcPr>
          <w:p w14:paraId="47E30596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“Many new staff lack the needed competence.”</w:t>
            </w:r>
          </w:p>
        </w:tc>
        <w:tc>
          <w:tcPr>
            <w:tcW w:w="0" w:type="auto"/>
            <w:hideMark/>
          </w:tcPr>
          <w:p w14:paraId="6B5A1D89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Q2–3</w:t>
            </w:r>
          </w:p>
        </w:tc>
      </w:tr>
      <w:tr w:rsidR="00BC63C5" w:rsidRPr="00A63F9F" w14:paraId="173EAC6E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63FB9922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Routine and system limitations (49)</w:t>
            </w:r>
          </w:p>
        </w:tc>
        <w:tc>
          <w:tcPr>
            <w:tcW w:w="3184" w:type="dxa"/>
            <w:hideMark/>
          </w:tcPr>
          <w:p w14:paraId="462E88FD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Inconsistent or insufficient routines reduce sense of safety.</w:t>
            </w:r>
          </w:p>
        </w:tc>
        <w:tc>
          <w:tcPr>
            <w:tcW w:w="0" w:type="auto"/>
            <w:hideMark/>
          </w:tcPr>
          <w:p w14:paraId="024A315F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“It</w:t>
            </w:r>
            <w:r>
              <w:rPr>
                <w:sz w:val="20"/>
                <w:szCs w:val="20"/>
              </w:rPr>
              <w:t>’</w:t>
            </w:r>
            <w:r w:rsidRPr="00A63F9F">
              <w:rPr>
                <w:sz w:val="20"/>
                <w:szCs w:val="20"/>
              </w:rPr>
              <w:t>s easy for patients to bring in things they shouldn</w:t>
            </w:r>
            <w:r>
              <w:rPr>
                <w:sz w:val="20"/>
                <w:szCs w:val="20"/>
              </w:rPr>
              <w:t>’</w:t>
            </w:r>
            <w:r w:rsidRPr="00A63F9F">
              <w:rPr>
                <w:sz w:val="20"/>
                <w:szCs w:val="20"/>
              </w:rPr>
              <w:t>t.”</w:t>
            </w:r>
          </w:p>
        </w:tc>
        <w:tc>
          <w:tcPr>
            <w:tcW w:w="0" w:type="auto"/>
            <w:hideMark/>
          </w:tcPr>
          <w:p w14:paraId="7354CCB8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Q2–3</w:t>
            </w:r>
          </w:p>
        </w:tc>
      </w:tr>
      <w:tr w:rsidR="00BC63C5" w:rsidRPr="00A63F9F" w14:paraId="279A1A32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5A69ACA2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Patient-related communication risk (83)</w:t>
            </w:r>
          </w:p>
        </w:tc>
        <w:tc>
          <w:tcPr>
            <w:tcW w:w="3184" w:type="dxa"/>
            <w:hideMark/>
          </w:tcPr>
          <w:p w14:paraId="2310B74B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Staff assess patient state and individual differences before discussing sensitive issues.</w:t>
            </w:r>
          </w:p>
        </w:tc>
        <w:tc>
          <w:tcPr>
            <w:tcW w:w="0" w:type="auto"/>
            <w:hideMark/>
          </w:tcPr>
          <w:p w14:paraId="53547610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 xml:space="preserve">“It depends on the patient and </w:t>
            </w:r>
            <w:proofErr w:type="gramStart"/>
            <w:r w:rsidRPr="00A63F9F">
              <w:rPr>
                <w:sz w:val="20"/>
                <w:szCs w:val="20"/>
              </w:rPr>
              <w:t>situation,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63F9F">
              <w:rPr>
                <w:sz w:val="20"/>
                <w:szCs w:val="20"/>
              </w:rPr>
              <w:t>it can be extremely difficult sometimes”</w:t>
            </w:r>
          </w:p>
        </w:tc>
        <w:tc>
          <w:tcPr>
            <w:tcW w:w="0" w:type="auto"/>
            <w:hideMark/>
          </w:tcPr>
          <w:p w14:paraId="6A421808" w14:textId="77777777" w:rsidR="00BC63C5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 xml:space="preserve">Q4–5 </w:t>
            </w:r>
          </w:p>
          <w:p w14:paraId="04A0CB0B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A63F9F">
              <w:rPr>
                <w:sz w:val="20"/>
                <w:szCs w:val="20"/>
              </w:rPr>
              <w:t>Open -communication</w:t>
            </w:r>
            <w:proofErr w:type="gramEnd"/>
          </w:p>
        </w:tc>
      </w:tr>
      <w:tr w:rsidR="00BC63C5" w:rsidRPr="00A63F9F" w14:paraId="0D6B7BE0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5DEBC8A7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Staff relational competence (43)</w:t>
            </w:r>
          </w:p>
        </w:tc>
        <w:tc>
          <w:tcPr>
            <w:tcW w:w="3184" w:type="dxa"/>
            <w:hideMark/>
          </w:tcPr>
          <w:p w14:paraId="397D9C5D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Communication depends on staff attitude, approach, and therapeutic relationship.</w:t>
            </w:r>
          </w:p>
        </w:tc>
        <w:tc>
          <w:tcPr>
            <w:tcW w:w="0" w:type="auto"/>
            <w:hideMark/>
          </w:tcPr>
          <w:p w14:paraId="22E472A1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“It’s possible to talk but it requires a good relationship and careful approach.”</w:t>
            </w:r>
          </w:p>
        </w:tc>
        <w:tc>
          <w:tcPr>
            <w:tcW w:w="0" w:type="auto"/>
            <w:hideMark/>
          </w:tcPr>
          <w:p w14:paraId="310E51F9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Q4–5</w:t>
            </w:r>
          </w:p>
        </w:tc>
      </w:tr>
      <w:tr w:rsidR="00BC63C5" w:rsidRPr="00A63F9F" w14:paraId="5ACDAF80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6F7BFF9D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Fear of consequences (28)</w:t>
            </w:r>
          </w:p>
        </w:tc>
        <w:tc>
          <w:tcPr>
            <w:tcW w:w="3184" w:type="dxa"/>
            <w:hideMark/>
          </w:tcPr>
          <w:p w14:paraId="030A0F91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Patients may withhold information due to perceived punitive responses.</w:t>
            </w:r>
          </w:p>
        </w:tc>
        <w:tc>
          <w:tcPr>
            <w:tcW w:w="0" w:type="auto"/>
            <w:hideMark/>
          </w:tcPr>
          <w:p w14:paraId="3403E5F3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“Patients usually don’t tell everything because they fear consequences.”</w:t>
            </w:r>
          </w:p>
        </w:tc>
        <w:tc>
          <w:tcPr>
            <w:tcW w:w="0" w:type="auto"/>
            <w:hideMark/>
          </w:tcPr>
          <w:p w14:paraId="14995E91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Q5</w:t>
            </w:r>
          </w:p>
        </w:tc>
      </w:tr>
      <w:tr w:rsidR="00BC63C5" w:rsidRPr="00A63F9F" w14:paraId="39CD05D5" w14:textId="77777777" w:rsidTr="00623C4D">
        <w:trPr>
          <w:tblCellSpacing w:w="15" w:type="dxa"/>
        </w:trPr>
        <w:tc>
          <w:tcPr>
            <w:tcW w:w="2223" w:type="dxa"/>
            <w:hideMark/>
          </w:tcPr>
          <w:p w14:paraId="1FD29EA3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Threats and violence (10)</w:t>
            </w:r>
          </w:p>
        </w:tc>
        <w:tc>
          <w:tcPr>
            <w:tcW w:w="3184" w:type="dxa"/>
            <w:hideMark/>
          </w:tcPr>
          <w:p w14:paraId="6E1CA496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Staff describe experiences of aggression as part of the work environment.</w:t>
            </w:r>
          </w:p>
        </w:tc>
        <w:tc>
          <w:tcPr>
            <w:tcW w:w="0" w:type="auto"/>
            <w:hideMark/>
          </w:tcPr>
          <w:p w14:paraId="5BE2F25F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“With some, there will always be some risk for violence.”</w:t>
            </w:r>
          </w:p>
        </w:tc>
        <w:tc>
          <w:tcPr>
            <w:tcW w:w="0" w:type="auto"/>
            <w:hideMark/>
          </w:tcPr>
          <w:p w14:paraId="2C79054C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Across all questions</w:t>
            </w:r>
          </w:p>
        </w:tc>
      </w:tr>
      <w:tr w:rsidR="00BC63C5" w:rsidRPr="00A63F9F" w14:paraId="7608BB3A" w14:textId="77777777" w:rsidTr="00623C4D">
        <w:trPr>
          <w:tblCellSpacing w:w="15" w:type="dxa"/>
        </w:trPr>
        <w:tc>
          <w:tcPr>
            <w:tcW w:w="2223" w:type="dxa"/>
            <w:tcBorders>
              <w:bottom w:val="single" w:sz="4" w:space="0" w:color="auto"/>
            </w:tcBorders>
            <w:hideMark/>
          </w:tcPr>
          <w:p w14:paraId="09659253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Coercive care as limiting (3)</w:t>
            </w:r>
          </w:p>
        </w:tc>
        <w:tc>
          <w:tcPr>
            <w:tcW w:w="3184" w:type="dxa"/>
            <w:tcBorders>
              <w:bottom w:val="single" w:sz="4" w:space="0" w:color="auto"/>
            </w:tcBorders>
            <w:hideMark/>
          </w:tcPr>
          <w:p w14:paraId="18AB3ABE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Coercion occasionally restricts participation, especially with low illness insight.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BF95486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“Coercive care can make participation difficult in some cases.”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72CA027" w14:textId="77777777" w:rsidR="00BC63C5" w:rsidRPr="00A63F9F" w:rsidRDefault="00BC63C5" w:rsidP="00623C4D">
            <w:pPr>
              <w:spacing w:line="276" w:lineRule="auto"/>
              <w:rPr>
                <w:sz w:val="20"/>
                <w:szCs w:val="20"/>
              </w:rPr>
            </w:pPr>
            <w:r w:rsidRPr="00A63F9F">
              <w:rPr>
                <w:sz w:val="20"/>
                <w:szCs w:val="20"/>
              </w:rPr>
              <w:t>Across all questions</w:t>
            </w:r>
          </w:p>
        </w:tc>
      </w:tr>
    </w:tbl>
    <w:p w14:paraId="4BEFB979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F00CD" w14:textId="77777777" w:rsidR="00FF75FB" w:rsidRDefault="00FF75FB" w:rsidP="00161816">
      <w:pPr>
        <w:spacing w:line="240" w:lineRule="auto"/>
      </w:pPr>
      <w:r>
        <w:separator/>
      </w:r>
    </w:p>
  </w:endnote>
  <w:endnote w:type="continuationSeparator" w:id="0">
    <w:p w14:paraId="5CA79024" w14:textId="77777777" w:rsidR="00FF75FB" w:rsidRDefault="00FF75FB" w:rsidP="001618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66AD" w14:textId="77777777" w:rsidR="00FF75FB" w:rsidRDefault="00FF75FB" w:rsidP="00161816">
      <w:pPr>
        <w:spacing w:line="240" w:lineRule="auto"/>
      </w:pPr>
      <w:r>
        <w:separator/>
      </w:r>
    </w:p>
  </w:footnote>
  <w:footnote w:type="continuationSeparator" w:id="0">
    <w:p w14:paraId="2CC4E903" w14:textId="77777777" w:rsidR="00FF75FB" w:rsidRDefault="00FF75FB" w:rsidP="001618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C5"/>
    <w:rsid w:val="00161816"/>
    <w:rsid w:val="003E026E"/>
    <w:rsid w:val="005A2726"/>
    <w:rsid w:val="00BC63C5"/>
    <w:rsid w:val="00C01372"/>
    <w:rsid w:val="00F62734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3D29D"/>
  <w15:chartTrackingRefBased/>
  <w15:docId w15:val="{2418708E-BB31-49B0-986E-998E1AD6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C5"/>
    <w:pPr>
      <w:spacing w:after="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C63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v-SE"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C63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v-SE"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C63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v-SE"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C63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C63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C63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v-SE"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C63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v-SE"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C63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v-SE"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C63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v-SE"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BC63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C6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C63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C63C5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C63C5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C63C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C63C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C63C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C63C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C6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BC6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C63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C6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63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v-SE"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BC63C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C63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BC63C5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C6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C63C5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C63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2026-08-10T13:45:00Z</dcterms:created>
  <dcterms:modified xsi:type="dcterms:W3CDTF">2026-08-10T13:46:00Z</dcterms:modified>
</cp:coreProperties>
</file>