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bookmarkStart w:name="Supplementary Material for Review" w:id="1"/>
      <w:bookmarkEnd w:id="1"/>
      <w:r>
        <w:rPr>
          <w:b w:val="0"/>
        </w:rPr>
      </w:r>
      <w:r>
        <w:rPr>
          <w:color w:val="0C233A"/>
          <w:spacing w:val="-2"/>
        </w:rPr>
        <w:t>SUPPLEMENTARY</w:t>
      </w:r>
      <w:r>
        <w:rPr>
          <w:color w:val="0C233A"/>
          <w:spacing w:val="-20"/>
        </w:rPr>
        <w:t> </w:t>
      </w:r>
      <w:r>
        <w:rPr>
          <w:color w:val="0C233A"/>
          <w:spacing w:val="-2"/>
        </w:rPr>
        <w:t>MATERIAL</w:t>
      </w:r>
      <w:r>
        <w:rPr>
          <w:color w:val="0C233A"/>
          <w:spacing w:val="-18"/>
        </w:rPr>
        <w:t> </w:t>
      </w:r>
      <w:r>
        <w:rPr>
          <w:color w:val="0C233A"/>
          <w:spacing w:val="-2"/>
        </w:rPr>
        <w:t>FOR</w:t>
      </w:r>
      <w:r>
        <w:rPr>
          <w:color w:val="0C233A"/>
          <w:spacing w:val="-10"/>
        </w:rPr>
        <w:t> </w:t>
      </w:r>
      <w:r>
        <w:rPr>
          <w:color w:val="0C233A"/>
          <w:spacing w:val="-2"/>
        </w:rPr>
        <w:t>REVIEW</w:t>
      </w:r>
    </w:p>
    <w:p>
      <w:pPr>
        <w:spacing w:before="162"/>
        <w:ind w:left="0" w:right="0" w:firstLine="0"/>
        <w:jc w:val="center"/>
        <w:rPr>
          <w:i/>
          <w:sz w:val="24"/>
        </w:rPr>
      </w:pPr>
      <w:bookmarkStart w:name="Impact of Digital Payment Systems on Con" w:id="2"/>
      <w:bookmarkEnd w:id="2"/>
      <w:r>
        <w:rPr/>
      </w:r>
      <w:r>
        <w:rPr>
          <w:i/>
          <w:color w:val="333333"/>
          <w:sz w:val="24"/>
        </w:rPr>
        <w:t>Impact</w:t>
      </w:r>
      <w:r>
        <w:rPr>
          <w:i/>
          <w:color w:val="333333"/>
          <w:spacing w:val="-2"/>
          <w:sz w:val="24"/>
        </w:rPr>
        <w:t> </w:t>
      </w:r>
      <w:r>
        <w:rPr>
          <w:i/>
          <w:color w:val="333333"/>
          <w:sz w:val="24"/>
        </w:rPr>
        <w:t>of</w:t>
      </w:r>
      <w:r>
        <w:rPr>
          <w:i/>
          <w:color w:val="333333"/>
          <w:spacing w:val="-2"/>
          <w:sz w:val="24"/>
        </w:rPr>
        <w:t> </w:t>
      </w:r>
      <w:r>
        <w:rPr>
          <w:i/>
          <w:color w:val="333333"/>
          <w:sz w:val="24"/>
        </w:rPr>
        <w:t>Digital</w:t>
      </w:r>
      <w:r>
        <w:rPr>
          <w:i/>
          <w:color w:val="333333"/>
          <w:spacing w:val="-1"/>
          <w:sz w:val="24"/>
        </w:rPr>
        <w:t> </w:t>
      </w:r>
      <w:r>
        <w:rPr>
          <w:i/>
          <w:color w:val="333333"/>
          <w:sz w:val="24"/>
        </w:rPr>
        <w:t>Payment</w:t>
      </w:r>
      <w:r>
        <w:rPr>
          <w:i/>
          <w:color w:val="333333"/>
          <w:spacing w:val="-2"/>
          <w:sz w:val="24"/>
        </w:rPr>
        <w:t> </w:t>
      </w:r>
      <w:r>
        <w:rPr>
          <w:i/>
          <w:color w:val="333333"/>
          <w:sz w:val="24"/>
        </w:rPr>
        <w:t>Systems</w:t>
      </w:r>
      <w:r>
        <w:rPr>
          <w:i/>
          <w:color w:val="333333"/>
          <w:spacing w:val="-3"/>
          <w:sz w:val="24"/>
        </w:rPr>
        <w:t> </w:t>
      </w:r>
      <w:r>
        <w:rPr>
          <w:i/>
          <w:color w:val="333333"/>
          <w:sz w:val="24"/>
        </w:rPr>
        <w:t>on</w:t>
      </w:r>
      <w:r>
        <w:rPr>
          <w:i/>
          <w:color w:val="333333"/>
          <w:spacing w:val="-1"/>
          <w:sz w:val="24"/>
        </w:rPr>
        <w:t> </w:t>
      </w:r>
      <w:r>
        <w:rPr>
          <w:i/>
          <w:color w:val="333333"/>
          <w:sz w:val="24"/>
        </w:rPr>
        <w:t>Consumer</w:t>
      </w:r>
      <w:r>
        <w:rPr>
          <w:i/>
          <w:color w:val="333333"/>
          <w:spacing w:val="-3"/>
          <w:sz w:val="24"/>
        </w:rPr>
        <w:t> </w:t>
      </w:r>
      <w:r>
        <w:rPr>
          <w:i/>
          <w:color w:val="333333"/>
          <w:sz w:val="24"/>
        </w:rPr>
        <w:t>Spending</w:t>
      </w:r>
      <w:r>
        <w:rPr>
          <w:i/>
          <w:color w:val="333333"/>
          <w:spacing w:val="-1"/>
          <w:sz w:val="24"/>
        </w:rPr>
        <w:t> </w:t>
      </w:r>
      <w:r>
        <w:rPr>
          <w:i/>
          <w:color w:val="333333"/>
          <w:spacing w:val="-2"/>
          <w:sz w:val="24"/>
        </w:rPr>
        <w:t>Behavior</w:t>
      </w:r>
    </w:p>
    <w:p>
      <w:pPr>
        <w:pStyle w:val="BodyText"/>
        <w:spacing w:before="205"/>
        <w:jc w:val="center"/>
      </w:pPr>
      <w:r>
        <w:rPr>
          <w:b/>
          <w:color w:val="444444"/>
        </w:rPr>
        <w:t>Authors: </w:t>
      </w:r>
      <w:r>
        <w:rPr>
          <w:color w:val="444444"/>
        </w:rPr>
        <w:t>Ruchika Gedam,</w:t>
      </w:r>
      <w:r>
        <w:rPr>
          <w:color w:val="444444"/>
          <w:spacing w:val="-11"/>
        </w:rPr>
        <w:t> </w:t>
      </w:r>
      <w:r>
        <w:rPr>
          <w:color w:val="444444"/>
        </w:rPr>
        <w:t>Anamika Pramod Chate, Punam Gajanan Bhujade, Prof. Pratiksha </w:t>
      </w:r>
      <w:r>
        <w:rPr>
          <w:color w:val="444444"/>
          <w:spacing w:val="-2"/>
        </w:rPr>
        <w:t>Meshram</w:t>
      </w:r>
    </w:p>
    <w:p>
      <w:pPr>
        <w:pStyle w:val="BodyText"/>
        <w:spacing w:before="47"/>
        <w:ind w:left="1"/>
        <w:jc w:val="center"/>
      </w:pPr>
      <w:r>
        <w:rPr>
          <w:b/>
          <w:color w:val="444444"/>
        </w:rPr>
        <w:t>Affiliation:</w:t>
      </w:r>
      <w:r>
        <w:rPr>
          <w:b/>
          <w:color w:val="444444"/>
          <w:spacing w:val="-4"/>
        </w:rPr>
        <w:t> </w:t>
      </w:r>
      <w:r>
        <w:rPr>
          <w:color w:val="444444"/>
        </w:rPr>
        <w:t>Department</w:t>
      </w:r>
      <w:r>
        <w:rPr>
          <w:color w:val="444444"/>
          <w:spacing w:val="-3"/>
        </w:rPr>
        <w:t> </w:t>
      </w:r>
      <w:r>
        <w:rPr>
          <w:color w:val="444444"/>
        </w:rPr>
        <w:t>of</w:t>
      </w:r>
      <w:r>
        <w:rPr>
          <w:color w:val="444444"/>
          <w:spacing w:val="-3"/>
        </w:rPr>
        <w:t> </w:t>
      </w:r>
      <w:r>
        <w:rPr>
          <w:color w:val="444444"/>
        </w:rPr>
        <w:t>MBA,</w:t>
      </w:r>
      <w:r>
        <w:rPr>
          <w:color w:val="444444"/>
          <w:spacing w:val="-7"/>
        </w:rPr>
        <w:t> </w:t>
      </w:r>
      <w:r>
        <w:rPr>
          <w:color w:val="444444"/>
        </w:rPr>
        <w:t>Tulsiramji</w:t>
      </w:r>
      <w:r>
        <w:rPr>
          <w:color w:val="444444"/>
          <w:spacing w:val="-3"/>
        </w:rPr>
        <w:t> </w:t>
      </w:r>
      <w:r>
        <w:rPr>
          <w:color w:val="444444"/>
        </w:rPr>
        <w:t>Gaikwad-Patil</w:t>
      </w:r>
      <w:r>
        <w:rPr>
          <w:color w:val="444444"/>
          <w:spacing w:val="-3"/>
        </w:rPr>
        <w:t> </w:t>
      </w:r>
      <w:r>
        <w:rPr>
          <w:color w:val="444444"/>
        </w:rPr>
        <w:t>College</w:t>
      </w:r>
      <w:r>
        <w:rPr>
          <w:color w:val="444444"/>
          <w:spacing w:val="-3"/>
        </w:rPr>
        <w:t> </w:t>
      </w:r>
      <w:r>
        <w:rPr>
          <w:color w:val="444444"/>
        </w:rPr>
        <w:t>of</w:t>
      </w:r>
      <w:r>
        <w:rPr>
          <w:color w:val="444444"/>
          <w:spacing w:val="-3"/>
        </w:rPr>
        <w:t> </w:t>
      </w:r>
      <w:r>
        <w:rPr>
          <w:color w:val="444444"/>
        </w:rPr>
        <w:t>Engineering</w:t>
      </w:r>
      <w:r>
        <w:rPr>
          <w:color w:val="444444"/>
          <w:spacing w:val="-3"/>
        </w:rPr>
        <w:t> </w:t>
      </w:r>
      <w:r>
        <w:rPr>
          <w:color w:val="444444"/>
        </w:rPr>
        <w:t>and</w:t>
      </w:r>
      <w:r>
        <w:rPr>
          <w:color w:val="444444"/>
          <w:spacing w:val="-7"/>
        </w:rPr>
        <w:t> </w:t>
      </w:r>
      <w:r>
        <w:rPr>
          <w:color w:val="444444"/>
        </w:rPr>
        <w:t>Technology,</w:t>
      </w:r>
      <w:r>
        <w:rPr>
          <w:color w:val="444444"/>
          <w:spacing w:val="-3"/>
        </w:rPr>
        <w:t> </w:t>
      </w:r>
      <w:r>
        <w:rPr>
          <w:color w:val="444444"/>
          <w:spacing w:val="-2"/>
        </w:rPr>
        <w:t>Nagpur</w:t>
      </w:r>
    </w:p>
    <w:p>
      <w:pPr>
        <w:pStyle w:val="BodyText"/>
        <w:spacing w:before="0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719999</wp:posOffset>
                </wp:positionH>
                <wp:positionV relativeFrom="paragraph">
                  <wp:posOffset>132178</wp:posOffset>
                </wp:positionV>
                <wp:extent cx="6120130" cy="190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2013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9050">
                              <a:moveTo>
                                <a:pt x="612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120000" y="0"/>
                              </a:lnTo>
                              <a:lnTo>
                                <a:pt x="612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23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92913pt;margin-top:10.407765pt;width:481.889778pt;height:1.5pt;mso-position-horizontal-relative:page;mso-position-vertical-relative:paragraph;z-index:-15728640;mso-wrap-distance-left:0;mso-wrap-distance-right:0" id="docshape2" filled="true" fillcolor="#0c233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06"/>
      </w:pPr>
    </w:p>
    <w:p>
      <w:pPr>
        <w:pStyle w:val="Heading2"/>
      </w:pPr>
      <w:r>
        <w:rPr>
          <w:color w:val="0C233A"/>
        </w:rPr>
        <w:t>Appendix</w:t>
      </w:r>
      <w:r>
        <w:rPr>
          <w:color w:val="0C233A"/>
          <w:spacing w:val="-15"/>
        </w:rPr>
        <w:t> </w:t>
      </w:r>
      <w:r>
        <w:rPr>
          <w:color w:val="0C233A"/>
        </w:rPr>
        <w:t>A:</w:t>
      </w:r>
      <w:r>
        <w:rPr>
          <w:color w:val="0C233A"/>
          <w:spacing w:val="-2"/>
        </w:rPr>
        <w:t> </w:t>
      </w:r>
      <w:r>
        <w:rPr>
          <w:color w:val="0C233A"/>
        </w:rPr>
        <w:t>Comprehensive</w:t>
      </w:r>
      <w:r>
        <w:rPr>
          <w:color w:val="0C233A"/>
          <w:spacing w:val="-1"/>
        </w:rPr>
        <w:t> </w:t>
      </w:r>
      <w:r>
        <w:rPr>
          <w:color w:val="0C233A"/>
        </w:rPr>
        <w:t>Data</w:t>
      </w:r>
      <w:r>
        <w:rPr>
          <w:color w:val="0C233A"/>
          <w:spacing w:val="-6"/>
        </w:rPr>
        <w:t> </w:t>
      </w:r>
      <w:r>
        <w:rPr>
          <w:color w:val="0C233A"/>
          <w:spacing w:val="-2"/>
        </w:rPr>
        <w:t>Tables</w:t>
      </w:r>
    </w:p>
    <w:p>
      <w:pPr>
        <w:pStyle w:val="BodyText"/>
        <w:spacing w:before="10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719999</wp:posOffset>
                </wp:positionH>
                <wp:positionV relativeFrom="paragraph">
                  <wp:posOffset>51144</wp:posOffset>
                </wp:positionV>
                <wp:extent cx="6120130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1201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9525">
                              <a:moveTo>
                                <a:pt x="612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120000" y="0"/>
                              </a:lnTo>
                              <a:lnTo>
                                <a:pt x="612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23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92913pt;margin-top:4.027102pt;width:481.889778pt;height:.75pt;mso-position-horizontal-relative:page;mso-position-vertical-relative:paragraph;z-index:-15728128;mso-wrap-distance-left:0;mso-wrap-distance-right:0" id="docshape3" filled="true" fillcolor="#0c233a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69"/>
        <w:ind w:left="141" w:right="0" w:firstLine="0"/>
        <w:jc w:val="left"/>
        <w:rPr>
          <w:b/>
          <w:sz w:val="19"/>
        </w:rPr>
      </w:pPr>
      <w:r>
        <w:rPr>
          <w:b/>
          <w:color w:val="1A365D"/>
          <w:sz w:val="19"/>
        </w:rPr>
        <w:t>Table</w:t>
      </w:r>
      <w:r>
        <w:rPr>
          <w:b/>
          <w:color w:val="1A365D"/>
          <w:spacing w:val="-5"/>
          <w:sz w:val="19"/>
        </w:rPr>
        <w:t> </w:t>
      </w:r>
      <w:r>
        <w:rPr>
          <w:b/>
          <w:color w:val="1A365D"/>
          <w:sz w:val="19"/>
        </w:rPr>
        <w:t>S1:</w:t>
      </w:r>
      <w:r>
        <w:rPr>
          <w:b/>
          <w:color w:val="1A365D"/>
          <w:spacing w:val="-3"/>
          <w:sz w:val="19"/>
        </w:rPr>
        <w:t> </w:t>
      </w:r>
      <w:r>
        <w:rPr>
          <w:b/>
          <w:color w:val="1A365D"/>
          <w:sz w:val="19"/>
        </w:rPr>
        <w:t>Comparative</w:t>
      </w:r>
      <w:r>
        <w:rPr>
          <w:b/>
          <w:color w:val="1A365D"/>
          <w:spacing w:val="-3"/>
          <w:sz w:val="19"/>
        </w:rPr>
        <w:t> </w:t>
      </w:r>
      <w:r>
        <w:rPr>
          <w:b/>
          <w:color w:val="1A365D"/>
          <w:sz w:val="19"/>
        </w:rPr>
        <w:t>Spending</w:t>
      </w:r>
      <w:r>
        <w:rPr>
          <w:b/>
          <w:color w:val="1A365D"/>
          <w:spacing w:val="-3"/>
          <w:sz w:val="19"/>
        </w:rPr>
        <w:t> </w:t>
      </w:r>
      <w:r>
        <w:rPr>
          <w:b/>
          <w:color w:val="1A365D"/>
          <w:sz w:val="19"/>
        </w:rPr>
        <w:t>and</w:t>
      </w:r>
      <w:r>
        <w:rPr>
          <w:b/>
          <w:color w:val="1A365D"/>
          <w:spacing w:val="-3"/>
          <w:sz w:val="19"/>
        </w:rPr>
        <w:t> </w:t>
      </w:r>
      <w:r>
        <w:rPr>
          <w:b/>
          <w:color w:val="1A365D"/>
          <w:sz w:val="19"/>
        </w:rPr>
        <w:t>Behavior</w:t>
      </w:r>
      <w:r>
        <w:rPr>
          <w:b/>
          <w:color w:val="1A365D"/>
          <w:spacing w:val="-7"/>
          <w:sz w:val="19"/>
        </w:rPr>
        <w:t> </w:t>
      </w:r>
      <w:r>
        <w:rPr>
          <w:b/>
          <w:color w:val="1A365D"/>
          <w:sz w:val="19"/>
        </w:rPr>
        <w:t>Metrics</w:t>
      </w:r>
      <w:r>
        <w:rPr>
          <w:b/>
          <w:color w:val="1A365D"/>
          <w:spacing w:val="-3"/>
          <w:sz w:val="19"/>
        </w:rPr>
        <w:t> </w:t>
      </w:r>
      <w:r>
        <w:rPr>
          <w:b/>
          <w:color w:val="1A365D"/>
          <w:sz w:val="19"/>
        </w:rPr>
        <w:t>(Cash</w:t>
      </w:r>
      <w:r>
        <w:rPr>
          <w:b/>
          <w:color w:val="1A365D"/>
          <w:spacing w:val="-4"/>
          <w:sz w:val="19"/>
        </w:rPr>
        <w:t> </w:t>
      </w:r>
      <w:r>
        <w:rPr>
          <w:b/>
          <w:color w:val="1A365D"/>
          <w:sz w:val="19"/>
        </w:rPr>
        <w:t>vs.</w:t>
      </w:r>
      <w:r>
        <w:rPr>
          <w:b/>
          <w:color w:val="1A365D"/>
          <w:spacing w:val="-3"/>
          <w:sz w:val="19"/>
        </w:rPr>
        <w:t> </w:t>
      </w:r>
      <w:r>
        <w:rPr>
          <w:b/>
          <w:color w:val="1A365D"/>
          <w:sz w:val="19"/>
        </w:rPr>
        <w:t>Digital</w:t>
      </w:r>
      <w:r>
        <w:rPr>
          <w:b/>
          <w:color w:val="1A365D"/>
          <w:spacing w:val="-3"/>
          <w:sz w:val="19"/>
        </w:rPr>
        <w:t> </w:t>
      </w:r>
      <w:r>
        <w:rPr>
          <w:b/>
          <w:color w:val="1A365D"/>
          <w:sz w:val="19"/>
        </w:rPr>
        <w:t>Payment</w:t>
      </w:r>
      <w:r>
        <w:rPr>
          <w:b/>
          <w:color w:val="1A365D"/>
          <w:spacing w:val="-2"/>
          <w:sz w:val="19"/>
        </w:rPr>
        <w:t> Systems)</w:t>
      </w:r>
    </w:p>
    <w:p>
      <w:pPr>
        <w:pStyle w:val="BodyText"/>
        <w:rPr>
          <w:b/>
          <w:sz w:val="17"/>
        </w:rPr>
      </w:pPr>
    </w:p>
    <w:tbl>
      <w:tblPr>
        <w:tblW w:w="0" w:type="auto"/>
        <w:jc w:val="left"/>
        <w:tblInd w:w="156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6"/>
        <w:gridCol w:w="1277"/>
        <w:gridCol w:w="2099"/>
        <w:gridCol w:w="4200"/>
      </w:tblGrid>
      <w:tr>
        <w:trPr>
          <w:trHeight w:val="764" w:hRule="atLeast"/>
        </w:trPr>
        <w:tc>
          <w:tcPr>
            <w:tcW w:w="96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A365D"/>
          </w:tcPr>
          <w:p>
            <w:pPr>
              <w:pStyle w:val="TableParagraph"/>
              <w:tabs>
                <w:tab w:pos="2181" w:val="left" w:leader="none"/>
                <w:tab w:pos="3458" w:val="left" w:leader="none"/>
                <w:tab w:pos="5557" w:val="left" w:leader="none"/>
              </w:tabs>
              <w:spacing w:line="306" w:lineRule="exact" w:before="142"/>
              <w:ind w:left="135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Metric </w:t>
            </w:r>
            <w:r>
              <w:rPr>
                <w:b/>
                <w:color w:val="FFFFFF"/>
                <w:spacing w:val="-2"/>
                <w:sz w:val="19"/>
              </w:rPr>
              <w:t>Category</w:t>
            </w:r>
            <w:r>
              <w:rPr>
                <w:b/>
                <w:color w:val="FFFFFF"/>
                <w:sz w:val="19"/>
              </w:rPr>
              <w:tab/>
              <w:t>Cash</w:t>
            </w:r>
            <w:r>
              <w:rPr>
                <w:b/>
                <w:color w:val="FFFFFF"/>
                <w:spacing w:val="-4"/>
                <w:sz w:val="19"/>
              </w:rPr>
              <w:t> Users</w:t>
            </w:r>
            <w:r>
              <w:rPr>
                <w:b/>
                <w:color w:val="FFFFFF"/>
                <w:sz w:val="19"/>
              </w:rPr>
              <w:tab/>
            </w:r>
            <w:r>
              <w:rPr>
                <w:b/>
                <w:color w:val="FFFFFF"/>
                <w:position w:val="13"/>
                <w:sz w:val="19"/>
              </w:rPr>
              <w:t>Digital</w:t>
            </w:r>
            <w:r>
              <w:rPr>
                <w:b/>
                <w:color w:val="FFFFFF"/>
                <w:spacing w:val="-2"/>
                <w:position w:val="13"/>
                <w:sz w:val="19"/>
              </w:rPr>
              <w:t> </w:t>
            </w:r>
            <w:r>
              <w:rPr>
                <w:b/>
                <w:color w:val="FFFFFF"/>
                <w:position w:val="13"/>
                <w:sz w:val="19"/>
              </w:rPr>
              <w:t>Payment </w:t>
            </w:r>
            <w:r>
              <w:rPr>
                <w:b/>
                <w:color w:val="FFFFFF"/>
                <w:spacing w:val="-2"/>
                <w:position w:val="13"/>
                <w:sz w:val="19"/>
              </w:rPr>
              <w:t>Users</w:t>
            </w:r>
            <w:r>
              <w:rPr>
                <w:b/>
                <w:color w:val="FFFFFF"/>
                <w:position w:val="13"/>
                <w:sz w:val="19"/>
              </w:rPr>
              <w:tab/>
            </w:r>
            <w:r>
              <w:rPr>
                <w:b/>
                <w:color w:val="FFFFFF"/>
                <w:sz w:val="19"/>
              </w:rPr>
              <w:t>Analytical </w:t>
            </w:r>
            <w:r>
              <w:rPr>
                <w:b/>
                <w:color w:val="FFFFFF"/>
                <w:spacing w:val="-2"/>
                <w:sz w:val="19"/>
              </w:rPr>
              <w:t>Observations</w:t>
            </w:r>
          </w:p>
          <w:p>
            <w:pPr>
              <w:pStyle w:val="TableParagraph"/>
              <w:spacing w:line="176" w:lineRule="exact"/>
              <w:ind w:left="0" w:right="150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(UPI</w:t>
            </w:r>
            <w:r>
              <w:rPr>
                <w:b/>
                <w:color w:val="FFFFFF"/>
                <w:spacing w:val="-3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/</w:t>
            </w:r>
            <w:r>
              <w:rPr>
                <w:b/>
                <w:color w:val="FFFFFF"/>
                <w:spacing w:val="-5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Wallets)</w:t>
            </w:r>
          </w:p>
        </w:tc>
      </w:tr>
      <w:tr>
        <w:trPr>
          <w:trHeight w:val="749" w:hRule="atLeast"/>
        </w:trPr>
        <w:tc>
          <w:tcPr>
            <w:tcW w:w="2046" w:type="dxa"/>
            <w:tcBorders>
              <w:top w:val="nil"/>
            </w:tcBorders>
          </w:tcPr>
          <w:p>
            <w:pPr>
              <w:pStyle w:val="TableParagraph"/>
              <w:spacing w:before="132"/>
              <w:rPr>
                <w:b/>
                <w:sz w:val="19"/>
              </w:rPr>
            </w:pPr>
            <w:r>
              <w:rPr>
                <w:b/>
                <w:color w:val="111111"/>
                <w:spacing w:val="-2"/>
                <w:sz w:val="19"/>
              </w:rPr>
              <w:t>Average</w:t>
            </w:r>
            <w:r>
              <w:rPr>
                <w:b/>
                <w:color w:val="111111"/>
                <w:spacing w:val="-5"/>
                <w:sz w:val="19"/>
              </w:rPr>
              <w:t> </w:t>
            </w:r>
            <w:r>
              <w:rPr>
                <w:b/>
                <w:color w:val="111111"/>
                <w:spacing w:val="-2"/>
                <w:sz w:val="19"/>
              </w:rPr>
              <w:t>Transactions</w:t>
            </w:r>
          </w:p>
          <w:p>
            <w:pPr>
              <w:pStyle w:val="TableParagraph"/>
              <w:spacing w:before="47"/>
              <w:rPr>
                <w:b/>
                <w:sz w:val="19"/>
              </w:rPr>
            </w:pPr>
            <w:r>
              <w:rPr>
                <w:b/>
                <w:color w:val="111111"/>
                <w:sz w:val="19"/>
              </w:rPr>
              <w:t>/</w:t>
            </w:r>
            <w:r>
              <w:rPr>
                <w:b/>
                <w:color w:val="111111"/>
                <w:spacing w:val="-4"/>
                <w:sz w:val="19"/>
              </w:rPr>
              <w:t> Week</w:t>
            </w:r>
          </w:p>
        </w:tc>
        <w:tc>
          <w:tcPr>
            <w:tcW w:w="1277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  <w:r>
              <w:rPr>
                <w:color w:val="111111"/>
                <w:sz w:val="19"/>
              </w:rPr>
              <w:t>8 – </w:t>
            </w:r>
            <w:r>
              <w:rPr>
                <w:color w:val="111111"/>
                <w:spacing w:val="-5"/>
                <w:sz w:val="19"/>
              </w:rPr>
              <w:t>10</w:t>
            </w:r>
          </w:p>
        </w:tc>
        <w:tc>
          <w:tcPr>
            <w:tcW w:w="2099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  <w:r>
              <w:rPr>
                <w:color w:val="111111"/>
                <w:sz w:val="19"/>
              </w:rPr>
              <w:t>18 – </w:t>
            </w:r>
            <w:r>
              <w:rPr>
                <w:color w:val="111111"/>
                <w:spacing w:val="-5"/>
                <w:sz w:val="19"/>
              </w:rPr>
              <w:t>22</w:t>
            </w:r>
          </w:p>
        </w:tc>
        <w:tc>
          <w:tcPr>
            <w:tcW w:w="4200" w:type="dxa"/>
            <w:tcBorders>
              <w:top w:val="nil"/>
            </w:tcBorders>
          </w:tcPr>
          <w:p>
            <w:pPr>
              <w:pStyle w:val="TableParagraph"/>
              <w:spacing w:line="292" w:lineRule="auto" w:before="132"/>
              <w:ind w:left="128" w:right="143"/>
              <w:rPr>
                <w:sz w:val="19"/>
              </w:rPr>
            </w:pPr>
            <w:r>
              <w:rPr>
                <w:color w:val="111111"/>
                <w:sz w:val="19"/>
              </w:rPr>
              <w:t>~100%</w:t>
            </w:r>
            <w:r>
              <w:rPr>
                <w:color w:val="111111"/>
                <w:spacing w:val="-7"/>
                <w:sz w:val="19"/>
              </w:rPr>
              <w:t> </w:t>
            </w:r>
            <w:r>
              <w:rPr>
                <w:color w:val="111111"/>
                <w:sz w:val="19"/>
              </w:rPr>
              <w:t>increase</w:t>
            </w:r>
            <w:r>
              <w:rPr>
                <w:color w:val="111111"/>
                <w:spacing w:val="-7"/>
                <w:sz w:val="19"/>
              </w:rPr>
              <w:t> </w:t>
            </w:r>
            <w:r>
              <w:rPr>
                <w:color w:val="111111"/>
                <w:sz w:val="19"/>
              </w:rPr>
              <w:t>in</w:t>
            </w:r>
            <w:r>
              <w:rPr>
                <w:color w:val="111111"/>
                <w:spacing w:val="-7"/>
                <w:sz w:val="19"/>
              </w:rPr>
              <w:t> </w:t>
            </w:r>
            <w:r>
              <w:rPr>
                <w:color w:val="111111"/>
                <w:sz w:val="19"/>
              </w:rPr>
              <w:t>weekly</w:t>
            </w:r>
            <w:r>
              <w:rPr>
                <w:color w:val="111111"/>
                <w:spacing w:val="-7"/>
                <w:sz w:val="19"/>
              </w:rPr>
              <w:t> </w:t>
            </w:r>
            <w:r>
              <w:rPr>
                <w:color w:val="111111"/>
                <w:sz w:val="19"/>
              </w:rPr>
              <w:t>transaction</w:t>
            </w:r>
            <w:r>
              <w:rPr>
                <w:color w:val="111111"/>
                <w:spacing w:val="-7"/>
                <w:sz w:val="19"/>
              </w:rPr>
              <w:t> </w:t>
            </w:r>
            <w:r>
              <w:rPr>
                <w:color w:val="111111"/>
                <w:sz w:val="19"/>
              </w:rPr>
              <w:t>volume</w:t>
            </w:r>
            <w:r>
              <w:rPr>
                <w:color w:val="111111"/>
                <w:spacing w:val="-7"/>
                <w:sz w:val="19"/>
              </w:rPr>
              <w:t> </w:t>
            </w:r>
            <w:r>
              <w:rPr>
                <w:color w:val="111111"/>
                <w:sz w:val="19"/>
              </w:rPr>
              <w:t>due to frictionless payments.</w:t>
            </w:r>
          </w:p>
        </w:tc>
      </w:tr>
      <w:tr>
        <w:trPr>
          <w:trHeight w:val="761" w:hRule="atLeast"/>
        </w:trPr>
        <w:tc>
          <w:tcPr>
            <w:tcW w:w="2046" w:type="dxa"/>
            <w:shd w:val="clear" w:color="auto" w:fill="F7F9FB"/>
          </w:tcPr>
          <w:p>
            <w:pPr>
              <w:pStyle w:val="TableParagraph"/>
              <w:spacing w:line="266" w:lineRule="auto" w:before="129"/>
              <w:ind w:right="225"/>
              <w:rPr>
                <w:b/>
                <w:sz w:val="19"/>
              </w:rPr>
            </w:pPr>
            <w:r>
              <w:rPr>
                <w:b/>
                <w:color w:val="111111"/>
                <w:spacing w:val="-2"/>
                <w:sz w:val="19"/>
              </w:rPr>
              <w:t>Average</w:t>
            </w:r>
            <w:r>
              <w:rPr>
                <w:b/>
                <w:color w:val="111111"/>
                <w:spacing w:val="-10"/>
                <w:sz w:val="19"/>
              </w:rPr>
              <w:t> </w:t>
            </w:r>
            <w:r>
              <w:rPr>
                <w:b/>
                <w:color w:val="111111"/>
                <w:spacing w:val="-2"/>
                <w:sz w:val="19"/>
              </w:rPr>
              <w:t>Transaction </w:t>
            </w:r>
            <w:r>
              <w:rPr>
                <w:b/>
                <w:color w:val="111111"/>
                <w:sz w:val="19"/>
              </w:rPr>
              <w:t>Value (</w:t>
            </w:r>
            <w:r>
              <w:rPr>
                <w:rFonts w:ascii="Comic Sans MS" w:hAnsi="Comic Sans MS"/>
                <w:b/>
                <w:color w:val="111111"/>
                <w:sz w:val="19"/>
              </w:rPr>
              <w:t>₹</w:t>
            </w:r>
            <w:r>
              <w:rPr>
                <w:b/>
                <w:color w:val="111111"/>
                <w:sz w:val="19"/>
              </w:rPr>
              <w:t>)</w:t>
            </w:r>
          </w:p>
        </w:tc>
        <w:tc>
          <w:tcPr>
            <w:tcW w:w="1277" w:type="dxa"/>
            <w:shd w:val="clear" w:color="auto" w:fill="F7F9FB"/>
          </w:tcPr>
          <w:p>
            <w:pPr>
              <w:pStyle w:val="TableParagraph"/>
              <w:spacing w:before="102"/>
              <w:rPr>
                <w:sz w:val="19"/>
              </w:rPr>
            </w:pPr>
            <w:r>
              <w:rPr>
                <w:rFonts w:ascii="Comic Sans MS" w:hAnsi="Comic Sans MS"/>
                <w:color w:val="111111"/>
                <w:sz w:val="19"/>
              </w:rPr>
              <w:t>₹</w:t>
            </w:r>
            <w:r>
              <w:rPr>
                <w:color w:val="111111"/>
                <w:sz w:val="19"/>
              </w:rPr>
              <w:t>500</w:t>
            </w:r>
            <w:r>
              <w:rPr>
                <w:color w:val="111111"/>
                <w:spacing w:val="-11"/>
                <w:sz w:val="19"/>
              </w:rPr>
              <w:t> </w:t>
            </w:r>
            <w:r>
              <w:rPr>
                <w:color w:val="111111"/>
                <w:spacing w:val="-10"/>
                <w:sz w:val="19"/>
              </w:rPr>
              <w:t>–</w:t>
            </w:r>
          </w:p>
          <w:p>
            <w:pPr>
              <w:pStyle w:val="TableParagraph"/>
              <w:spacing w:before="11"/>
              <w:rPr>
                <w:sz w:val="19"/>
              </w:rPr>
            </w:pPr>
            <w:r>
              <w:rPr>
                <w:rFonts w:ascii="Comic Sans MS" w:hAnsi="Comic Sans MS"/>
                <w:color w:val="111111"/>
                <w:spacing w:val="-2"/>
                <w:sz w:val="19"/>
              </w:rPr>
              <w:t>₹</w:t>
            </w:r>
            <w:r>
              <w:rPr>
                <w:color w:val="111111"/>
                <w:spacing w:val="-2"/>
                <w:sz w:val="19"/>
              </w:rPr>
              <w:t>1,200</w:t>
            </w:r>
          </w:p>
        </w:tc>
        <w:tc>
          <w:tcPr>
            <w:tcW w:w="2099" w:type="dxa"/>
            <w:shd w:val="clear" w:color="auto" w:fill="F7F9FB"/>
          </w:tcPr>
          <w:p>
            <w:pPr>
              <w:pStyle w:val="TableParagraph"/>
              <w:spacing w:before="21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  <w:r>
              <w:rPr>
                <w:rFonts w:ascii="Comic Sans MS" w:hAnsi="Comic Sans MS"/>
                <w:color w:val="111111"/>
                <w:sz w:val="19"/>
              </w:rPr>
              <w:t>₹</w:t>
            </w:r>
            <w:r>
              <w:rPr>
                <w:color w:val="111111"/>
                <w:sz w:val="19"/>
              </w:rPr>
              <w:t>150</w:t>
            </w:r>
            <w:r>
              <w:rPr>
                <w:color w:val="111111"/>
                <w:spacing w:val="-6"/>
                <w:sz w:val="19"/>
              </w:rPr>
              <w:t> </w:t>
            </w:r>
            <w:r>
              <w:rPr>
                <w:color w:val="111111"/>
                <w:sz w:val="19"/>
              </w:rPr>
              <w:t>–</w:t>
            </w:r>
            <w:r>
              <w:rPr>
                <w:color w:val="111111"/>
                <w:spacing w:val="-5"/>
                <w:sz w:val="19"/>
              </w:rPr>
              <w:t> </w:t>
            </w:r>
            <w:r>
              <w:rPr>
                <w:rFonts w:ascii="Comic Sans MS" w:hAnsi="Comic Sans MS"/>
                <w:color w:val="111111"/>
                <w:spacing w:val="-4"/>
                <w:sz w:val="19"/>
              </w:rPr>
              <w:t>₹</w:t>
            </w:r>
            <w:r>
              <w:rPr>
                <w:color w:val="111111"/>
                <w:spacing w:val="-4"/>
                <w:sz w:val="19"/>
              </w:rPr>
              <w:t>350</w:t>
            </w:r>
          </w:p>
        </w:tc>
        <w:tc>
          <w:tcPr>
            <w:tcW w:w="4200" w:type="dxa"/>
            <w:shd w:val="clear" w:color="auto" w:fill="F7F9FB"/>
          </w:tcPr>
          <w:p>
            <w:pPr>
              <w:pStyle w:val="TableParagraph"/>
              <w:spacing w:line="271" w:lineRule="auto" w:before="107"/>
              <w:ind w:left="128"/>
              <w:rPr>
                <w:sz w:val="19"/>
              </w:rPr>
            </w:pPr>
            <w:r>
              <w:rPr>
                <w:color w:val="111111"/>
                <w:sz w:val="19"/>
              </w:rPr>
              <w:t>Digital</w:t>
            </w:r>
            <w:r>
              <w:rPr>
                <w:color w:val="111111"/>
                <w:spacing w:val="-10"/>
                <w:sz w:val="19"/>
              </w:rPr>
              <w:t> </w:t>
            </w:r>
            <w:r>
              <w:rPr>
                <w:color w:val="111111"/>
                <w:sz w:val="19"/>
              </w:rPr>
              <w:t>systems</w:t>
            </w:r>
            <w:r>
              <w:rPr>
                <w:color w:val="111111"/>
                <w:spacing w:val="-11"/>
                <w:sz w:val="19"/>
              </w:rPr>
              <w:t> </w:t>
            </w:r>
            <w:r>
              <w:rPr>
                <w:color w:val="111111"/>
                <w:sz w:val="19"/>
              </w:rPr>
              <w:t>unlock</w:t>
            </w:r>
            <w:r>
              <w:rPr>
                <w:color w:val="111111"/>
                <w:spacing w:val="-10"/>
                <w:sz w:val="19"/>
              </w:rPr>
              <w:t> </w:t>
            </w:r>
            <w:r>
              <w:rPr>
                <w:color w:val="111111"/>
                <w:sz w:val="19"/>
              </w:rPr>
              <w:t>micro-transactions</w:t>
            </w:r>
            <w:r>
              <w:rPr>
                <w:color w:val="111111"/>
                <w:spacing w:val="-11"/>
                <w:sz w:val="19"/>
              </w:rPr>
              <w:t> </w:t>
            </w:r>
            <w:r>
              <w:rPr>
                <w:color w:val="111111"/>
                <w:sz w:val="19"/>
              </w:rPr>
              <w:t>(&lt;</w:t>
            </w:r>
            <w:r>
              <w:rPr>
                <w:color w:val="111111"/>
                <w:spacing w:val="-10"/>
                <w:sz w:val="19"/>
              </w:rPr>
              <w:t> </w:t>
            </w:r>
            <w:r>
              <w:rPr>
                <w:rFonts w:ascii="Comic Sans MS" w:hAnsi="Comic Sans MS"/>
                <w:color w:val="111111"/>
                <w:sz w:val="19"/>
              </w:rPr>
              <w:t>₹</w:t>
            </w:r>
            <w:r>
              <w:rPr>
                <w:color w:val="111111"/>
                <w:sz w:val="19"/>
              </w:rPr>
              <w:t>100) previously constrained by physical cash.</w:t>
            </w:r>
          </w:p>
        </w:tc>
      </w:tr>
      <w:tr>
        <w:trPr>
          <w:trHeight w:val="761" w:hRule="atLeast"/>
        </w:trPr>
        <w:tc>
          <w:tcPr>
            <w:tcW w:w="2046" w:type="dxa"/>
          </w:tcPr>
          <w:p>
            <w:pPr>
              <w:pStyle w:val="TableParagraph"/>
              <w:spacing w:line="266" w:lineRule="auto" w:before="129"/>
              <w:rPr>
                <w:b/>
                <w:sz w:val="19"/>
              </w:rPr>
            </w:pPr>
            <w:r>
              <w:rPr>
                <w:b/>
                <w:color w:val="111111"/>
                <w:spacing w:val="-2"/>
                <w:sz w:val="19"/>
              </w:rPr>
              <w:t>Average</w:t>
            </w:r>
            <w:r>
              <w:rPr>
                <w:b/>
                <w:color w:val="111111"/>
                <w:spacing w:val="-10"/>
                <w:sz w:val="19"/>
              </w:rPr>
              <w:t> </w:t>
            </w:r>
            <w:r>
              <w:rPr>
                <w:b/>
                <w:color w:val="111111"/>
                <w:spacing w:val="-2"/>
                <w:sz w:val="19"/>
              </w:rPr>
              <w:t>Monthly </w:t>
            </w:r>
            <w:r>
              <w:rPr>
                <w:b/>
                <w:color w:val="111111"/>
                <w:sz w:val="19"/>
              </w:rPr>
              <w:t>Spending (</w:t>
            </w:r>
            <w:r>
              <w:rPr>
                <w:rFonts w:ascii="Comic Sans MS" w:hAnsi="Comic Sans MS"/>
                <w:b/>
                <w:color w:val="111111"/>
                <w:sz w:val="19"/>
              </w:rPr>
              <w:t>₹</w:t>
            </w:r>
            <w:r>
              <w:rPr>
                <w:b/>
                <w:color w:val="111111"/>
                <w:sz w:val="19"/>
              </w:rPr>
              <w:t>)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2"/>
              <w:rPr>
                <w:sz w:val="19"/>
              </w:rPr>
            </w:pPr>
            <w:r>
              <w:rPr>
                <w:rFonts w:ascii="Comic Sans MS" w:hAnsi="Comic Sans MS"/>
                <w:color w:val="111111"/>
                <w:sz w:val="19"/>
              </w:rPr>
              <w:t>₹</w:t>
            </w:r>
            <w:r>
              <w:rPr>
                <w:color w:val="111111"/>
                <w:sz w:val="19"/>
              </w:rPr>
              <w:t>16,000</w:t>
            </w:r>
            <w:r>
              <w:rPr>
                <w:color w:val="111111"/>
                <w:spacing w:val="-11"/>
                <w:sz w:val="19"/>
              </w:rPr>
              <w:t> </w:t>
            </w:r>
            <w:r>
              <w:rPr>
                <w:color w:val="111111"/>
                <w:spacing w:val="-10"/>
                <w:sz w:val="19"/>
              </w:rPr>
              <w:t>–</w:t>
            </w:r>
          </w:p>
          <w:p>
            <w:pPr>
              <w:pStyle w:val="TableParagraph"/>
              <w:spacing w:before="11"/>
              <w:rPr>
                <w:sz w:val="19"/>
              </w:rPr>
            </w:pPr>
            <w:r>
              <w:rPr>
                <w:rFonts w:ascii="Comic Sans MS" w:hAnsi="Comic Sans MS"/>
                <w:color w:val="111111"/>
                <w:spacing w:val="-2"/>
                <w:sz w:val="19"/>
              </w:rPr>
              <w:t>₹</w:t>
            </w:r>
            <w:r>
              <w:rPr>
                <w:color w:val="111111"/>
                <w:spacing w:val="-2"/>
                <w:sz w:val="19"/>
              </w:rPr>
              <w:t>24,000</w:t>
            </w:r>
          </w:p>
        </w:tc>
        <w:tc>
          <w:tcPr>
            <w:tcW w:w="2099" w:type="dxa"/>
          </w:tcPr>
          <w:p>
            <w:pPr>
              <w:pStyle w:val="TableParagraph"/>
              <w:spacing w:before="21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  <w:r>
              <w:rPr>
                <w:rFonts w:ascii="Comic Sans MS" w:hAnsi="Comic Sans MS"/>
                <w:color w:val="111111"/>
                <w:sz w:val="19"/>
              </w:rPr>
              <w:t>₹</w:t>
            </w:r>
            <w:r>
              <w:rPr>
                <w:color w:val="111111"/>
                <w:sz w:val="19"/>
              </w:rPr>
              <w:t>22,000</w:t>
            </w:r>
            <w:r>
              <w:rPr>
                <w:color w:val="111111"/>
                <w:spacing w:val="-6"/>
                <w:sz w:val="19"/>
              </w:rPr>
              <w:t> </w:t>
            </w:r>
            <w:r>
              <w:rPr>
                <w:color w:val="111111"/>
                <w:sz w:val="19"/>
              </w:rPr>
              <w:t>–</w:t>
            </w:r>
            <w:r>
              <w:rPr>
                <w:color w:val="111111"/>
                <w:spacing w:val="-5"/>
                <w:sz w:val="19"/>
              </w:rPr>
              <w:t> </w:t>
            </w:r>
            <w:r>
              <w:rPr>
                <w:rFonts w:ascii="Comic Sans MS" w:hAnsi="Comic Sans MS"/>
                <w:color w:val="111111"/>
                <w:spacing w:val="-2"/>
                <w:sz w:val="19"/>
              </w:rPr>
              <w:t>₹</w:t>
            </w:r>
            <w:r>
              <w:rPr>
                <w:color w:val="111111"/>
                <w:spacing w:val="-2"/>
                <w:sz w:val="19"/>
              </w:rPr>
              <w:t>33,000</w:t>
            </w:r>
          </w:p>
        </w:tc>
        <w:tc>
          <w:tcPr>
            <w:tcW w:w="4200" w:type="dxa"/>
          </w:tcPr>
          <w:p>
            <w:pPr>
              <w:pStyle w:val="TableParagraph"/>
              <w:spacing w:line="292" w:lineRule="auto" w:before="134"/>
              <w:ind w:left="128" w:right="143"/>
              <w:rPr>
                <w:sz w:val="19"/>
              </w:rPr>
            </w:pPr>
            <w:r>
              <w:rPr>
                <w:color w:val="111111"/>
                <w:sz w:val="19"/>
              </w:rPr>
              <w:t>Net</w:t>
            </w:r>
            <w:r>
              <w:rPr>
                <w:color w:val="111111"/>
                <w:spacing w:val="-6"/>
                <w:sz w:val="19"/>
              </w:rPr>
              <w:t> </w:t>
            </w:r>
            <w:r>
              <w:rPr>
                <w:color w:val="111111"/>
                <w:sz w:val="19"/>
              </w:rPr>
              <w:t>monthly</w:t>
            </w:r>
            <w:r>
              <w:rPr>
                <w:color w:val="111111"/>
                <w:spacing w:val="-6"/>
                <w:sz w:val="19"/>
              </w:rPr>
              <w:t> </w:t>
            </w:r>
            <w:r>
              <w:rPr>
                <w:color w:val="111111"/>
                <w:sz w:val="19"/>
              </w:rPr>
              <w:t>outlay</w:t>
            </w:r>
            <w:r>
              <w:rPr>
                <w:color w:val="111111"/>
                <w:spacing w:val="-6"/>
                <w:sz w:val="19"/>
              </w:rPr>
              <w:t> </w:t>
            </w:r>
            <w:r>
              <w:rPr>
                <w:color w:val="111111"/>
                <w:sz w:val="19"/>
              </w:rPr>
              <w:t>increases</w:t>
            </w:r>
            <w:r>
              <w:rPr>
                <w:color w:val="111111"/>
                <w:spacing w:val="-7"/>
                <w:sz w:val="19"/>
              </w:rPr>
              <w:t> </w:t>
            </w:r>
            <w:r>
              <w:rPr>
                <w:color w:val="111111"/>
                <w:sz w:val="19"/>
              </w:rPr>
              <w:t>by</w:t>
            </w:r>
            <w:r>
              <w:rPr>
                <w:color w:val="111111"/>
                <w:spacing w:val="-6"/>
                <w:sz w:val="19"/>
              </w:rPr>
              <w:t> </w:t>
            </w:r>
            <w:r>
              <w:rPr>
                <w:color w:val="111111"/>
                <w:sz w:val="19"/>
              </w:rPr>
              <w:t>30%</w:t>
            </w:r>
            <w:r>
              <w:rPr>
                <w:color w:val="111111"/>
                <w:spacing w:val="-6"/>
                <w:sz w:val="19"/>
              </w:rPr>
              <w:t> </w:t>
            </w:r>
            <w:r>
              <w:rPr>
                <w:color w:val="111111"/>
                <w:sz w:val="19"/>
              </w:rPr>
              <w:t>to</w:t>
            </w:r>
            <w:r>
              <w:rPr>
                <w:color w:val="111111"/>
                <w:spacing w:val="-6"/>
                <w:sz w:val="19"/>
              </w:rPr>
              <w:t> </w:t>
            </w:r>
            <w:r>
              <w:rPr>
                <w:color w:val="111111"/>
                <w:sz w:val="19"/>
              </w:rPr>
              <w:t>45% following digital adoption.</w:t>
            </w:r>
          </w:p>
        </w:tc>
      </w:tr>
      <w:tr>
        <w:trPr>
          <w:trHeight w:val="741" w:hRule="atLeast"/>
        </w:trPr>
        <w:tc>
          <w:tcPr>
            <w:tcW w:w="2046" w:type="dxa"/>
            <w:shd w:val="clear" w:color="auto" w:fill="F7F9FB"/>
          </w:tcPr>
          <w:p>
            <w:pPr>
              <w:pStyle w:val="TableParagraph"/>
              <w:spacing w:line="292" w:lineRule="auto" w:before="124"/>
              <w:ind w:right="225"/>
              <w:rPr>
                <w:b/>
                <w:sz w:val="19"/>
              </w:rPr>
            </w:pPr>
            <w:r>
              <w:rPr>
                <w:b/>
                <w:color w:val="111111"/>
                <w:spacing w:val="-2"/>
                <w:sz w:val="19"/>
              </w:rPr>
              <w:t>Self-Reported </w:t>
            </w:r>
            <w:r>
              <w:rPr>
                <w:b/>
                <w:color w:val="111111"/>
                <w:sz w:val="19"/>
              </w:rPr>
              <w:t>Impulse </w:t>
            </w:r>
            <w:r>
              <w:rPr>
                <w:b/>
                <w:color w:val="111111"/>
                <w:spacing w:val="-4"/>
                <w:sz w:val="19"/>
              </w:rPr>
              <w:t>Rate</w:t>
            </w:r>
          </w:p>
        </w:tc>
        <w:tc>
          <w:tcPr>
            <w:tcW w:w="1277" w:type="dxa"/>
            <w:shd w:val="clear" w:color="auto" w:fill="F7F9FB"/>
          </w:tcPr>
          <w:p>
            <w:pPr>
              <w:pStyle w:val="TableParagraph"/>
              <w:spacing w:before="39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  <w:r>
              <w:rPr>
                <w:color w:val="111111"/>
                <w:spacing w:val="-5"/>
                <w:sz w:val="19"/>
              </w:rPr>
              <w:t>28%</w:t>
            </w:r>
          </w:p>
        </w:tc>
        <w:tc>
          <w:tcPr>
            <w:tcW w:w="2099" w:type="dxa"/>
            <w:shd w:val="clear" w:color="auto" w:fill="F7F9FB"/>
          </w:tcPr>
          <w:p>
            <w:pPr>
              <w:pStyle w:val="TableParagraph"/>
              <w:spacing w:before="39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  <w:r>
              <w:rPr>
                <w:color w:val="111111"/>
                <w:spacing w:val="-5"/>
                <w:sz w:val="19"/>
              </w:rPr>
              <w:t>52%</w:t>
            </w:r>
          </w:p>
        </w:tc>
        <w:tc>
          <w:tcPr>
            <w:tcW w:w="4200" w:type="dxa"/>
            <w:shd w:val="clear" w:color="auto" w:fill="F7F9FB"/>
          </w:tcPr>
          <w:p>
            <w:pPr>
              <w:pStyle w:val="TableParagraph"/>
              <w:spacing w:line="292" w:lineRule="auto" w:before="124"/>
              <w:ind w:left="128" w:right="143"/>
              <w:rPr>
                <w:sz w:val="19"/>
              </w:rPr>
            </w:pPr>
            <w:r>
              <w:rPr>
                <w:color w:val="111111"/>
                <w:sz w:val="19"/>
              </w:rPr>
              <w:t>Reduced</w:t>
            </w:r>
            <w:r>
              <w:rPr>
                <w:color w:val="111111"/>
                <w:spacing w:val="-8"/>
                <w:sz w:val="19"/>
              </w:rPr>
              <w:t> </w:t>
            </w:r>
            <w:r>
              <w:rPr>
                <w:color w:val="111111"/>
                <w:sz w:val="19"/>
              </w:rPr>
              <w:t>physical</w:t>
            </w:r>
            <w:r>
              <w:rPr>
                <w:color w:val="111111"/>
                <w:spacing w:val="-8"/>
                <w:sz w:val="19"/>
              </w:rPr>
              <w:t> </w:t>
            </w:r>
            <w:r>
              <w:rPr>
                <w:color w:val="111111"/>
                <w:sz w:val="19"/>
              </w:rPr>
              <w:t>"pain</w:t>
            </w:r>
            <w:r>
              <w:rPr>
                <w:color w:val="111111"/>
                <w:spacing w:val="-8"/>
                <w:sz w:val="19"/>
              </w:rPr>
              <w:t> </w:t>
            </w:r>
            <w:r>
              <w:rPr>
                <w:color w:val="111111"/>
                <w:sz w:val="19"/>
              </w:rPr>
              <w:t>of</w:t>
            </w:r>
            <w:r>
              <w:rPr>
                <w:color w:val="111111"/>
                <w:spacing w:val="-8"/>
                <w:sz w:val="19"/>
              </w:rPr>
              <w:t> </w:t>
            </w:r>
            <w:r>
              <w:rPr>
                <w:color w:val="111111"/>
                <w:sz w:val="19"/>
              </w:rPr>
              <w:t>payment"</w:t>
            </w:r>
            <w:r>
              <w:rPr>
                <w:color w:val="111111"/>
                <w:spacing w:val="-9"/>
                <w:sz w:val="19"/>
              </w:rPr>
              <w:t> </w:t>
            </w:r>
            <w:r>
              <w:rPr>
                <w:color w:val="111111"/>
                <w:sz w:val="19"/>
              </w:rPr>
              <w:t>significantly elevates unplanned purchases.</w:t>
            </w:r>
          </w:p>
        </w:tc>
      </w:tr>
    </w:tbl>
    <w:p>
      <w:pPr>
        <w:pStyle w:val="BodyText"/>
        <w:spacing w:before="111"/>
        <w:rPr>
          <w:b/>
        </w:rPr>
      </w:pPr>
    </w:p>
    <w:p>
      <w:pPr>
        <w:spacing w:before="0"/>
        <w:ind w:left="141" w:right="0" w:firstLine="0"/>
        <w:jc w:val="left"/>
        <w:rPr>
          <w:b/>
          <w:sz w:val="19"/>
        </w:rPr>
      </w:pPr>
      <w:r>
        <w:rPr>
          <w:b/>
          <w:color w:val="1A365D"/>
          <w:sz w:val="19"/>
        </w:rPr>
        <w:t>Table</w:t>
      </w:r>
      <w:r>
        <w:rPr>
          <w:b/>
          <w:color w:val="1A365D"/>
          <w:spacing w:val="-14"/>
          <w:sz w:val="19"/>
        </w:rPr>
        <w:t> </w:t>
      </w:r>
      <w:r>
        <w:rPr>
          <w:b/>
          <w:color w:val="1A365D"/>
          <w:sz w:val="19"/>
        </w:rPr>
        <w:t>S2:</w:t>
      </w:r>
      <w:r>
        <w:rPr>
          <w:b/>
          <w:color w:val="1A365D"/>
          <w:spacing w:val="-12"/>
          <w:sz w:val="19"/>
        </w:rPr>
        <w:t> </w:t>
      </w:r>
      <w:r>
        <w:rPr>
          <w:b/>
          <w:color w:val="1A365D"/>
          <w:sz w:val="19"/>
        </w:rPr>
        <w:t>Behavioral</w:t>
      </w:r>
      <w:r>
        <w:rPr>
          <w:b/>
          <w:color w:val="1A365D"/>
          <w:spacing w:val="-11"/>
          <w:sz w:val="19"/>
        </w:rPr>
        <w:t> </w:t>
      </w:r>
      <w:r>
        <w:rPr>
          <w:b/>
          <w:color w:val="1A365D"/>
          <w:sz w:val="19"/>
        </w:rPr>
        <w:t>Variation</w:t>
      </w:r>
      <w:r>
        <w:rPr>
          <w:b/>
          <w:color w:val="1A365D"/>
          <w:spacing w:val="-12"/>
          <w:sz w:val="19"/>
        </w:rPr>
        <w:t> </w:t>
      </w:r>
      <w:r>
        <w:rPr>
          <w:b/>
          <w:color w:val="1A365D"/>
          <w:sz w:val="19"/>
        </w:rPr>
        <w:t>Across</w:t>
      </w:r>
      <w:r>
        <w:rPr>
          <w:b/>
          <w:color w:val="1A365D"/>
          <w:spacing w:val="-10"/>
          <w:sz w:val="19"/>
        </w:rPr>
        <w:t> </w:t>
      </w:r>
      <w:r>
        <w:rPr>
          <w:b/>
          <w:color w:val="1A365D"/>
          <w:sz w:val="19"/>
        </w:rPr>
        <w:t>Demographic</w:t>
      </w:r>
      <w:r>
        <w:rPr>
          <w:b/>
          <w:color w:val="1A365D"/>
          <w:spacing w:val="-8"/>
          <w:sz w:val="19"/>
        </w:rPr>
        <w:t> </w:t>
      </w:r>
      <w:r>
        <w:rPr>
          <w:b/>
          <w:color w:val="1A365D"/>
          <w:spacing w:val="-2"/>
          <w:sz w:val="19"/>
        </w:rPr>
        <w:t>Segments</w:t>
      </w:r>
    </w:p>
    <w:p>
      <w:pPr>
        <w:pStyle w:val="BodyText"/>
        <w:rPr>
          <w:b/>
          <w:sz w:val="17"/>
        </w:rPr>
      </w:pPr>
    </w:p>
    <w:tbl>
      <w:tblPr>
        <w:tblW w:w="0" w:type="auto"/>
        <w:jc w:val="left"/>
        <w:tblInd w:w="156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9"/>
        <w:gridCol w:w="2909"/>
        <w:gridCol w:w="2544"/>
        <w:gridCol w:w="2081"/>
      </w:tblGrid>
      <w:tr>
        <w:trPr>
          <w:trHeight w:val="764" w:hRule="atLeast"/>
        </w:trPr>
        <w:tc>
          <w:tcPr>
            <w:tcW w:w="9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A365D"/>
          </w:tcPr>
          <w:p>
            <w:pPr>
              <w:pStyle w:val="TableParagraph"/>
              <w:tabs>
                <w:tab w:pos="2223" w:val="left" w:leader="none"/>
                <w:tab w:pos="5132" w:val="left" w:leader="none"/>
                <w:tab w:pos="7676" w:val="left" w:leader="none"/>
              </w:tabs>
              <w:spacing w:line="182" w:lineRule="auto" w:before="151"/>
              <w:ind w:left="2223" w:right="156" w:hanging="2089"/>
              <w:rPr>
                <w:b/>
                <w:sz w:val="19"/>
              </w:rPr>
            </w:pPr>
            <w:r>
              <w:rPr>
                <w:b/>
                <w:color w:val="FFFFFF"/>
                <w:position w:val="-12"/>
                <w:sz w:val="19"/>
              </w:rPr>
              <w:t>Demographic Group</w:t>
              <w:tab/>
            </w:r>
            <w:r>
              <w:rPr>
                <w:b/>
                <w:color w:val="FFFFFF"/>
                <w:sz w:val="19"/>
              </w:rPr>
              <w:t>Monthly Spending Change Post-</w:t>
              <w:tab/>
              <w:t>Impulse Purchase</w:t>
              <w:tab/>
            </w:r>
            <w:r>
              <w:rPr>
                <w:b/>
                <w:color w:val="FFFFFF"/>
                <w:spacing w:val="-2"/>
                <w:position w:val="-12"/>
                <w:sz w:val="19"/>
              </w:rPr>
              <w:t>Budget</w:t>
            </w:r>
            <w:r>
              <w:rPr>
                <w:b/>
                <w:color w:val="FFFFFF"/>
                <w:spacing w:val="-10"/>
                <w:position w:val="-12"/>
                <w:sz w:val="19"/>
              </w:rPr>
              <w:t> </w:t>
            </w:r>
            <w:r>
              <w:rPr>
                <w:b/>
                <w:color w:val="FFFFFF"/>
                <w:spacing w:val="-2"/>
                <w:position w:val="-12"/>
                <w:sz w:val="19"/>
              </w:rPr>
              <w:t>Tracking</w:t>
            </w:r>
            <w:r>
              <w:rPr>
                <w:b/>
                <w:color w:val="FFFFFF"/>
                <w:spacing w:val="-9"/>
                <w:position w:val="-12"/>
                <w:sz w:val="19"/>
              </w:rPr>
              <w:t> </w:t>
            </w:r>
            <w:r>
              <w:rPr>
                <w:b/>
                <w:color w:val="FFFFFF"/>
                <w:spacing w:val="-2"/>
                <w:position w:val="-12"/>
                <w:sz w:val="19"/>
              </w:rPr>
              <w:t>Rate </w:t>
            </w:r>
            <w:r>
              <w:rPr>
                <w:b/>
                <w:color w:val="FFFFFF"/>
                <w:spacing w:val="-2"/>
                <w:sz w:val="19"/>
              </w:rPr>
              <w:t>Adoption</w:t>
            </w:r>
            <w:r>
              <w:rPr>
                <w:b/>
                <w:color w:val="FFFFFF"/>
                <w:sz w:val="19"/>
              </w:rPr>
              <w:tab/>
            </w:r>
            <w:r>
              <w:rPr>
                <w:b/>
                <w:color w:val="FFFFFF"/>
                <w:spacing w:val="-2"/>
                <w:sz w:val="19"/>
              </w:rPr>
              <w:t>Susceptibility</w:t>
            </w:r>
          </w:p>
        </w:tc>
      </w:tr>
      <w:tr>
        <w:trPr>
          <w:trHeight w:val="749" w:hRule="atLeast"/>
        </w:trPr>
        <w:tc>
          <w:tcPr>
            <w:tcW w:w="2089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111111"/>
                <w:sz w:val="19"/>
              </w:rPr>
              <w:t>Age 18 to 30 </w:t>
            </w:r>
            <w:r>
              <w:rPr>
                <w:b/>
                <w:color w:val="111111"/>
                <w:spacing w:val="-2"/>
                <w:sz w:val="19"/>
              </w:rPr>
              <w:t>years</w:t>
            </w:r>
          </w:p>
        </w:tc>
        <w:tc>
          <w:tcPr>
            <w:tcW w:w="2909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  <w:r>
              <w:rPr>
                <w:color w:val="111111"/>
                <w:sz w:val="19"/>
              </w:rPr>
              <w:t>Increase of 45% – </w:t>
            </w:r>
            <w:r>
              <w:rPr>
                <w:color w:val="111111"/>
                <w:spacing w:val="-5"/>
                <w:sz w:val="19"/>
              </w:rPr>
              <w:t>55%</w:t>
            </w:r>
          </w:p>
        </w:tc>
        <w:tc>
          <w:tcPr>
            <w:tcW w:w="2544" w:type="dxa"/>
            <w:tcBorders>
              <w:top w:val="nil"/>
            </w:tcBorders>
          </w:tcPr>
          <w:p>
            <w:pPr>
              <w:pStyle w:val="TableParagraph"/>
              <w:spacing w:line="292" w:lineRule="auto" w:before="132"/>
              <w:rPr>
                <w:sz w:val="19"/>
              </w:rPr>
            </w:pPr>
            <w:r>
              <w:rPr>
                <w:color w:val="111111"/>
                <w:sz w:val="19"/>
              </w:rPr>
              <w:t>65%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report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frequent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impulse </w:t>
            </w:r>
            <w:r>
              <w:rPr>
                <w:color w:val="111111"/>
                <w:spacing w:val="-2"/>
                <w:sz w:val="19"/>
              </w:rPr>
              <w:t>buying</w:t>
            </w:r>
          </w:p>
        </w:tc>
        <w:tc>
          <w:tcPr>
            <w:tcW w:w="2081" w:type="dxa"/>
            <w:tcBorders>
              <w:top w:val="nil"/>
            </w:tcBorders>
          </w:tcPr>
          <w:p>
            <w:pPr>
              <w:pStyle w:val="TableParagraph"/>
              <w:spacing w:line="292" w:lineRule="auto" w:before="132"/>
              <w:rPr>
                <w:sz w:val="19"/>
              </w:rPr>
            </w:pPr>
            <w:r>
              <w:rPr>
                <w:color w:val="111111"/>
                <w:sz w:val="19"/>
              </w:rPr>
              <w:t>25%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practice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regular </w:t>
            </w:r>
            <w:r>
              <w:rPr>
                <w:color w:val="111111"/>
                <w:spacing w:val="-2"/>
                <w:sz w:val="19"/>
              </w:rPr>
              <w:t>tracking</w:t>
            </w:r>
          </w:p>
        </w:tc>
      </w:tr>
      <w:tr>
        <w:trPr>
          <w:trHeight w:val="742" w:hRule="atLeast"/>
        </w:trPr>
        <w:tc>
          <w:tcPr>
            <w:tcW w:w="2089" w:type="dxa"/>
            <w:shd w:val="clear" w:color="auto" w:fill="F7F9FB"/>
          </w:tcPr>
          <w:p>
            <w:pPr>
              <w:pStyle w:val="TableParagraph"/>
              <w:spacing w:before="39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111111"/>
                <w:sz w:val="19"/>
              </w:rPr>
              <w:t>Age 31 to 50 </w:t>
            </w:r>
            <w:r>
              <w:rPr>
                <w:b/>
                <w:color w:val="111111"/>
                <w:spacing w:val="-2"/>
                <w:sz w:val="19"/>
              </w:rPr>
              <w:t>years</w:t>
            </w:r>
          </w:p>
        </w:tc>
        <w:tc>
          <w:tcPr>
            <w:tcW w:w="2909" w:type="dxa"/>
            <w:shd w:val="clear" w:color="auto" w:fill="F7F9FB"/>
          </w:tcPr>
          <w:p>
            <w:pPr>
              <w:pStyle w:val="TableParagraph"/>
              <w:spacing w:before="39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  <w:r>
              <w:rPr>
                <w:color w:val="111111"/>
                <w:sz w:val="19"/>
              </w:rPr>
              <w:t>Increase of 30% – </w:t>
            </w:r>
            <w:r>
              <w:rPr>
                <w:color w:val="111111"/>
                <w:spacing w:val="-5"/>
                <w:sz w:val="19"/>
              </w:rPr>
              <w:t>40%</w:t>
            </w:r>
          </w:p>
        </w:tc>
        <w:tc>
          <w:tcPr>
            <w:tcW w:w="2544" w:type="dxa"/>
            <w:shd w:val="clear" w:color="auto" w:fill="F7F9FB"/>
          </w:tcPr>
          <w:p>
            <w:pPr>
              <w:pStyle w:val="TableParagraph"/>
              <w:spacing w:line="292" w:lineRule="auto" w:before="124"/>
              <w:rPr>
                <w:sz w:val="19"/>
              </w:rPr>
            </w:pPr>
            <w:r>
              <w:rPr>
                <w:color w:val="111111"/>
                <w:sz w:val="19"/>
              </w:rPr>
              <w:t>48%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report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frequent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impulse </w:t>
            </w:r>
            <w:r>
              <w:rPr>
                <w:color w:val="111111"/>
                <w:spacing w:val="-2"/>
                <w:sz w:val="19"/>
              </w:rPr>
              <w:t>buying</w:t>
            </w:r>
          </w:p>
        </w:tc>
        <w:tc>
          <w:tcPr>
            <w:tcW w:w="2081" w:type="dxa"/>
            <w:shd w:val="clear" w:color="auto" w:fill="F7F9FB"/>
          </w:tcPr>
          <w:p>
            <w:pPr>
              <w:pStyle w:val="TableParagraph"/>
              <w:spacing w:line="292" w:lineRule="auto" w:before="124"/>
              <w:rPr>
                <w:sz w:val="19"/>
              </w:rPr>
            </w:pPr>
            <w:r>
              <w:rPr>
                <w:color w:val="111111"/>
                <w:sz w:val="19"/>
              </w:rPr>
              <w:t>45%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practice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regular </w:t>
            </w:r>
            <w:r>
              <w:rPr>
                <w:color w:val="111111"/>
                <w:spacing w:val="-2"/>
                <w:sz w:val="19"/>
              </w:rPr>
              <w:t>tracking</w:t>
            </w:r>
          </w:p>
        </w:tc>
      </w:tr>
      <w:tr>
        <w:trPr>
          <w:trHeight w:val="741" w:hRule="atLeast"/>
        </w:trPr>
        <w:tc>
          <w:tcPr>
            <w:tcW w:w="2089" w:type="dxa"/>
          </w:tcPr>
          <w:p>
            <w:pPr>
              <w:pStyle w:val="TableParagraph"/>
              <w:spacing w:before="39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111111"/>
                <w:sz w:val="19"/>
              </w:rPr>
              <w:t>Age 51+ </w:t>
            </w:r>
            <w:r>
              <w:rPr>
                <w:b/>
                <w:color w:val="111111"/>
                <w:spacing w:val="-2"/>
                <w:sz w:val="19"/>
              </w:rPr>
              <w:t>years</w:t>
            </w:r>
          </w:p>
        </w:tc>
        <w:tc>
          <w:tcPr>
            <w:tcW w:w="2909" w:type="dxa"/>
          </w:tcPr>
          <w:p>
            <w:pPr>
              <w:pStyle w:val="TableParagraph"/>
              <w:spacing w:before="39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  <w:r>
              <w:rPr>
                <w:color w:val="111111"/>
                <w:sz w:val="19"/>
              </w:rPr>
              <w:t>Increase of 15% – </w:t>
            </w:r>
            <w:r>
              <w:rPr>
                <w:color w:val="111111"/>
                <w:spacing w:val="-5"/>
                <w:sz w:val="19"/>
              </w:rPr>
              <w:t>25%</w:t>
            </w:r>
          </w:p>
        </w:tc>
        <w:tc>
          <w:tcPr>
            <w:tcW w:w="2544" w:type="dxa"/>
          </w:tcPr>
          <w:p>
            <w:pPr>
              <w:pStyle w:val="TableParagraph"/>
              <w:spacing w:line="292" w:lineRule="auto" w:before="124"/>
              <w:rPr>
                <w:sz w:val="19"/>
              </w:rPr>
            </w:pPr>
            <w:r>
              <w:rPr>
                <w:color w:val="111111"/>
                <w:sz w:val="19"/>
              </w:rPr>
              <w:t>25%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report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frequent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impulse </w:t>
            </w:r>
            <w:r>
              <w:rPr>
                <w:color w:val="111111"/>
                <w:spacing w:val="-2"/>
                <w:sz w:val="19"/>
              </w:rPr>
              <w:t>buying</w:t>
            </w:r>
          </w:p>
        </w:tc>
        <w:tc>
          <w:tcPr>
            <w:tcW w:w="2081" w:type="dxa"/>
          </w:tcPr>
          <w:p>
            <w:pPr>
              <w:pStyle w:val="TableParagraph"/>
              <w:spacing w:line="292" w:lineRule="auto" w:before="124"/>
              <w:rPr>
                <w:sz w:val="19"/>
              </w:rPr>
            </w:pPr>
            <w:r>
              <w:rPr>
                <w:color w:val="111111"/>
                <w:sz w:val="19"/>
              </w:rPr>
              <w:t>70%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practice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regular </w:t>
            </w:r>
            <w:r>
              <w:rPr>
                <w:color w:val="111111"/>
                <w:spacing w:val="-2"/>
                <w:sz w:val="19"/>
              </w:rPr>
              <w:t>tracking</w:t>
            </w:r>
          </w:p>
        </w:tc>
      </w:tr>
      <w:tr>
        <w:trPr>
          <w:trHeight w:val="742" w:hRule="atLeast"/>
        </w:trPr>
        <w:tc>
          <w:tcPr>
            <w:tcW w:w="2089" w:type="dxa"/>
            <w:shd w:val="clear" w:color="auto" w:fill="F7F9FB"/>
          </w:tcPr>
          <w:p>
            <w:pPr>
              <w:pStyle w:val="TableParagraph"/>
              <w:spacing w:line="292" w:lineRule="auto" w:before="124"/>
              <w:ind w:right="645"/>
              <w:rPr>
                <w:b/>
                <w:sz w:val="19"/>
              </w:rPr>
            </w:pPr>
            <w:r>
              <w:rPr>
                <w:b/>
                <w:color w:val="111111"/>
                <w:sz w:val="19"/>
              </w:rPr>
              <w:t>Urban</w:t>
            </w:r>
            <w:r>
              <w:rPr>
                <w:b/>
                <w:color w:val="111111"/>
                <w:spacing w:val="-12"/>
                <w:sz w:val="19"/>
              </w:rPr>
              <w:t> </w:t>
            </w:r>
            <w:r>
              <w:rPr>
                <w:b/>
                <w:color w:val="111111"/>
                <w:sz w:val="19"/>
              </w:rPr>
              <w:t>Location </w:t>
            </w:r>
            <w:r>
              <w:rPr>
                <w:b/>
                <w:color w:val="111111"/>
                <w:spacing w:val="-2"/>
                <w:sz w:val="19"/>
              </w:rPr>
              <w:t>Residents</w:t>
            </w:r>
          </w:p>
        </w:tc>
        <w:tc>
          <w:tcPr>
            <w:tcW w:w="2909" w:type="dxa"/>
            <w:shd w:val="clear" w:color="auto" w:fill="F7F9FB"/>
          </w:tcPr>
          <w:p>
            <w:pPr>
              <w:pStyle w:val="TableParagraph"/>
              <w:spacing w:before="39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  <w:r>
              <w:rPr>
                <w:color w:val="111111"/>
                <w:sz w:val="19"/>
              </w:rPr>
              <w:t>Increase of 40% – </w:t>
            </w:r>
            <w:r>
              <w:rPr>
                <w:color w:val="111111"/>
                <w:spacing w:val="-5"/>
                <w:sz w:val="19"/>
              </w:rPr>
              <w:t>50%</w:t>
            </w:r>
          </w:p>
        </w:tc>
        <w:tc>
          <w:tcPr>
            <w:tcW w:w="2544" w:type="dxa"/>
            <w:shd w:val="clear" w:color="auto" w:fill="F7F9FB"/>
          </w:tcPr>
          <w:p>
            <w:pPr>
              <w:pStyle w:val="TableParagraph"/>
              <w:spacing w:line="292" w:lineRule="auto" w:before="124"/>
              <w:rPr>
                <w:sz w:val="19"/>
              </w:rPr>
            </w:pPr>
            <w:r>
              <w:rPr>
                <w:color w:val="111111"/>
                <w:sz w:val="19"/>
              </w:rPr>
              <w:t>58%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report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frequent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impulse </w:t>
            </w:r>
            <w:r>
              <w:rPr>
                <w:color w:val="111111"/>
                <w:spacing w:val="-2"/>
                <w:sz w:val="19"/>
              </w:rPr>
              <w:t>buying</w:t>
            </w:r>
          </w:p>
        </w:tc>
        <w:tc>
          <w:tcPr>
            <w:tcW w:w="2081" w:type="dxa"/>
            <w:shd w:val="clear" w:color="auto" w:fill="F7F9FB"/>
          </w:tcPr>
          <w:p>
            <w:pPr>
              <w:pStyle w:val="TableParagraph"/>
              <w:spacing w:line="292" w:lineRule="auto" w:before="124"/>
              <w:rPr>
                <w:sz w:val="19"/>
              </w:rPr>
            </w:pPr>
            <w:r>
              <w:rPr>
                <w:color w:val="111111"/>
                <w:sz w:val="19"/>
              </w:rPr>
              <w:t>35%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practice</w:t>
            </w:r>
            <w:r>
              <w:rPr>
                <w:color w:val="111111"/>
                <w:spacing w:val="-12"/>
                <w:sz w:val="19"/>
              </w:rPr>
              <w:t> </w:t>
            </w:r>
            <w:r>
              <w:rPr>
                <w:color w:val="111111"/>
                <w:sz w:val="19"/>
              </w:rPr>
              <w:t>regular </w:t>
            </w:r>
            <w:r>
              <w:rPr>
                <w:color w:val="111111"/>
                <w:spacing w:val="-2"/>
                <w:sz w:val="19"/>
              </w:rPr>
              <w:t>tracking</w:t>
            </w:r>
          </w:p>
        </w:tc>
      </w:tr>
    </w:tbl>
    <w:p>
      <w:pPr>
        <w:pStyle w:val="BodyText"/>
        <w:spacing w:before="115"/>
        <w:rPr>
          <w:b/>
        </w:rPr>
      </w:pPr>
    </w:p>
    <w:p>
      <w:pPr>
        <w:pStyle w:val="Heading2"/>
        <w:spacing w:before="1"/>
      </w:pPr>
      <w:r>
        <w:rPr>
          <w:color w:val="0C233A"/>
        </w:rPr>
        <w:t>Appendix</w:t>
      </w:r>
      <w:r>
        <w:rPr>
          <w:color w:val="0C233A"/>
          <w:spacing w:val="-2"/>
        </w:rPr>
        <w:t> </w:t>
      </w:r>
      <w:r>
        <w:rPr>
          <w:color w:val="0C233A"/>
        </w:rPr>
        <w:t>B: Methodological Summary &amp; Secondary </w:t>
      </w:r>
      <w:r>
        <w:rPr>
          <w:color w:val="0C233A"/>
          <w:spacing w:val="-2"/>
        </w:rPr>
        <w:t>Sources</w:t>
      </w:r>
    </w:p>
    <w:p>
      <w:pPr>
        <w:pStyle w:val="BodyText"/>
        <w:spacing w:before="10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719999</wp:posOffset>
                </wp:positionH>
                <wp:positionV relativeFrom="paragraph">
                  <wp:posOffset>50821</wp:posOffset>
                </wp:positionV>
                <wp:extent cx="6120130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1201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9525">
                              <a:moveTo>
                                <a:pt x="612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120000" y="0"/>
                              </a:lnTo>
                              <a:lnTo>
                                <a:pt x="612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23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92913pt;margin-top:4.001702pt;width:481.889778pt;height:.75pt;mso-position-horizontal-relative:page;mso-position-vertical-relative:paragraph;z-index:-15727616;mso-wrap-distance-left:0;mso-wrap-distance-right:0" id="docshape4" filled="true" fillcolor="#0c233a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719999</wp:posOffset>
                </wp:positionH>
                <wp:positionV relativeFrom="paragraph">
                  <wp:posOffset>202893</wp:posOffset>
                </wp:positionV>
                <wp:extent cx="6120130" cy="52832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120130" cy="528320"/>
                          <a:chExt cx="6120130" cy="5283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12013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528320">
                                <a:moveTo>
                                  <a:pt x="6119999" y="528320"/>
                                </a:moveTo>
                                <a:lnTo>
                                  <a:pt x="0" y="528320"/>
                                </a:lnTo>
                                <a:lnTo>
                                  <a:pt x="0" y="0"/>
                                </a:lnTo>
                                <a:lnTo>
                                  <a:pt x="6119999" y="0"/>
                                </a:lnTo>
                                <a:lnTo>
                                  <a:pt x="6119999" y="528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3810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528320">
                                <a:moveTo>
                                  <a:pt x="38100" y="528320"/>
                                </a:moveTo>
                                <a:lnTo>
                                  <a:pt x="0" y="528320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528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6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8100" y="0"/>
                            <a:ext cx="6082030" cy="528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2" w:lineRule="auto" w:before="169"/>
                                <w:ind w:left="179" w:right="566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11111"/>
                                  <w:sz w:val="19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111111"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111"/>
                                  <w:sz w:val="19"/>
                                </w:rPr>
                                <w:t>Synthesis</w:t>
                              </w:r>
                              <w:r>
                                <w:rPr>
                                  <w:b/>
                                  <w:color w:val="111111"/>
                                  <w:spacing w:val="-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111"/>
                                  <w:sz w:val="19"/>
                                </w:rPr>
                                <w:t>Note:</w:t>
                              </w:r>
                              <w:r>
                                <w:rPr>
                                  <w:b/>
                                  <w:color w:val="111111"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9"/>
                                </w:rPr>
                                <w:t>Secondary</w:t>
                              </w:r>
                              <w:r>
                                <w:rPr>
                                  <w:color w:val="111111"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9"/>
                                </w:rPr>
                                <w:t>data</w:t>
                              </w:r>
                              <w:r>
                                <w:rPr>
                                  <w:color w:val="111111"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9"/>
                                </w:rPr>
                                <w:t>compiled</w:t>
                              </w:r>
                              <w:r>
                                <w:rPr>
                                  <w:color w:val="111111"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9"/>
                                </w:rPr>
                                <w:t>from</w:t>
                              </w:r>
                              <w:r>
                                <w:rPr>
                                  <w:color w:val="111111"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9"/>
                                </w:rPr>
                                <w:t>peer-reviewed</w:t>
                              </w:r>
                              <w:r>
                                <w:rPr>
                                  <w:color w:val="111111"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9"/>
                                </w:rPr>
                                <w:t>journals,</w:t>
                              </w:r>
                              <w:r>
                                <w:rPr>
                                  <w:color w:val="111111"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9"/>
                                </w:rPr>
                                <w:t>institutional</w:t>
                              </w:r>
                              <w:r>
                                <w:rPr>
                                  <w:color w:val="111111"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9"/>
                                </w:rPr>
                                <w:t>reports</w:t>
                              </w:r>
                              <w:r>
                                <w:rPr>
                                  <w:color w:val="111111"/>
                                  <w:spacing w:val="-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9"/>
                                </w:rPr>
                                <w:t>(NPCI,</w:t>
                              </w:r>
                              <w:r>
                                <w:rPr>
                                  <w:color w:val="111111"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9"/>
                                </w:rPr>
                                <w:t>RBI),</w:t>
                              </w:r>
                              <w:r>
                                <w:rPr>
                                  <w:color w:val="111111"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11111"/>
                                  <w:sz w:val="19"/>
                                </w:rPr>
                                <w:t>and industry benchmarks (PwC, KPMG, Deloitte, IAMAI) published between 2019 and 2025.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2913pt;margin-top:15.975872pt;width:481.9pt;height:41.6pt;mso-position-horizontal-relative:page;mso-position-vertical-relative:paragraph;z-index:-15727104;mso-wrap-distance-left:0;mso-wrap-distance-right:0" id="docshapegroup5" coordorigin="1134,320" coordsize="9638,832">
                <v:rect style="position:absolute;left:1133;top:319;width:9638;height:832" id="docshape6" filled="true" fillcolor="#f0f4f9" stroked="false">
                  <v:fill type="solid"/>
                </v:rect>
                <v:rect style="position:absolute;left:1133;top:319;width:60;height:832" id="docshape7" filled="true" fillcolor="#1a365d" stroked="false">
                  <v:fill type="solid"/>
                </v:rect>
                <v:shape style="position:absolute;left:1193;top:319;width:9578;height:832" type="#_x0000_t202" id="docshape8" filled="false" stroked="false">
                  <v:textbox inset="0,0,0,0">
                    <w:txbxContent>
                      <w:p>
                        <w:pPr>
                          <w:spacing w:line="292" w:lineRule="auto" w:before="169"/>
                          <w:ind w:left="179" w:right="566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111111"/>
                            <w:sz w:val="19"/>
                          </w:rPr>
                          <w:t>Data</w:t>
                        </w:r>
                        <w:r>
                          <w:rPr>
                            <w:b/>
                            <w:color w:val="111111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111111"/>
                            <w:sz w:val="19"/>
                          </w:rPr>
                          <w:t>Synthesis</w:t>
                        </w:r>
                        <w:r>
                          <w:rPr>
                            <w:b/>
                            <w:color w:val="111111"/>
                            <w:spacing w:val="-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111111"/>
                            <w:sz w:val="19"/>
                          </w:rPr>
                          <w:t>Note:</w:t>
                        </w:r>
                        <w:r>
                          <w:rPr>
                            <w:b/>
                            <w:color w:val="111111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color w:val="111111"/>
                            <w:sz w:val="19"/>
                          </w:rPr>
                          <w:t>Secondary</w:t>
                        </w:r>
                        <w:r>
                          <w:rPr>
                            <w:color w:val="111111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color w:val="111111"/>
                            <w:sz w:val="19"/>
                          </w:rPr>
                          <w:t>data</w:t>
                        </w:r>
                        <w:r>
                          <w:rPr>
                            <w:color w:val="111111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color w:val="111111"/>
                            <w:sz w:val="19"/>
                          </w:rPr>
                          <w:t>compiled</w:t>
                        </w:r>
                        <w:r>
                          <w:rPr>
                            <w:color w:val="111111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color w:val="111111"/>
                            <w:sz w:val="19"/>
                          </w:rPr>
                          <w:t>from</w:t>
                        </w:r>
                        <w:r>
                          <w:rPr>
                            <w:color w:val="111111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color w:val="111111"/>
                            <w:sz w:val="19"/>
                          </w:rPr>
                          <w:t>peer-reviewed</w:t>
                        </w:r>
                        <w:r>
                          <w:rPr>
                            <w:color w:val="111111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color w:val="111111"/>
                            <w:sz w:val="19"/>
                          </w:rPr>
                          <w:t>journals,</w:t>
                        </w:r>
                        <w:r>
                          <w:rPr>
                            <w:color w:val="111111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color w:val="111111"/>
                            <w:sz w:val="19"/>
                          </w:rPr>
                          <w:t>institutional</w:t>
                        </w:r>
                        <w:r>
                          <w:rPr>
                            <w:color w:val="111111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color w:val="111111"/>
                            <w:sz w:val="19"/>
                          </w:rPr>
                          <w:t>reports</w:t>
                        </w:r>
                        <w:r>
                          <w:rPr>
                            <w:color w:val="111111"/>
                            <w:spacing w:val="-4"/>
                            <w:sz w:val="19"/>
                          </w:rPr>
                          <w:t> </w:t>
                        </w:r>
                        <w:r>
                          <w:rPr>
                            <w:color w:val="111111"/>
                            <w:sz w:val="19"/>
                          </w:rPr>
                          <w:t>(NPCI,</w:t>
                        </w:r>
                        <w:r>
                          <w:rPr>
                            <w:color w:val="111111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color w:val="111111"/>
                            <w:sz w:val="19"/>
                          </w:rPr>
                          <w:t>RBI),</w:t>
                        </w:r>
                        <w:r>
                          <w:rPr>
                            <w:color w:val="111111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color w:val="111111"/>
                            <w:sz w:val="19"/>
                          </w:rPr>
                          <w:t>and industry benchmarks (PwC, KPMG, Deloitte, IAMAI) published between 2019 and 2025.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b/>
          <w:sz w:val="17"/>
        </w:rPr>
      </w:pPr>
    </w:p>
    <w:sectPr>
      <w:footerReference w:type="default" r:id="rId5"/>
      <w:type w:val="continuous"/>
      <w:pgSz w:w="11910" w:h="16840"/>
      <w:pgMar w:header="0" w:footer="467" w:top="1080" w:bottom="660" w:left="992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mic Sans MS">
    <w:altName w:val="Comic Sans MS"/>
    <w:charset w:val="0"/>
    <w:family w:val="script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3632">
              <wp:simplePos x="0" y="0"/>
              <wp:positionH relativeFrom="page">
                <wp:posOffset>2914710</wp:posOffset>
              </wp:positionH>
              <wp:positionV relativeFrom="page">
                <wp:posOffset>10256011</wp:posOffset>
              </wp:positionV>
              <wp:extent cx="1731010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10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666666"/>
                              <w:sz w:val="18"/>
                            </w:rPr>
                            <w:t>Supplementary Material |</w:t>
                          </w:r>
                          <w:r>
                            <w:rPr>
                              <w:color w:val="666666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color w:val="666666"/>
                              <w:sz w:val="18"/>
                            </w:rPr>
                            <w:t>Page 1 of </w:t>
                          </w:r>
                          <w:r>
                            <w:rPr>
                              <w:color w:val="666666"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9.504745pt;margin-top:807.559937pt;width:136.3pt;height:12pt;mso-position-horizontal-relative:page;mso-position-vertical-relative:page;z-index:-15822848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666666"/>
                        <w:sz w:val="18"/>
                      </w:rPr>
                      <w:t>Supplementary Material |</w:t>
                    </w:r>
                    <w:r>
                      <w:rPr>
                        <w:color w:val="666666"/>
                        <w:spacing w:val="-1"/>
                        <w:sz w:val="18"/>
                      </w:rPr>
                      <w:t> </w:t>
                    </w:r>
                    <w:r>
                      <w:rPr>
                        <w:color w:val="666666"/>
                        <w:sz w:val="18"/>
                      </w:rPr>
                      <w:t>Page 1 of </w:t>
                    </w:r>
                    <w:r>
                      <w:rPr>
                        <w:color w:val="666666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1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2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2026-08-14T10:22:52Z</dcterms:created>
  <dcterms:modified xsi:type="dcterms:W3CDTF">2026-08-14T10:22:52Z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2026-08-14T00:00:00Z</vt:filetime>
  </property>
</Properties>
</file>