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9D0FB4" w14:textId="77777777" w:rsidR="00771FA5" w:rsidRDefault="00000000">
      <w:pPr>
        <w:spacing w:before="400" w:after="260"/>
        <w:jc w:val="center"/>
      </w:pPr>
      <w:r>
        <w:rPr>
          <w:b/>
          <w:bCs/>
          <w:sz w:val="30"/>
          <w:szCs w:val="30"/>
        </w:rPr>
        <w:t>STUDY PROTOCOL</w:t>
      </w:r>
    </w:p>
    <w:p w14:paraId="15702ABC" w14:textId="77777777" w:rsidR="00771FA5" w:rsidRDefault="00000000">
      <w:pPr>
        <w:spacing w:after="300"/>
        <w:jc w:val="center"/>
      </w:pPr>
      <w:r>
        <w:rPr>
          <w:b/>
          <w:sz w:val="26"/>
        </w:rPr>
        <w:t>Human Milk Fortifier versus Preterm Formula Milk for Fortification of Preterm Human Milk: A Non-Inferiority Randomized Controlled Trial (PREMFORT Study)</w:t>
      </w:r>
    </w:p>
    <w:p w14:paraId="0B242692" w14:textId="77777777" w:rsidR="00771FA5" w:rsidRDefault="00000000">
      <w:pPr>
        <w:spacing w:after="20" w:line="300" w:lineRule="auto"/>
        <w:jc w:val="center"/>
      </w:pPr>
      <w:r>
        <w:rPr>
          <w:b/>
          <w:bCs/>
        </w:rPr>
        <w:t xml:space="preserve">Submitted by: </w:t>
      </w:r>
      <w:r>
        <w:t>Dr. Ammar Haider, MBBS, DNB</w:t>
      </w:r>
    </w:p>
    <w:p w14:paraId="04E87254" w14:textId="77777777" w:rsidR="00771FA5" w:rsidRDefault="00000000">
      <w:pPr>
        <w:spacing w:after="20" w:line="300" w:lineRule="auto"/>
        <w:jc w:val="center"/>
      </w:pPr>
      <w:r>
        <w:t>Senior Resident, Department of Neonatology</w:t>
      </w:r>
    </w:p>
    <w:p w14:paraId="6476B856" w14:textId="77777777" w:rsidR="00771FA5" w:rsidRDefault="00000000">
      <w:pPr>
        <w:spacing w:after="20" w:line="300" w:lineRule="auto"/>
        <w:jc w:val="center"/>
      </w:pPr>
      <w:r>
        <w:rPr>
          <w:b/>
          <w:bCs/>
        </w:rPr>
        <w:t xml:space="preserve">Under the guidance of: </w:t>
      </w:r>
      <w:r>
        <w:t>Dr. Amol K. Joshi, MD (Professor)</w:t>
      </w:r>
    </w:p>
    <w:p w14:paraId="398AA172" w14:textId="77777777" w:rsidR="00771FA5" w:rsidRDefault="00000000">
      <w:pPr>
        <w:spacing w:after="20" w:line="300" w:lineRule="auto"/>
        <w:jc w:val="center"/>
      </w:pPr>
      <w:r>
        <w:rPr>
          <w:b/>
          <w:bCs/>
        </w:rPr>
        <w:t xml:space="preserve">Co-guide: </w:t>
      </w:r>
      <w:r>
        <w:t>Dr. Atul C. Londhe, MBBS, DNB(Associate Professor)</w:t>
      </w:r>
    </w:p>
    <w:p w14:paraId="166062F7" w14:textId="77777777" w:rsidR="00771FA5" w:rsidRDefault="00000000">
      <w:pPr>
        <w:spacing w:after="20" w:line="300" w:lineRule="auto"/>
        <w:jc w:val="center"/>
      </w:pPr>
      <w:r>
        <w:rPr>
          <w:b/>
          <w:bCs/>
        </w:rPr>
        <w:t xml:space="preserve">Institution: </w:t>
      </w:r>
      <w:r>
        <w:t>Department of Neonatology, Government Medical College,</w:t>
      </w:r>
    </w:p>
    <w:p w14:paraId="0AC15B53" w14:textId="77777777" w:rsidR="00771FA5" w:rsidRDefault="00000000">
      <w:pPr>
        <w:spacing w:after="20" w:line="300" w:lineRule="auto"/>
        <w:jc w:val="center"/>
      </w:pPr>
      <w:r>
        <w:t>Chhatrapati Sambhajinagar (Aurangabad), Maharashtra, India</w:t>
      </w:r>
    </w:p>
    <w:p w14:paraId="36D93E78" w14:textId="77777777" w:rsidR="00771FA5" w:rsidRDefault="00000000">
      <w:pPr>
        <w:spacing w:after="20" w:line="300" w:lineRule="auto"/>
        <w:jc w:val="center"/>
      </w:pPr>
      <w:r>
        <w:rPr>
          <w:b/>
          <w:bCs/>
        </w:rPr>
        <w:t xml:space="preserve">CTRI registration: </w:t>
      </w:r>
      <w:r>
        <w:t>CTRI/2025/07/089932 (registered prospectively before enrolment, 1 July 2025)</w:t>
      </w:r>
    </w:p>
    <w:p w14:paraId="473E47BA" w14:textId="77777777" w:rsidR="00771FA5" w:rsidRDefault="00771FA5"/>
    <w:p w14:paraId="3B528502" w14:textId="77777777" w:rsidR="00771FA5" w:rsidRDefault="00000000">
      <w:pPr>
        <w:pStyle w:val="Heading1"/>
        <w:spacing w:before="240" w:after="120" w:line="360" w:lineRule="auto"/>
      </w:pPr>
      <w:r>
        <w:rPr>
          <w:b/>
          <w:bCs/>
          <w:sz w:val="28"/>
          <w:szCs w:val="28"/>
        </w:rPr>
        <w:t>Protocol Summary (Institutional Format)</w:t>
      </w:r>
    </w:p>
    <w:tbl>
      <w:tblPr>
        <w:tblW w:w="936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000" w:firstRow="0" w:lastRow="0" w:firstColumn="0" w:lastColumn="0" w:noHBand="0" w:noVBand="0"/>
      </w:tblPr>
      <w:tblGrid>
        <w:gridCol w:w="700"/>
        <w:gridCol w:w="3100"/>
        <w:gridCol w:w="5560"/>
      </w:tblGrid>
      <w:tr w:rsidR="00771FA5" w14:paraId="4D8DBD76" w14:textId="77777777">
        <w:tc>
          <w:tcPr>
            <w:tcW w:w="700" w:type="dxa"/>
            <w:tcMar>
              <w:top w:w="50" w:type="dxa"/>
              <w:left w:w="90" w:type="dxa"/>
              <w:bottom w:w="50" w:type="dxa"/>
              <w:right w:w="90" w:type="dxa"/>
            </w:tcMar>
          </w:tcPr>
          <w:p w14:paraId="67C580C8" w14:textId="77777777" w:rsidR="00771FA5" w:rsidRDefault="00000000">
            <w:pPr>
              <w:spacing w:after="20" w:line="276" w:lineRule="auto"/>
            </w:pPr>
            <w:r>
              <w:rPr>
                <w:b/>
                <w:bCs/>
                <w:sz w:val="22"/>
                <w:szCs w:val="22"/>
              </w:rPr>
              <w:t>1</w:t>
            </w:r>
          </w:p>
        </w:tc>
        <w:tc>
          <w:tcPr>
            <w:tcW w:w="3100" w:type="dxa"/>
            <w:tcMar>
              <w:top w:w="50" w:type="dxa"/>
              <w:left w:w="90" w:type="dxa"/>
              <w:bottom w:w="50" w:type="dxa"/>
              <w:right w:w="90" w:type="dxa"/>
            </w:tcMar>
          </w:tcPr>
          <w:p w14:paraId="1EEA5771" w14:textId="77777777" w:rsidR="00771FA5" w:rsidRDefault="00000000">
            <w:pPr>
              <w:spacing w:after="20" w:line="276" w:lineRule="auto"/>
            </w:pPr>
            <w:r>
              <w:rPr>
                <w:b/>
                <w:bCs/>
                <w:sz w:val="22"/>
                <w:szCs w:val="22"/>
              </w:rPr>
              <w:t>Full title of study</w:t>
            </w:r>
          </w:p>
        </w:tc>
        <w:tc>
          <w:tcPr>
            <w:tcW w:w="5560" w:type="dxa"/>
            <w:tcMar>
              <w:top w:w="50" w:type="dxa"/>
              <w:left w:w="90" w:type="dxa"/>
              <w:bottom w:w="50" w:type="dxa"/>
              <w:right w:w="90" w:type="dxa"/>
            </w:tcMar>
          </w:tcPr>
          <w:p w14:paraId="1F295B46" w14:textId="77777777" w:rsidR="00B0522D" w:rsidRDefault="00000000">
            <w:r>
              <w:rPr>
                <w:sz w:val="22"/>
              </w:rPr>
              <w:t>Scientific title (CTRI/IEC): Human Milk Fortifier versus Preterm Formula Milk for Fortification of Preterm Human Milk: A Non-Inferiority Randomized Controlled Trial (PREMFORT Study)</w:t>
            </w:r>
          </w:p>
          <w:p w14:paraId="109F6260" w14:textId="77777777" w:rsidR="00B0522D" w:rsidRDefault="00000000">
            <w:r>
              <w:rPr>
                <w:sz w:val="22"/>
              </w:rPr>
              <w:t>Public title (CTRI): Helping low birth weight preterm babies grow: comparing two nutrient mixes added to mother’s milk</w:t>
            </w:r>
          </w:p>
        </w:tc>
      </w:tr>
      <w:tr w:rsidR="00771FA5" w14:paraId="2328B7C0" w14:textId="77777777">
        <w:tc>
          <w:tcPr>
            <w:tcW w:w="700" w:type="dxa"/>
            <w:tcMar>
              <w:top w:w="50" w:type="dxa"/>
              <w:left w:w="90" w:type="dxa"/>
              <w:bottom w:w="50" w:type="dxa"/>
              <w:right w:w="90" w:type="dxa"/>
            </w:tcMar>
          </w:tcPr>
          <w:p w14:paraId="51AA47BC" w14:textId="77777777" w:rsidR="00771FA5" w:rsidRDefault="00000000">
            <w:pPr>
              <w:spacing w:after="20" w:line="276" w:lineRule="auto"/>
            </w:pPr>
            <w:r>
              <w:rPr>
                <w:b/>
                <w:bCs/>
                <w:sz w:val="22"/>
                <w:szCs w:val="22"/>
              </w:rPr>
              <w:t>2</w:t>
            </w:r>
          </w:p>
        </w:tc>
        <w:tc>
          <w:tcPr>
            <w:tcW w:w="3100" w:type="dxa"/>
            <w:tcMar>
              <w:top w:w="50" w:type="dxa"/>
              <w:left w:w="90" w:type="dxa"/>
              <w:bottom w:w="50" w:type="dxa"/>
              <w:right w:w="90" w:type="dxa"/>
            </w:tcMar>
          </w:tcPr>
          <w:p w14:paraId="0C8ED868" w14:textId="77777777" w:rsidR="00771FA5" w:rsidRDefault="00000000">
            <w:pPr>
              <w:spacing w:after="20" w:line="276" w:lineRule="auto"/>
            </w:pPr>
            <w:r>
              <w:rPr>
                <w:b/>
                <w:bCs/>
                <w:sz w:val="22"/>
                <w:szCs w:val="22"/>
              </w:rPr>
              <w:t>Investigator details</w:t>
            </w:r>
          </w:p>
        </w:tc>
        <w:tc>
          <w:tcPr>
            <w:tcW w:w="5560" w:type="dxa"/>
            <w:tcMar>
              <w:top w:w="50" w:type="dxa"/>
              <w:left w:w="90" w:type="dxa"/>
              <w:bottom w:w="50" w:type="dxa"/>
              <w:right w:w="90" w:type="dxa"/>
            </w:tcMar>
          </w:tcPr>
          <w:p w14:paraId="5F10D0D7" w14:textId="77777777" w:rsidR="00771FA5" w:rsidRDefault="00000000">
            <w:pPr>
              <w:spacing w:after="20" w:line="276" w:lineRule="auto"/>
            </w:pPr>
            <w:r>
              <w:rPr>
                <w:sz w:val="22"/>
                <w:szCs w:val="22"/>
              </w:rPr>
              <w:t>Principal investigator: Dr. Ammar Haider (Senior Resident, Neonatology). Guide: Dr. Amol K. Joshi. Co-guide: Dr. Atul C. Londhe. Email: haider263@gmail.com.</w:t>
            </w:r>
          </w:p>
        </w:tc>
      </w:tr>
      <w:tr w:rsidR="00771FA5" w14:paraId="1287122E" w14:textId="77777777">
        <w:tc>
          <w:tcPr>
            <w:tcW w:w="700" w:type="dxa"/>
            <w:tcMar>
              <w:top w:w="50" w:type="dxa"/>
              <w:left w:w="90" w:type="dxa"/>
              <w:bottom w:w="50" w:type="dxa"/>
              <w:right w:w="90" w:type="dxa"/>
            </w:tcMar>
          </w:tcPr>
          <w:p w14:paraId="6C1E0CF3" w14:textId="77777777" w:rsidR="00771FA5" w:rsidRDefault="00000000">
            <w:pPr>
              <w:spacing w:after="20" w:line="276" w:lineRule="auto"/>
            </w:pPr>
            <w:r>
              <w:rPr>
                <w:b/>
                <w:bCs/>
                <w:sz w:val="22"/>
                <w:szCs w:val="22"/>
              </w:rPr>
              <w:t>3</w:t>
            </w:r>
          </w:p>
        </w:tc>
        <w:tc>
          <w:tcPr>
            <w:tcW w:w="3100" w:type="dxa"/>
            <w:tcMar>
              <w:top w:w="50" w:type="dxa"/>
              <w:left w:w="90" w:type="dxa"/>
              <w:bottom w:w="50" w:type="dxa"/>
              <w:right w:w="90" w:type="dxa"/>
            </w:tcMar>
          </w:tcPr>
          <w:p w14:paraId="57E3BC10" w14:textId="77777777" w:rsidR="00771FA5" w:rsidRDefault="00000000">
            <w:pPr>
              <w:spacing w:after="20" w:line="276" w:lineRule="auto"/>
            </w:pPr>
            <w:r>
              <w:rPr>
                <w:b/>
                <w:bCs/>
                <w:sz w:val="22"/>
                <w:szCs w:val="22"/>
              </w:rPr>
              <w:t>Objectives</w:t>
            </w:r>
          </w:p>
        </w:tc>
        <w:tc>
          <w:tcPr>
            <w:tcW w:w="5560" w:type="dxa"/>
            <w:tcMar>
              <w:top w:w="50" w:type="dxa"/>
              <w:left w:w="90" w:type="dxa"/>
              <w:bottom w:w="50" w:type="dxa"/>
              <w:right w:w="90" w:type="dxa"/>
            </w:tcMar>
          </w:tcPr>
          <w:p w14:paraId="56B2A055" w14:textId="77777777" w:rsidR="00771FA5" w:rsidRDefault="00000000">
            <w:pPr>
              <w:spacing w:after="20" w:line="276" w:lineRule="auto"/>
            </w:pPr>
            <w:r>
              <w:rPr>
                <w:b/>
                <w:bCs/>
                <w:sz w:val="22"/>
                <w:szCs w:val="22"/>
              </w:rPr>
              <w:t>Primary:</w:t>
            </w:r>
          </w:p>
          <w:p w14:paraId="1DBDB3A6" w14:textId="77777777" w:rsidR="00771FA5" w:rsidRDefault="00000000">
            <w:pPr>
              <w:spacing w:after="20" w:line="276" w:lineRule="auto"/>
            </w:pPr>
            <w:r>
              <w:rPr>
                <w:sz w:val="22"/>
                <w:szCs w:val="22"/>
              </w:rPr>
              <w:t>To determine whether fortification of mother’s own milk with preterm formula powder, with appropriate mineral and vitamin supplementation, is non-inferior to commercial bovine human milk fortifier for weight growth velocity (g/kg/day) from enrolment to discharge or 40 weeks’ PMA.</w:t>
            </w:r>
          </w:p>
          <w:p w14:paraId="11A1A7D2" w14:textId="77777777" w:rsidR="00771FA5" w:rsidRDefault="00000000">
            <w:pPr>
              <w:spacing w:after="20" w:line="276" w:lineRule="auto"/>
            </w:pPr>
            <w:r>
              <w:rPr>
                <w:b/>
                <w:bCs/>
                <w:sz w:val="22"/>
                <w:szCs w:val="22"/>
              </w:rPr>
              <w:t>Secondary:</w:t>
            </w:r>
          </w:p>
          <w:p w14:paraId="01AFE5D4" w14:textId="77777777" w:rsidR="00771FA5" w:rsidRDefault="00000000">
            <w:pPr>
              <w:pStyle w:val="ListParagraph"/>
              <w:numPr>
                <w:ilvl w:val="0"/>
                <w:numId w:val="1"/>
              </w:numPr>
              <w:spacing w:after="10" w:line="264" w:lineRule="auto"/>
            </w:pPr>
            <w:r>
              <w:rPr>
                <w:sz w:val="22"/>
                <w:szCs w:val="22"/>
              </w:rPr>
              <w:t>Length and head-circumference growth; discharge anthropometry</w:t>
            </w:r>
          </w:p>
          <w:p w14:paraId="5410B4E1" w14:textId="77777777" w:rsidR="00771FA5" w:rsidRDefault="00000000">
            <w:pPr>
              <w:pStyle w:val="ListParagraph"/>
              <w:numPr>
                <w:ilvl w:val="0"/>
                <w:numId w:val="1"/>
              </w:numPr>
              <w:spacing w:after="10" w:line="264" w:lineRule="auto"/>
            </w:pPr>
            <w:r>
              <w:rPr>
                <w:sz w:val="22"/>
                <w:szCs w:val="22"/>
              </w:rPr>
              <w:t>Duration of fortification and length of hospital stay</w:t>
            </w:r>
          </w:p>
          <w:p w14:paraId="1FF804CB" w14:textId="77777777" w:rsidR="00771FA5" w:rsidRDefault="00000000">
            <w:pPr>
              <w:pStyle w:val="ListParagraph"/>
              <w:numPr>
                <w:ilvl w:val="0"/>
                <w:numId w:val="1"/>
              </w:numPr>
              <w:spacing w:after="10" w:line="264" w:lineRule="auto"/>
            </w:pPr>
            <w:r>
              <w:rPr>
                <w:sz w:val="22"/>
                <w:szCs w:val="22"/>
              </w:rPr>
              <w:t>Feed intolerance, NEC, late-onset sepsis, anaemia, PDA, BPD, ROP, IVH, mortality</w:t>
            </w:r>
          </w:p>
          <w:p w14:paraId="08DC9D31" w14:textId="77777777" w:rsidR="00771FA5" w:rsidRDefault="00000000">
            <w:pPr>
              <w:pStyle w:val="ListParagraph"/>
              <w:numPr>
                <w:ilvl w:val="0"/>
                <w:numId w:val="1"/>
              </w:numPr>
              <w:spacing w:after="10" w:line="264" w:lineRule="auto"/>
            </w:pPr>
            <w:r>
              <w:rPr>
                <w:sz w:val="22"/>
                <w:szCs w:val="22"/>
              </w:rPr>
              <w:t>Direct hospital cost of the two strategies</w:t>
            </w:r>
          </w:p>
        </w:tc>
      </w:tr>
      <w:tr w:rsidR="00771FA5" w14:paraId="5B0FD662" w14:textId="77777777">
        <w:tc>
          <w:tcPr>
            <w:tcW w:w="700" w:type="dxa"/>
            <w:tcMar>
              <w:top w:w="50" w:type="dxa"/>
              <w:left w:w="90" w:type="dxa"/>
              <w:bottom w:w="50" w:type="dxa"/>
              <w:right w:w="90" w:type="dxa"/>
            </w:tcMar>
          </w:tcPr>
          <w:p w14:paraId="62D13D16" w14:textId="77777777" w:rsidR="00771FA5" w:rsidRDefault="00000000">
            <w:pPr>
              <w:spacing w:after="20" w:line="276" w:lineRule="auto"/>
            </w:pPr>
            <w:r>
              <w:rPr>
                <w:b/>
                <w:bCs/>
                <w:sz w:val="22"/>
                <w:szCs w:val="22"/>
              </w:rPr>
              <w:lastRenderedPageBreak/>
              <w:t>4</w:t>
            </w:r>
          </w:p>
        </w:tc>
        <w:tc>
          <w:tcPr>
            <w:tcW w:w="3100" w:type="dxa"/>
            <w:tcMar>
              <w:top w:w="50" w:type="dxa"/>
              <w:left w:w="90" w:type="dxa"/>
              <w:bottom w:w="50" w:type="dxa"/>
              <w:right w:w="90" w:type="dxa"/>
            </w:tcMar>
          </w:tcPr>
          <w:p w14:paraId="10214EAF" w14:textId="77777777" w:rsidR="00771FA5" w:rsidRDefault="00000000">
            <w:pPr>
              <w:spacing w:after="20" w:line="276" w:lineRule="auto"/>
            </w:pPr>
            <w:r>
              <w:rPr>
                <w:b/>
                <w:bCs/>
                <w:sz w:val="22"/>
                <w:szCs w:val="22"/>
              </w:rPr>
              <w:t>Why this study is required</w:t>
            </w:r>
          </w:p>
        </w:tc>
        <w:tc>
          <w:tcPr>
            <w:tcW w:w="5560" w:type="dxa"/>
            <w:tcMar>
              <w:top w:w="50" w:type="dxa"/>
              <w:left w:w="90" w:type="dxa"/>
              <w:bottom w:w="50" w:type="dxa"/>
              <w:right w:w="90" w:type="dxa"/>
            </w:tcMar>
          </w:tcPr>
          <w:p w14:paraId="68D4534F" w14:textId="77777777" w:rsidR="00771FA5" w:rsidRDefault="00000000">
            <w:pPr>
              <w:pStyle w:val="ListParagraph"/>
              <w:numPr>
                <w:ilvl w:val="0"/>
                <w:numId w:val="1"/>
              </w:numPr>
              <w:spacing w:after="10" w:line="264" w:lineRule="auto"/>
            </w:pPr>
            <w:r>
              <w:rPr>
                <w:sz w:val="22"/>
                <w:szCs w:val="22"/>
              </w:rPr>
              <w:t>VLBW preterm infants have high nutrient needs not met by human milk alone.</w:t>
            </w:r>
          </w:p>
          <w:p w14:paraId="348CDF55" w14:textId="77777777" w:rsidR="00771FA5" w:rsidRDefault="00000000">
            <w:pPr>
              <w:pStyle w:val="ListParagraph"/>
              <w:numPr>
                <w:ilvl w:val="0"/>
                <w:numId w:val="1"/>
              </w:numPr>
              <w:spacing w:after="10" w:line="264" w:lineRule="auto"/>
            </w:pPr>
            <w:r>
              <w:rPr>
                <w:sz w:val="22"/>
                <w:szCs w:val="22"/>
              </w:rPr>
              <w:t>Commercial HMF is standard but costly and inconsistently available in LMIC units.</w:t>
            </w:r>
          </w:p>
          <w:p w14:paraId="1B608D5B" w14:textId="77777777" w:rsidR="00771FA5" w:rsidRDefault="00000000">
            <w:pPr>
              <w:pStyle w:val="ListParagraph"/>
              <w:numPr>
                <w:ilvl w:val="0"/>
                <w:numId w:val="1"/>
              </w:numPr>
              <w:spacing w:after="10" w:line="264" w:lineRule="auto"/>
            </w:pPr>
            <w:r>
              <w:rPr>
                <w:sz w:val="22"/>
                <w:szCs w:val="22"/>
              </w:rPr>
              <w:t>Preterm formula powder is a cheaper, widely available alternative fortifier.</w:t>
            </w:r>
          </w:p>
          <w:p w14:paraId="621BAEDA" w14:textId="77777777" w:rsidR="00771FA5" w:rsidRDefault="00000000">
            <w:pPr>
              <w:pStyle w:val="ListParagraph"/>
              <w:numPr>
                <w:ilvl w:val="0"/>
                <w:numId w:val="1"/>
              </w:numPr>
              <w:spacing w:after="10" w:line="264" w:lineRule="auto"/>
            </w:pPr>
            <w:r>
              <w:rPr>
                <w:sz w:val="22"/>
                <w:szCs w:val="22"/>
              </w:rPr>
              <w:t>Prior randomized evidence used a single commercial fortifier; independent evaluation with a different fortifier (Lactodex) is needed.</w:t>
            </w:r>
          </w:p>
        </w:tc>
      </w:tr>
      <w:tr w:rsidR="00771FA5" w14:paraId="7D5FB1BA" w14:textId="77777777">
        <w:tc>
          <w:tcPr>
            <w:tcW w:w="700" w:type="dxa"/>
            <w:tcMar>
              <w:top w:w="50" w:type="dxa"/>
              <w:left w:w="90" w:type="dxa"/>
              <w:bottom w:w="50" w:type="dxa"/>
              <w:right w:w="90" w:type="dxa"/>
            </w:tcMar>
          </w:tcPr>
          <w:p w14:paraId="09A04ABE" w14:textId="77777777" w:rsidR="00771FA5" w:rsidRDefault="00000000">
            <w:pPr>
              <w:spacing w:after="20" w:line="276" w:lineRule="auto"/>
            </w:pPr>
            <w:r>
              <w:rPr>
                <w:b/>
                <w:bCs/>
                <w:sz w:val="22"/>
                <w:szCs w:val="22"/>
              </w:rPr>
              <w:t>5</w:t>
            </w:r>
          </w:p>
        </w:tc>
        <w:tc>
          <w:tcPr>
            <w:tcW w:w="3100" w:type="dxa"/>
            <w:tcMar>
              <w:top w:w="50" w:type="dxa"/>
              <w:left w:w="90" w:type="dxa"/>
              <w:bottom w:w="50" w:type="dxa"/>
              <w:right w:w="90" w:type="dxa"/>
            </w:tcMar>
          </w:tcPr>
          <w:p w14:paraId="65600608" w14:textId="77777777" w:rsidR="00771FA5" w:rsidRDefault="00000000">
            <w:pPr>
              <w:spacing w:after="20" w:line="276" w:lineRule="auto"/>
            </w:pPr>
            <w:r>
              <w:rPr>
                <w:b/>
                <w:bCs/>
                <w:sz w:val="22"/>
                <w:szCs w:val="22"/>
              </w:rPr>
              <w:t>Study design</w:t>
            </w:r>
          </w:p>
        </w:tc>
        <w:tc>
          <w:tcPr>
            <w:tcW w:w="5560" w:type="dxa"/>
            <w:tcMar>
              <w:top w:w="50" w:type="dxa"/>
              <w:left w:w="90" w:type="dxa"/>
              <w:bottom w:w="50" w:type="dxa"/>
              <w:right w:w="90" w:type="dxa"/>
            </w:tcMar>
          </w:tcPr>
          <w:p w14:paraId="2FD444C9" w14:textId="77777777" w:rsidR="00771FA5" w:rsidRDefault="00000000">
            <w:pPr>
              <w:spacing w:after="20" w:line="276" w:lineRule="auto"/>
            </w:pPr>
            <w:r>
              <w:rPr>
                <w:sz w:val="22"/>
                <w:szCs w:val="22"/>
              </w:rPr>
              <w:t>Single-centre, open-label, parallel-group, stratified, randomized non-inferiority trial; 1:1 allocation; blinded (single-blind) outcome assessment.</w:t>
            </w:r>
          </w:p>
        </w:tc>
      </w:tr>
      <w:tr w:rsidR="00771FA5" w14:paraId="1A137B80" w14:textId="77777777">
        <w:tc>
          <w:tcPr>
            <w:tcW w:w="700" w:type="dxa"/>
            <w:tcMar>
              <w:top w:w="50" w:type="dxa"/>
              <w:left w:w="90" w:type="dxa"/>
              <w:bottom w:w="50" w:type="dxa"/>
              <w:right w:w="90" w:type="dxa"/>
            </w:tcMar>
          </w:tcPr>
          <w:p w14:paraId="5B321D30" w14:textId="77777777" w:rsidR="00771FA5" w:rsidRDefault="00000000">
            <w:pPr>
              <w:spacing w:after="20" w:line="276" w:lineRule="auto"/>
            </w:pPr>
            <w:r>
              <w:rPr>
                <w:b/>
                <w:bCs/>
                <w:sz w:val="22"/>
                <w:szCs w:val="22"/>
              </w:rPr>
              <w:t>6</w:t>
            </w:r>
          </w:p>
        </w:tc>
        <w:tc>
          <w:tcPr>
            <w:tcW w:w="3100" w:type="dxa"/>
            <w:tcMar>
              <w:top w:w="50" w:type="dxa"/>
              <w:left w:w="90" w:type="dxa"/>
              <w:bottom w:w="50" w:type="dxa"/>
              <w:right w:w="90" w:type="dxa"/>
            </w:tcMar>
          </w:tcPr>
          <w:p w14:paraId="2C969494" w14:textId="77777777" w:rsidR="00771FA5" w:rsidRDefault="00000000">
            <w:pPr>
              <w:spacing w:after="20" w:line="276" w:lineRule="auto"/>
            </w:pPr>
            <w:r>
              <w:rPr>
                <w:b/>
                <w:bCs/>
                <w:sz w:val="22"/>
                <w:szCs w:val="22"/>
              </w:rPr>
              <w:t>Methodology</w:t>
            </w:r>
          </w:p>
        </w:tc>
        <w:tc>
          <w:tcPr>
            <w:tcW w:w="5560" w:type="dxa"/>
            <w:tcMar>
              <w:top w:w="50" w:type="dxa"/>
              <w:left w:w="90" w:type="dxa"/>
              <w:bottom w:w="50" w:type="dxa"/>
              <w:right w:w="90" w:type="dxa"/>
            </w:tcMar>
          </w:tcPr>
          <w:p w14:paraId="27CEB8F3" w14:textId="77777777" w:rsidR="00771FA5" w:rsidRDefault="00000000">
            <w:pPr>
              <w:spacing w:after="20" w:line="276" w:lineRule="auto"/>
            </w:pPr>
            <w:r>
              <w:rPr>
                <w:sz w:val="22"/>
                <w:szCs w:val="22"/>
              </w:rPr>
              <w:t>6.1 Number of patients: 164 (82 per group).</w:t>
            </w:r>
          </w:p>
          <w:p w14:paraId="409A0B2F" w14:textId="5C1DC409" w:rsidR="00771FA5" w:rsidRDefault="00000000">
            <w:pPr>
              <w:spacing w:after="20" w:line="276" w:lineRule="auto"/>
            </w:pPr>
            <w:r>
              <w:rPr>
                <w:b/>
                <w:bCs/>
                <w:sz w:val="22"/>
                <w:szCs w:val="22"/>
              </w:rPr>
              <w:t>6.2 Inclusion criteria:</w:t>
            </w:r>
            <w:r w:rsidR="00AB6277">
              <w:rPr>
                <w:b/>
                <w:bCs/>
                <w:sz w:val="22"/>
                <w:szCs w:val="22"/>
              </w:rPr>
              <w:t xml:space="preserve"> (All)</w:t>
            </w:r>
          </w:p>
          <w:p w14:paraId="70ABD9CC" w14:textId="77777777" w:rsidR="00771FA5" w:rsidRDefault="00000000">
            <w:pPr>
              <w:pStyle w:val="ListParagraph"/>
              <w:numPr>
                <w:ilvl w:val="0"/>
                <w:numId w:val="1"/>
              </w:numPr>
              <w:spacing w:after="10" w:line="264" w:lineRule="auto"/>
            </w:pPr>
            <w:r>
              <w:rPr>
                <w:sz w:val="22"/>
                <w:szCs w:val="22"/>
              </w:rPr>
              <w:t>Gestational age &lt;34 weeks; birth weight &lt;1 500 g (VLBW)</w:t>
            </w:r>
          </w:p>
          <w:p w14:paraId="0BCF4B24" w14:textId="77777777" w:rsidR="00771FA5" w:rsidRDefault="00000000">
            <w:pPr>
              <w:pStyle w:val="ListParagraph"/>
              <w:numPr>
                <w:ilvl w:val="0"/>
                <w:numId w:val="1"/>
              </w:numPr>
              <w:spacing w:after="10" w:line="264" w:lineRule="auto"/>
            </w:pPr>
            <w:r>
              <w:rPr>
                <w:sz w:val="22"/>
                <w:szCs w:val="22"/>
              </w:rPr>
              <w:t>Receiving ≥100 mL/kg/day enteral feeds</w:t>
            </w:r>
          </w:p>
          <w:p w14:paraId="2A826A70" w14:textId="77777777" w:rsidR="00771FA5" w:rsidRDefault="00000000">
            <w:pPr>
              <w:pStyle w:val="ListParagraph"/>
              <w:numPr>
                <w:ilvl w:val="0"/>
                <w:numId w:val="1"/>
              </w:numPr>
              <w:spacing w:after="10" w:line="264" w:lineRule="auto"/>
            </w:pPr>
            <w:r>
              <w:rPr>
                <w:sz w:val="22"/>
                <w:szCs w:val="22"/>
              </w:rPr>
              <w:t>Mother’s own milk &gt;80% of enteral intake (donor human milk &lt;20%)</w:t>
            </w:r>
          </w:p>
          <w:p w14:paraId="683A13AA" w14:textId="77777777" w:rsidR="00771FA5" w:rsidRDefault="00000000">
            <w:pPr>
              <w:pStyle w:val="ListParagraph"/>
              <w:numPr>
                <w:ilvl w:val="0"/>
                <w:numId w:val="1"/>
              </w:numPr>
              <w:spacing w:after="10" w:line="264" w:lineRule="auto"/>
            </w:pPr>
            <w:r>
              <w:rPr>
                <w:sz w:val="22"/>
                <w:szCs w:val="22"/>
              </w:rPr>
              <w:t>Written informed parental consent</w:t>
            </w:r>
          </w:p>
          <w:p w14:paraId="17115DD1" w14:textId="23A11BDF" w:rsidR="00771FA5" w:rsidRDefault="00000000">
            <w:pPr>
              <w:spacing w:after="20" w:line="276" w:lineRule="auto"/>
            </w:pPr>
            <w:r>
              <w:rPr>
                <w:b/>
                <w:bCs/>
                <w:sz w:val="22"/>
                <w:szCs w:val="22"/>
              </w:rPr>
              <w:t>6.3 Exclusion criteria:</w:t>
            </w:r>
            <w:r w:rsidR="00AB6277">
              <w:rPr>
                <w:b/>
                <w:bCs/>
                <w:sz w:val="22"/>
                <w:szCs w:val="22"/>
              </w:rPr>
              <w:t xml:space="preserve"> (Any)</w:t>
            </w:r>
          </w:p>
          <w:p w14:paraId="1048D479" w14:textId="77777777" w:rsidR="00771FA5" w:rsidRDefault="00000000">
            <w:pPr>
              <w:pStyle w:val="ListParagraph"/>
              <w:numPr>
                <w:ilvl w:val="0"/>
                <w:numId w:val="1"/>
              </w:numPr>
              <w:spacing w:after="10" w:line="264" w:lineRule="auto"/>
            </w:pPr>
            <w:r>
              <w:rPr>
                <w:sz w:val="22"/>
                <w:szCs w:val="22"/>
              </w:rPr>
              <w:t>Major congenital malformation; requirement for surgery</w:t>
            </w:r>
          </w:p>
          <w:p w14:paraId="684226B6" w14:textId="77777777" w:rsidR="00AB6277" w:rsidRPr="00AB6277" w:rsidRDefault="00000000">
            <w:pPr>
              <w:pStyle w:val="ListParagraph"/>
              <w:numPr>
                <w:ilvl w:val="0"/>
                <w:numId w:val="1"/>
              </w:numPr>
              <w:spacing w:after="10" w:line="264" w:lineRule="auto"/>
            </w:pPr>
            <w:r>
              <w:rPr>
                <w:sz w:val="22"/>
                <w:szCs w:val="22"/>
              </w:rPr>
              <w:t xml:space="preserve">Absence of mother’s own milk; </w:t>
            </w:r>
          </w:p>
          <w:p w14:paraId="550BEC9D" w14:textId="76B71233" w:rsidR="00771FA5" w:rsidRDefault="00000000">
            <w:pPr>
              <w:pStyle w:val="ListParagraph"/>
              <w:numPr>
                <w:ilvl w:val="0"/>
                <w:numId w:val="1"/>
              </w:numPr>
              <w:spacing w:after="10" w:line="264" w:lineRule="auto"/>
            </w:pPr>
            <w:r>
              <w:rPr>
                <w:sz w:val="22"/>
                <w:szCs w:val="22"/>
              </w:rPr>
              <w:t>invasive mechanical ventilation at enrolment</w:t>
            </w:r>
          </w:p>
          <w:p w14:paraId="458127E3" w14:textId="77777777" w:rsidR="00771FA5" w:rsidRDefault="00000000">
            <w:pPr>
              <w:spacing w:after="20" w:line="276" w:lineRule="auto"/>
            </w:pPr>
            <w:r>
              <w:rPr>
                <w:sz w:val="22"/>
                <w:szCs w:val="22"/>
              </w:rPr>
              <w:t>6.4 Study design: Randomized non-inferiority trial.</w:t>
            </w:r>
          </w:p>
          <w:p w14:paraId="06E41C0A" w14:textId="0535B008" w:rsidR="00771FA5" w:rsidRDefault="00000000">
            <w:pPr>
              <w:spacing w:after="20" w:line="276" w:lineRule="auto"/>
            </w:pPr>
            <w:r>
              <w:rPr>
                <w:sz w:val="22"/>
                <w:szCs w:val="22"/>
              </w:rPr>
              <w:t xml:space="preserve">6.5 Intervention/dosing: Lactodex HMF </w:t>
            </w:r>
            <w:r w:rsidR="00AB6277">
              <w:rPr>
                <w:sz w:val="22"/>
                <w:szCs w:val="22"/>
              </w:rPr>
              <w:t>1gm/25ml EBM</w:t>
            </w:r>
            <w:r>
              <w:rPr>
                <w:sz w:val="22"/>
                <w:szCs w:val="22"/>
              </w:rPr>
              <w:t xml:space="preserve"> vs Dexolac preterm formula 1 g/25 mL</w:t>
            </w:r>
            <w:r w:rsidR="00AB6277">
              <w:rPr>
                <w:sz w:val="22"/>
                <w:szCs w:val="22"/>
              </w:rPr>
              <w:t xml:space="preserve"> EBM</w:t>
            </w:r>
            <w:r>
              <w:rPr>
                <w:sz w:val="22"/>
                <w:szCs w:val="22"/>
              </w:rPr>
              <w:t>; PTF group also calcium, phosphorus, vitamin D, multivitamin; iron in both groups.</w:t>
            </w:r>
          </w:p>
          <w:p w14:paraId="781466AC" w14:textId="77777777" w:rsidR="00771FA5" w:rsidRDefault="00000000">
            <w:pPr>
              <w:spacing w:after="20" w:line="276" w:lineRule="auto"/>
            </w:pPr>
            <w:r>
              <w:rPr>
                <w:sz w:val="22"/>
                <w:szCs w:val="22"/>
              </w:rPr>
              <w:t>6.6 Duration of treatment: until discharge or 40 weeks’ PMA, whichever is earlier.</w:t>
            </w:r>
          </w:p>
          <w:p w14:paraId="41B3D9C8" w14:textId="77777777" w:rsidR="00771FA5" w:rsidRDefault="00000000">
            <w:pPr>
              <w:spacing w:after="20" w:line="276" w:lineRule="auto"/>
            </w:pPr>
            <w:r>
              <w:rPr>
                <w:sz w:val="22"/>
                <w:szCs w:val="22"/>
              </w:rPr>
              <w:t>6.7 Investigations specific to project: routine electrolytes, ionised calcium, and alkaline phosphatase; none solely for the study.</w:t>
            </w:r>
          </w:p>
          <w:p w14:paraId="2BB6ACE4" w14:textId="77777777" w:rsidR="00771FA5" w:rsidRDefault="00000000">
            <w:pPr>
              <w:spacing w:after="20" w:line="276" w:lineRule="auto"/>
            </w:pPr>
            <w:r>
              <w:rPr>
                <w:sz w:val="22"/>
                <w:szCs w:val="22"/>
              </w:rPr>
              <w:t>6.8 Brief methodology: eligible infants are randomized within gestational-age strata (&lt;30, 30–&lt;34 weeks) using concealed allocation; anthropometry is recorded by blinded assessors; growth velocity is computed by the Patel exponential method.</w:t>
            </w:r>
          </w:p>
        </w:tc>
      </w:tr>
      <w:tr w:rsidR="00771FA5" w14:paraId="6C8B1AD7" w14:textId="77777777">
        <w:tc>
          <w:tcPr>
            <w:tcW w:w="700" w:type="dxa"/>
            <w:tcMar>
              <w:top w:w="50" w:type="dxa"/>
              <w:left w:w="90" w:type="dxa"/>
              <w:bottom w:w="50" w:type="dxa"/>
              <w:right w:w="90" w:type="dxa"/>
            </w:tcMar>
          </w:tcPr>
          <w:p w14:paraId="78759AB7" w14:textId="77777777" w:rsidR="00771FA5" w:rsidRDefault="00000000">
            <w:pPr>
              <w:spacing w:after="20" w:line="276" w:lineRule="auto"/>
            </w:pPr>
            <w:r>
              <w:rPr>
                <w:b/>
                <w:bCs/>
                <w:sz w:val="22"/>
                <w:szCs w:val="22"/>
              </w:rPr>
              <w:t>7</w:t>
            </w:r>
          </w:p>
        </w:tc>
        <w:tc>
          <w:tcPr>
            <w:tcW w:w="3100" w:type="dxa"/>
            <w:tcMar>
              <w:top w:w="50" w:type="dxa"/>
              <w:left w:w="90" w:type="dxa"/>
              <w:bottom w:w="50" w:type="dxa"/>
              <w:right w:w="90" w:type="dxa"/>
            </w:tcMar>
          </w:tcPr>
          <w:p w14:paraId="52BD47AE" w14:textId="77777777" w:rsidR="00771FA5" w:rsidRDefault="00000000">
            <w:pPr>
              <w:spacing w:after="20" w:line="276" w:lineRule="auto"/>
            </w:pPr>
            <w:r>
              <w:rPr>
                <w:b/>
                <w:bCs/>
                <w:sz w:val="22"/>
                <w:szCs w:val="22"/>
              </w:rPr>
              <w:t>Permission from Drug Controller</w:t>
            </w:r>
          </w:p>
        </w:tc>
        <w:tc>
          <w:tcPr>
            <w:tcW w:w="5560" w:type="dxa"/>
            <w:tcMar>
              <w:top w:w="50" w:type="dxa"/>
              <w:left w:w="90" w:type="dxa"/>
              <w:bottom w:w="50" w:type="dxa"/>
              <w:right w:w="90" w:type="dxa"/>
            </w:tcMar>
          </w:tcPr>
          <w:p w14:paraId="4273B8F3" w14:textId="77777777" w:rsidR="00771FA5" w:rsidRDefault="00000000">
            <w:pPr>
              <w:spacing w:after="20" w:line="276" w:lineRule="auto"/>
            </w:pPr>
            <w:r>
              <w:rPr>
                <w:sz w:val="22"/>
                <w:szCs w:val="22"/>
              </w:rPr>
              <w:t>Not required — both products are marketed nutritional (food) products; no investigational drug is used.</w:t>
            </w:r>
          </w:p>
        </w:tc>
      </w:tr>
      <w:tr w:rsidR="00771FA5" w14:paraId="168E71D0" w14:textId="77777777">
        <w:tc>
          <w:tcPr>
            <w:tcW w:w="700" w:type="dxa"/>
            <w:tcMar>
              <w:top w:w="50" w:type="dxa"/>
              <w:left w:w="90" w:type="dxa"/>
              <w:bottom w:w="50" w:type="dxa"/>
              <w:right w:w="90" w:type="dxa"/>
            </w:tcMar>
          </w:tcPr>
          <w:p w14:paraId="2F919EC5" w14:textId="77777777" w:rsidR="00771FA5" w:rsidRDefault="00000000">
            <w:pPr>
              <w:spacing w:after="20" w:line="276" w:lineRule="auto"/>
            </w:pPr>
            <w:r>
              <w:rPr>
                <w:b/>
                <w:bCs/>
                <w:sz w:val="22"/>
                <w:szCs w:val="22"/>
              </w:rPr>
              <w:lastRenderedPageBreak/>
              <w:t>8</w:t>
            </w:r>
          </w:p>
        </w:tc>
        <w:tc>
          <w:tcPr>
            <w:tcW w:w="3100" w:type="dxa"/>
            <w:tcMar>
              <w:top w:w="50" w:type="dxa"/>
              <w:left w:w="90" w:type="dxa"/>
              <w:bottom w:w="50" w:type="dxa"/>
              <w:right w:w="90" w:type="dxa"/>
            </w:tcMar>
          </w:tcPr>
          <w:p w14:paraId="0084BE5E" w14:textId="77777777" w:rsidR="00771FA5" w:rsidRDefault="00000000">
            <w:pPr>
              <w:spacing w:after="20" w:line="276" w:lineRule="auto"/>
            </w:pPr>
            <w:r>
              <w:rPr>
                <w:b/>
                <w:bCs/>
                <w:sz w:val="22"/>
                <w:szCs w:val="22"/>
              </w:rPr>
              <w:t>Sample size &amp; justification</w:t>
            </w:r>
          </w:p>
        </w:tc>
        <w:tc>
          <w:tcPr>
            <w:tcW w:w="5560" w:type="dxa"/>
            <w:tcMar>
              <w:top w:w="50" w:type="dxa"/>
              <w:left w:w="90" w:type="dxa"/>
              <w:bottom w:w="50" w:type="dxa"/>
              <w:right w:w="90" w:type="dxa"/>
            </w:tcMar>
          </w:tcPr>
          <w:p w14:paraId="7F87C49B" w14:textId="77777777" w:rsidR="00771FA5" w:rsidRDefault="00000000">
            <w:pPr>
              <w:spacing w:after="20" w:line="276" w:lineRule="auto"/>
            </w:pPr>
            <w:r>
              <w:rPr>
                <w:sz w:val="22"/>
                <w:szCs w:val="22"/>
              </w:rPr>
              <w:t>82 per group (164 total): SD 4 g/kg/day, non-inferiority margin 2 g/kg/day, one-sided α 0.05, power 90%, plus 15% attrition.</w:t>
            </w:r>
          </w:p>
        </w:tc>
      </w:tr>
      <w:tr w:rsidR="00771FA5" w14:paraId="4F342FE8" w14:textId="77777777">
        <w:tc>
          <w:tcPr>
            <w:tcW w:w="700" w:type="dxa"/>
            <w:tcMar>
              <w:top w:w="50" w:type="dxa"/>
              <w:left w:w="90" w:type="dxa"/>
              <w:bottom w:w="50" w:type="dxa"/>
              <w:right w:w="90" w:type="dxa"/>
            </w:tcMar>
          </w:tcPr>
          <w:p w14:paraId="71B0EF08" w14:textId="77777777" w:rsidR="00771FA5" w:rsidRDefault="00000000">
            <w:pPr>
              <w:spacing w:after="20" w:line="276" w:lineRule="auto"/>
            </w:pPr>
            <w:r>
              <w:rPr>
                <w:b/>
                <w:bCs/>
                <w:sz w:val="22"/>
                <w:szCs w:val="22"/>
              </w:rPr>
              <w:t>9</w:t>
            </w:r>
          </w:p>
        </w:tc>
        <w:tc>
          <w:tcPr>
            <w:tcW w:w="3100" w:type="dxa"/>
            <w:tcMar>
              <w:top w:w="50" w:type="dxa"/>
              <w:left w:w="90" w:type="dxa"/>
              <w:bottom w:w="50" w:type="dxa"/>
              <w:right w:w="90" w:type="dxa"/>
            </w:tcMar>
          </w:tcPr>
          <w:p w14:paraId="2BCF0822" w14:textId="77777777" w:rsidR="00771FA5" w:rsidRDefault="00000000">
            <w:pPr>
              <w:spacing w:after="20" w:line="276" w:lineRule="auto"/>
            </w:pPr>
            <w:r>
              <w:rPr>
                <w:b/>
                <w:bCs/>
                <w:sz w:val="22"/>
                <w:szCs w:val="22"/>
              </w:rPr>
              <w:t>Safety measures</w:t>
            </w:r>
          </w:p>
        </w:tc>
        <w:tc>
          <w:tcPr>
            <w:tcW w:w="5560" w:type="dxa"/>
            <w:tcMar>
              <w:top w:w="50" w:type="dxa"/>
              <w:left w:w="90" w:type="dxa"/>
              <w:bottom w:w="50" w:type="dxa"/>
              <w:right w:w="90" w:type="dxa"/>
            </w:tcMar>
          </w:tcPr>
          <w:p w14:paraId="4077CE5A" w14:textId="77777777" w:rsidR="00771FA5" w:rsidRDefault="00000000">
            <w:pPr>
              <w:spacing w:after="20" w:line="276" w:lineRule="auto"/>
            </w:pPr>
            <w:r>
              <w:rPr>
                <w:sz w:val="22"/>
                <w:szCs w:val="22"/>
              </w:rPr>
              <w:t>Both fortification strategies are standard nutritional care; clinical and metabolic-bone-disease monitoring are routine. Pre-specified clinical/laboratory monitoring and stopping criteria are described in the Safety Monitoring section.</w:t>
            </w:r>
          </w:p>
        </w:tc>
      </w:tr>
      <w:tr w:rsidR="00771FA5" w14:paraId="1FBDA527" w14:textId="77777777">
        <w:tc>
          <w:tcPr>
            <w:tcW w:w="700" w:type="dxa"/>
            <w:tcMar>
              <w:top w:w="50" w:type="dxa"/>
              <w:left w:w="90" w:type="dxa"/>
              <w:bottom w:w="50" w:type="dxa"/>
              <w:right w:w="90" w:type="dxa"/>
            </w:tcMar>
          </w:tcPr>
          <w:p w14:paraId="201EAFA0" w14:textId="77777777" w:rsidR="00771FA5" w:rsidRDefault="00000000">
            <w:pPr>
              <w:spacing w:after="20" w:line="276" w:lineRule="auto"/>
            </w:pPr>
            <w:r>
              <w:rPr>
                <w:b/>
                <w:bCs/>
                <w:sz w:val="22"/>
                <w:szCs w:val="22"/>
              </w:rPr>
              <w:t>10</w:t>
            </w:r>
          </w:p>
        </w:tc>
        <w:tc>
          <w:tcPr>
            <w:tcW w:w="3100" w:type="dxa"/>
            <w:tcMar>
              <w:top w:w="50" w:type="dxa"/>
              <w:left w:w="90" w:type="dxa"/>
              <w:bottom w:w="50" w:type="dxa"/>
              <w:right w:w="90" w:type="dxa"/>
            </w:tcMar>
          </w:tcPr>
          <w:p w14:paraId="54444685" w14:textId="77777777" w:rsidR="00771FA5" w:rsidRDefault="00000000">
            <w:pPr>
              <w:spacing w:after="20" w:line="276" w:lineRule="auto"/>
            </w:pPr>
            <w:r>
              <w:rPr>
                <w:b/>
                <w:bCs/>
                <w:sz w:val="22"/>
                <w:szCs w:val="22"/>
              </w:rPr>
              <w:t>Plans to withdraw standard therapy</w:t>
            </w:r>
          </w:p>
        </w:tc>
        <w:tc>
          <w:tcPr>
            <w:tcW w:w="5560" w:type="dxa"/>
            <w:tcMar>
              <w:top w:w="50" w:type="dxa"/>
              <w:left w:w="90" w:type="dxa"/>
              <w:bottom w:w="50" w:type="dxa"/>
              <w:right w:w="90" w:type="dxa"/>
            </w:tcMar>
          </w:tcPr>
          <w:p w14:paraId="5A523B66" w14:textId="77777777" w:rsidR="00771FA5" w:rsidRDefault="00000000">
            <w:pPr>
              <w:spacing w:after="20" w:line="276" w:lineRule="auto"/>
            </w:pPr>
            <w:r>
              <w:rPr>
                <w:sz w:val="22"/>
                <w:szCs w:val="22"/>
              </w:rPr>
              <w:t>None; standard neonatal care continues unchanged in both groups.</w:t>
            </w:r>
          </w:p>
        </w:tc>
      </w:tr>
      <w:tr w:rsidR="00771FA5" w14:paraId="1E63C37D" w14:textId="77777777">
        <w:tc>
          <w:tcPr>
            <w:tcW w:w="700" w:type="dxa"/>
            <w:tcMar>
              <w:top w:w="50" w:type="dxa"/>
              <w:left w:w="90" w:type="dxa"/>
              <w:bottom w:w="50" w:type="dxa"/>
              <w:right w:w="90" w:type="dxa"/>
            </w:tcMar>
          </w:tcPr>
          <w:p w14:paraId="49758EA0" w14:textId="77777777" w:rsidR="00771FA5" w:rsidRDefault="00000000">
            <w:pPr>
              <w:spacing w:after="20" w:line="276" w:lineRule="auto"/>
            </w:pPr>
            <w:r>
              <w:rPr>
                <w:b/>
                <w:bCs/>
                <w:sz w:val="22"/>
                <w:szCs w:val="22"/>
              </w:rPr>
              <w:t>11</w:t>
            </w:r>
          </w:p>
        </w:tc>
        <w:tc>
          <w:tcPr>
            <w:tcW w:w="3100" w:type="dxa"/>
            <w:tcMar>
              <w:top w:w="50" w:type="dxa"/>
              <w:left w:w="90" w:type="dxa"/>
              <w:bottom w:w="50" w:type="dxa"/>
              <w:right w:w="90" w:type="dxa"/>
            </w:tcMar>
          </w:tcPr>
          <w:p w14:paraId="3DED7893" w14:textId="77777777" w:rsidR="00771FA5" w:rsidRDefault="00000000">
            <w:pPr>
              <w:spacing w:after="20" w:line="276" w:lineRule="auto"/>
            </w:pPr>
            <w:r>
              <w:rPr>
                <w:b/>
                <w:bCs/>
                <w:sz w:val="22"/>
                <w:szCs w:val="22"/>
              </w:rPr>
              <w:t>Provision for study-related injury</w:t>
            </w:r>
          </w:p>
        </w:tc>
        <w:tc>
          <w:tcPr>
            <w:tcW w:w="5560" w:type="dxa"/>
            <w:tcMar>
              <w:top w:w="50" w:type="dxa"/>
              <w:left w:w="90" w:type="dxa"/>
              <w:bottom w:w="50" w:type="dxa"/>
              <w:right w:w="90" w:type="dxa"/>
            </w:tcMar>
          </w:tcPr>
          <w:p w14:paraId="5A37812F" w14:textId="77777777" w:rsidR="00771FA5" w:rsidRDefault="00000000">
            <w:pPr>
              <w:spacing w:after="20" w:line="276" w:lineRule="auto"/>
            </w:pPr>
            <w:r>
              <w:rPr>
                <w:sz w:val="22"/>
                <w:szCs w:val="22"/>
              </w:rPr>
              <w:t>Not applicable; minimal-risk nutritional intervention.</w:t>
            </w:r>
          </w:p>
        </w:tc>
      </w:tr>
      <w:tr w:rsidR="00771FA5" w14:paraId="403C6F7C" w14:textId="77777777">
        <w:tc>
          <w:tcPr>
            <w:tcW w:w="700" w:type="dxa"/>
            <w:tcMar>
              <w:top w:w="50" w:type="dxa"/>
              <w:left w:w="90" w:type="dxa"/>
              <w:bottom w:w="50" w:type="dxa"/>
              <w:right w:w="90" w:type="dxa"/>
            </w:tcMar>
          </w:tcPr>
          <w:p w14:paraId="744F5CF6" w14:textId="77777777" w:rsidR="00771FA5" w:rsidRDefault="00000000">
            <w:pPr>
              <w:spacing w:after="20" w:line="276" w:lineRule="auto"/>
            </w:pPr>
            <w:r>
              <w:rPr>
                <w:b/>
                <w:bCs/>
                <w:sz w:val="22"/>
                <w:szCs w:val="22"/>
              </w:rPr>
              <w:t>12</w:t>
            </w:r>
          </w:p>
        </w:tc>
        <w:tc>
          <w:tcPr>
            <w:tcW w:w="3100" w:type="dxa"/>
            <w:tcMar>
              <w:top w:w="50" w:type="dxa"/>
              <w:left w:w="90" w:type="dxa"/>
              <w:bottom w:w="50" w:type="dxa"/>
              <w:right w:w="90" w:type="dxa"/>
            </w:tcMar>
          </w:tcPr>
          <w:p w14:paraId="23AE3F4E" w14:textId="77777777" w:rsidR="00771FA5" w:rsidRDefault="00000000">
            <w:pPr>
              <w:spacing w:after="20" w:line="276" w:lineRule="auto"/>
            </w:pPr>
            <w:r>
              <w:rPr>
                <w:b/>
                <w:bCs/>
                <w:sz w:val="22"/>
                <w:szCs w:val="22"/>
              </w:rPr>
              <w:t>Confidentiality &amp; data management</w:t>
            </w:r>
          </w:p>
        </w:tc>
        <w:tc>
          <w:tcPr>
            <w:tcW w:w="5560" w:type="dxa"/>
            <w:tcMar>
              <w:top w:w="50" w:type="dxa"/>
              <w:left w:w="90" w:type="dxa"/>
              <w:bottom w:w="50" w:type="dxa"/>
              <w:right w:w="90" w:type="dxa"/>
            </w:tcMar>
          </w:tcPr>
          <w:p w14:paraId="6EBF696D" w14:textId="77777777" w:rsidR="00771FA5" w:rsidRDefault="00000000">
            <w:pPr>
              <w:spacing w:after="20" w:line="276" w:lineRule="auto"/>
            </w:pPr>
            <w:r>
              <w:rPr>
                <w:sz w:val="22"/>
                <w:szCs w:val="22"/>
              </w:rPr>
              <w:t>De-identified study IDs; paper CRFs with double data entry into a password-protected database; access limited to investigators; audit trail; retention ≥5 years.</w:t>
            </w:r>
          </w:p>
        </w:tc>
      </w:tr>
      <w:tr w:rsidR="00771FA5" w14:paraId="765E0257" w14:textId="77777777">
        <w:tc>
          <w:tcPr>
            <w:tcW w:w="700" w:type="dxa"/>
            <w:tcMar>
              <w:top w:w="50" w:type="dxa"/>
              <w:left w:w="90" w:type="dxa"/>
              <w:bottom w:w="50" w:type="dxa"/>
              <w:right w:w="90" w:type="dxa"/>
            </w:tcMar>
          </w:tcPr>
          <w:p w14:paraId="698DCFAC" w14:textId="77777777" w:rsidR="00771FA5" w:rsidRDefault="00000000">
            <w:pPr>
              <w:spacing w:after="20" w:line="276" w:lineRule="auto"/>
            </w:pPr>
            <w:r>
              <w:rPr>
                <w:b/>
                <w:bCs/>
                <w:sz w:val="22"/>
                <w:szCs w:val="22"/>
              </w:rPr>
              <w:t>13</w:t>
            </w:r>
          </w:p>
        </w:tc>
        <w:tc>
          <w:tcPr>
            <w:tcW w:w="3100" w:type="dxa"/>
            <w:tcMar>
              <w:top w:w="50" w:type="dxa"/>
              <w:left w:w="90" w:type="dxa"/>
              <w:bottom w:w="50" w:type="dxa"/>
              <w:right w:w="90" w:type="dxa"/>
            </w:tcMar>
          </w:tcPr>
          <w:p w14:paraId="0064DB58" w14:textId="77777777" w:rsidR="00771FA5" w:rsidRDefault="00000000">
            <w:pPr>
              <w:spacing w:after="20" w:line="276" w:lineRule="auto"/>
            </w:pPr>
            <w:r>
              <w:rPr>
                <w:b/>
                <w:bCs/>
                <w:sz w:val="22"/>
                <w:szCs w:val="22"/>
              </w:rPr>
              <w:t>Costs involved</w:t>
            </w:r>
          </w:p>
        </w:tc>
        <w:tc>
          <w:tcPr>
            <w:tcW w:w="5560" w:type="dxa"/>
            <w:tcMar>
              <w:top w:w="50" w:type="dxa"/>
              <w:left w:w="90" w:type="dxa"/>
              <w:bottom w:w="50" w:type="dxa"/>
              <w:right w:w="90" w:type="dxa"/>
            </w:tcMar>
          </w:tcPr>
          <w:p w14:paraId="383F7AFD" w14:textId="77777777" w:rsidR="00771FA5" w:rsidRDefault="00000000">
            <w:pPr>
              <w:spacing w:after="20" w:line="276" w:lineRule="auto"/>
            </w:pPr>
            <w:r>
              <w:rPr>
                <w:sz w:val="22"/>
                <w:szCs w:val="22"/>
              </w:rPr>
              <w:t>Fortifiers and supplements provided free to participants; a patient-level intervention acquisition-cost analysis of direct product costs is performed. No cost is borne by participants.</w:t>
            </w:r>
          </w:p>
        </w:tc>
      </w:tr>
      <w:tr w:rsidR="00771FA5" w14:paraId="68ACFCB3" w14:textId="77777777">
        <w:tc>
          <w:tcPr>
            <w:tcW w:w="700" w:type="dxa"/>
            <w:tcMar>
              <w:top w:w="50" w:type="dxa"/>
              <w:left w:w="90" w:type="dxa"/>
              <w:bottom w:w="50" w:type="dxa"/>
              <w:right w:w="90" w:type="dxa"/>
            </w:tcMar>
          </w:tcPr>
          <w:p w14:paraId="0F8CC84F" w14:textId="77777777" w:rsidR="00771FA5" w:rsidRDefault="00000000">
            <w:pPr>
              <w:spacing w:after="20" w:line="276" w:lineRule="auto"/>
            </w:pPr>
            <w:r>
              <w:rPr>
                <w:b/>
                <w:bCs/>
                <w:sz w:val="22"/>
                <w:szCs w:val="22"/>
              </w:rPr>
              <w:t>14</w:t>
            </w:r>
          </w:p>
        </w:tc>
        <w:tc>
          <w:tcPr>
            <w:tcW w:w="3100" w:type="dxa"/>
            <w:tcMar>
              <w:top w:w="50" w:type="dxa"/>
              <w:left w:w="90" w:type="dxa"/>
              <w:bottom w:w="50" w:type="dxa"/>
              <w:right w:w="90" w:type="dxa"/>
            </w:tcMar>
          </w:tcPr>
          <w:p w14:paraId="26ED2630" w14:textId="77777777" w:rsidR="00771FA5" w:rsidRDefault="00000000">
            <w:pPr>
              <w:spacing w:after="20" w:line="276" w:lineRule="auto"/>
            </w:pPr>
            <w:r>
              <w:rPr>
                <w:b/>
                <w:bCs/>
                <w:sz w:val="22"/>
                <w:szCs w:val="22"/>
              </w:rPr>
              <w:t>Participant Information Sheet</w:t>
            </w:r>
          </w:p>
        </w:tc>
        <w:tc>
          <w:tcPr>
            <w:tcW w:w="5560" w:type="dxa"/>
            <w:tcMar>
              <w:top w:w="50" w:type="dxa"/>
              <w:left w:w="90" w:type="dxa"/>
              <w:bottom w:w="50" w:type="dxa"/>
              <w:right w:w="90" w:type="dxa"/>
            </w:tcMar>
          </w:tcPr>
          <w:p w14:paraId="72DECEB5" w14:textId="77777777" w:rsidR="00771FA5" w:rsidRDefault="00000000">
            <w:pPr>
              <w:spacing w:after="20" w:line="276" w:lineRule="auto"/>
            </w:pPr>
            <w:r>
              <w:rPr>
                <w:sz w:val="22"/>
                <w:szCs w:val="22"/>
              </w:rPr>
              <w:t>Attached (English, Hindi, Marathi).</w:t>
            </w:r>
          </w:p>
        </w:tc>
      </w:tr>
      <w:tr w:rsidR="00771FA5" w14:paraId="3576B621" w14:textId="77777777">
        <w:tc>
          <w:tcPr>
            <w:tcW w:w="700" w:type="dxa"/>
            <w:tcMar>
              <w:top w:w="50" w:type="dxa"/>
              <w:left w:w="90" w:type="dxa"/>
              <w:bottom w:w="50" w:type="dxa"/>
              <w:right w:w="90" w:type="dxa"/>
            </w:tcMar>
          </w:tcPr>
          <w:p w14:paraId="4F673E1C" w14:textId="77777777" w:rsidR="00771FA5" w:rsidRDefault="00000000">
            <w:pPr>
              <w:spacing w:after="20" w:line="276" w:lineRule="auto"/>
            </w:pPr>
            <w:r>
              <w:rPr>
                <w:b/>
                <w:bCs/>
                <w:sz w:val="22"/>
                <w:szCs w:val="22"/>
              </w:rPr>
              <w:t>15</w:t>
            </w:r>
          </w:p>
        </w:tc>
        <w:tc>
          <w:tcPr>
            <w:tcW w:w="3100" w:type="dxa"/>
            <w:tcMar>
              <w:top w:w="50" w:type="dxa"/>
              <w:left w:w="90" w:type="dxa"/>
              <w:bottom w:w="50" w:type="dxa"/>
              <w:right w:w="90" w:type="dxa"/>
            </w:tcMar>
          </w:tcPr>
          <w:p w14:paraId="46C6A544" w14:textId="77777777" w:rsidR="00771FA5" w:rsidRDefault="00000000">
            <w:pPr>
              <w:spacing w:after="20" w:line="276" w:lineRule="auto"/>
            </w:pPr>
            <w:r>
              <w:rPr>
                <w:b/>
                <w:bCs/>
                <w:sz w:val="22"/>
                <w:szCs w:val="22"/>
              </w:rPr>
              <w:t>Informed Consent Form</w:t>
            </w:r>
          </w:p>
        </w:tc>
        <w:tc>
          <w:tcPr>
            <w:tcW w:w="5560" w:type="dxa"/>
            <w:tcMar>
              <w:top w:w="50" w:type="dxa"/>
              <w:left w:w="90" w:type="dxa"/>
              <w:bottom w:w="50" w:type="dxa"/>
              <w:right w:w="90" w:type="dxa"/>
            </w:tcMar>
          </w:tcPr>
          <w:p w14:paraId="4DBF0D86" w14:textId="77777777" w:rsidR="00771FA5" w:rsidRDefault="00000000">
            <w:pPr>
              <w:spacing w:after="20" w:line="276" w:lineRule="auto"/>
            </w:pPr>
            <w:r>
              <w:rPr>
                <w:sz w:val="22"/>
                <w:szCs w:val="22"/>
              </w:rPr>
              <w:t>Attached (English, Hindi, Marathi).</w:t>
            </w:r>
          </w:p>
        </w:tc>
      </w:tr>
      <w:tr w:rsidR="00771FA5" w14:paraId="3B3DA24F" w14:textId="77777777">
        <w:tc>
          <w:tcPr>
            <w:tcW w:w="700" w:type="dxa"/>
            <w:tcMar>
              <w:top w:w="50" w:type="dxa"/>
              <w:left w:w="90" w:type="dxa"/>
              <w:bottom w:w="50" w:type="dxa"/>
              <w:right w:w="90" w:type="dxa"/>
            </w:tcMar>
          </w:tcPr>
          <w:p w14:paraId="2635F1C6" w14:textId="77777777" w:rsidR="00771FA5" w:rsidRDefault="00000000">
            <w:pPr>
              <w:spacing w:after="20" w:line="276" w:lineRule="auto"/>
            </w:pPr>
            <w:r>
              <w:rPr>
                <w:b/>
                <w:bCs/>
                <w:sz w:val="22"/>
                <w:szCs w:val="22"/>
              </w:rPr>
              <w:t>16</w:t>
            </w:r>
          </w:p>
        </w:tc>
        <w:tc>
          <w:tcPr>
            <w:tcW w:w="3100" w:type="dxa"/>
            <w:tcMar>
              <w:top w:w="50" w:type="dxa"/>
              <w:left w:w="90" w:type="dxa"/>
              <w:bottom w:w="50" w:type="dxa"/>
              <w:right w:w="90" w:type="dxa"/>
            </w:tcMar>
          </w:tcPr>
          <w:p w14:paraId="7E88EDFA" w14:textId="77777777" w:rsidR="00771FA5" w:rsidRDefault="00000000">
            <w:pPr>
              <w:spacing w:after="20" w:line="276" w:lineRule="auto"/>
            </w:pPr>
            <w:r>
              <w:rPr>
                <w:b/>
                <w:bCs/>
                <w:sz w:val="22"/>
                <w:szCs w:val="22"/>
              </w:rPr>
              <w:t>Prior work on this project</w:t>
            </w:r>
          </w:p>
        </w:tc>
        <w:tc>
          <w:tcPr>
            <w:tcW w:w="5560" w:type="dxa"/>
            <w:tcMar>
              <w:top w:w="50" w:type="dxa"/>
              <w:left w:w="90" w:type="dxa"/>
              <w:bottom w:w="50" w:type="dxa"/>
              <w:right w:w="90" w:type="dxa"/>
            </w:tcMar>
          </w:tcPr>
          <w:p w14:paraId="661E80BC" w14:textId="77777777" w:rsidR="00771FA5" w:rsidRDefault="00000000">
            <w:pPr>
              <w:spacing w:after="20" w:line="276" w:lineRule="auto"/>
            </w:pPr>
            <w:r>
              <w:rPr>
                <w:sz w:val="22"/>
                <w:szCs w:val="22"/>
              </w:rPr>
              <w:t>No.</w:t>
            </w:r>
          </w:p>
        </w:tc>
      </w:tr>
      <w:tr w:rsidR="00771FA5" w14:paraId="40862C6B" w14:textId="77777777">
        <w:tc>
          <w:tcPr>
            <w:tcW w:w="700" w:type="dxa"/>
            <w:tcMar>
              <w:top w:w="50" w:type="dxa"/>
              <w:left w:w="90" w:type="dxa"/>
              <w:bottom w:w="50" w:type="dxa"/>
              <w:right w:w="90" w:type="dxa"/>
            </w:tcMar>
          </w:tcPr>
          <w:p w14:paraId="46888DC3" w14:textId="77777777" w:rsidR="00771FA5" w:rsidRDefault="00000000">
            <w:pPr>
              <w:spacing w:after="20" w:line="276" w:lineRule="auto"/>
            </w:pPr>
            <w:r>
              <w:rPr>
                <w:b/>
                <w:bCs/>
                <w:sz w:val="22"/>
                <w:szCs w:val="22"/>
              </w:rPr>
              <w:t>17</w:t>
            </w:r>
          </w:p>
        </w:tc>
        <w:tc>
          <w:tcPr>
            <w:tcW w:w="3100" w:type="dxa"/>
            <w:tcMar>
              <w:top w:w="50" w:type="dxa"/>
              <w:left w:w="90" w:type="dxa"/>
              <w:bottom w:w="50" w:type="dxa"/>
              <w:right w:w="90" w:type="dxa"/>
            </w:tcMar>
          </w:tcPr>
          <w:p w14:paraId="7FB33C3D" w14:textId="77777777" w:rsidR="00771FA5" w:rsidRDefault="00000000">
            <w:pPr>
              <w:spacing w:after="20" w:line="276" w:lineRule="auto"/>
            </w:pPr>
            <w:r>
              <w:rPr>
                <w:b/>
                <w:bCs/>
                <w:sz w:val="22"/>
                <w:szCs w:val="22"/>
              </w:rPr>
              <w:t>Attached documents</w:t>
            </w:r>
          </w:p>
        </w:tc>
        <w:tc>
          <w:tcPr>
            <w:tcW w:w="5560" w:type="dxa"/>
            <w:tcMar>
              <w:top w:w="50" w:type="dxa"/>
              <w:left w:w="90" w:type="dxa"/>
              <w:bottom w:w="50" w:type="dxa"/>
              <w:right w:w="90" w:type="dxa"/>
            </w:tcMar>
          </w:tcPr>
          <w:p w14:paraId="1A1AFE87" w14:textId="77777777" w:rsidR="00771FA5" w:rsidRDefault="00000000">
            <w:pPr>
              <w:pStyle w:val="ListParagraph"/>
              <w:numPr>
                <w:ilvl w:val="0"/>
                <w:numId w:val="1"/>
              </w:numPr>
              <w:spacing w:after="10" w:line="264" w:lineRule="auto"/>
            </w:pPr>
            <w:r>
              <w:rPr>
                <w:sz w:val="22"/>
                <w:szCs w:val="22"/>
              </w:rPr>
              <w:t>Covering letter and HOD/Dean permission</w:t>
            </w:r>
          </w:p>
          <w:p w14:paraId="18A33904" w14:textId="77777777" w:rsidR="00771FA5" w:rsidRDefault="00000000">
            <w:pPr>
              <w:pStyle w:val="ListParagraph"/>
              <w:numPr>
                <w:ilvl w:val="0"/>
                <w:numId w:val="1"/>
              </w:numPr>
              <w:spacing w:after="10" w:line="264" w:lineRule="auto"/>
            </w:pPr>
            <w:r>
              <w:rPr>
                <w:sz w:val="22"/>
                <w:szCs w:val="22"/>
              </w:rPr>
              <w:t>Participant information sheet and consent forms</w:t>
            </w:r>
          </w:p>
          <w:p w14:paraId="48CF1C3A" w14:textId="77777777" w:rsidR="00771FA5" w:rsidRDefault="00000000">
            <w:pPr>
              <w:pStyle w:val="ListParagraph"/>
              <w:numPr>
                <w:ilvl w:val="0"/>
                <w:numId w:val="1"/>
              </w:numPr>
              <w:spacing w:after="10" w:line="264" w:lineRule="auto"/>
            </w:pPr>
            <w:r>
              <w:rPr>
                <w:sz w:val="22"/>
                <w:szCs w:val="22"/>
              </w:rPr>
              <w:t>Case record form</w:t>
            </w:r>
          </w:p>
          <w:p w14:paraId="4C7ACBBD" w14:textId="77777777" w:rsidR="00771FA5" w:rsidRDefault="00000000">
            <w:pPr>
              <w:pStyle w:val="ListParagraph"/>
              <w:numPr>
                <w:ilvl w:val="0"/>
                <w:numId w:val="1"/>
              </w:numPr>
              <w:spacing w:after="10" w:line="264" w:lineRule="auto"/>
            </w:pPr>
            <w:r>
              <w:rPr>
                <w:sz w:val="22"/>
                <w:szCs w:val="22"/>
              </w:rPr>
              <w:t>Proof of CTRI registration</w:t>
            </w:r>
          </w:p>
          <w:p w14:paraId="1DE6F65E" w14:textId="77777777" w:rsidR="00771FA5" w:rsidRDefault="00000000">
            <w:pPr>
              <w:pStyle w:val="ListParagraph"/>
              <w:numPr>
                <w:ilvl w:val="0"/>
                <w:numId w:val="1"/>
              </w:numPr>
              <w:spacing w:after="10" w:line="264" w:lineRule="auto"/>
            </w:pPr>
            <w:r>
              <w:rPr>
                <w:sz w:val="22"/>
                <w:szCs w:val="22"/>
              </w:rPr>
              <w:t>Investigator undertaking (GCP compliance)</w:t>
            </w:r>
          </w:p>
        </w:tc>
      </w:tr>
    </w:tbl>
    <w:p w14:paraId="7662EE84" w14:textId="77777777" w:rsidR="00771FA5" w:rsidRDefault="00000000">
      <w:r>
        <w:br w:type="page"/>
      </w:r>
    </w:p>
    <w:p w14:paraId="4C654280" w14:textId="77777777" w:rsidR="00771FA5" w:rsidRDefault="00000000">
      <w:pPr>
        <w:pStyle w:val="Heading1"/>
        <w:spacing w:before="240" w:after="120" w:line="360" w:lineRule="auto"/>
      </w:pPr>
      <w:r>
        <w:rPr>
          <w:b/>
          <w:bCs/>
          <w:sz w:val="28"/>
          <w:szCs w:val="28"/>
        </w:rPr>
        <w:lastRenderedPageBreak/>
        <w:t>1. Introduction and Rationale</w:t>
      </w:r>
    </w:p>
    <w:p w14:paraId="63B50EC6" w14:textId="77777777" w:rsidR="00771FA5" w:rsidRDefault="00000000">
      <w:pPr>
        <w:spacing w:after="120" w:line="360" w:lineRule="auto"/>
        <w:jc w:val="both"/>
      </w:pPr>
      <w:r>
        <w:t>Human milk is the preferred enteral nutrition for preterm infants because of its immunological, gastrointestinal, metabolic, and neurodevelopmental benefits. However, mother’s own milk does not consistently meet the high protein, energy, mineral, and micronutrient requirements of very low birth weight (VLBW) infants, and multinutrient fortification is recommended to support postnatal growth and bone mineralization. Commercial bovine human milk fortifier (HMF) is the standard approach in many neonatal units but is expensive and inconsistently available in low- and middle-income settings, which limits routine fortification.</w:t>
      </w:r>
    </w:p>
    <w:p w14:paraId="3404BFCF" w14:textId="77777777" w:rsidR="00771FA5" w:rsidRDefault="00000000">
      <w:pPr>
        <w:spacing w:after="120" w:line="360" w:lineRule="auto"/>
        <w:jc w:val="both"/>
      </w:pPr>
      <w:r>
        <w:t>Preterm formula powder (PTF) is a widely available and inexpensive alternative. Added in small quantities to mother’s own milk, it increases nutrient density while preserving a predominantly human-milk diet; however, at usual doses it does not supply adequate calcium, phosphorus, and vitamin D and therefore requires targeted supplementation. High-quality randomized evidence remains limited and has been generated with a single commercial fortifier, so independent evaluation using a different commercially available fortifier is warranted.</w:t>
      </w:r>
    </w:p>
    <w:p w14:paraId="353F4809" w14:textId="77777777" w:rsidR="00771FA5" w:rsidRDefault="00000000">
      <w:pPr>
        <w:spacing w:after="120" w:line="360" w:lineRule="auto"/>
        <w:jc w:val="both"/>
      </w:pPr>
      <w:r>
        <w:rPr>
          <w:i/>
          <w:iCs/>
        </w:rPr>
        <w:t xml:space="preserve">Strengths of the proposed trial. </w:t>
      </w:r>
      <w:r>
        <w:t>The trial uses gestational-age-stratified randomization with concealed allocation, contemporary ESPGHAN 2022 nutrition targets, blinded anthropometric outcome assessment, the validated Patel exponential method for growth velocity, and a hospital-perspective economic evaluation — features that together provide a rigorous and clinically relevant test of the fortification strategy.</w:t>
      </w:r>
    </w:p>
    <w:p w14:paraId="57BB40F5" w14:textId="77777777" w:rsidR="00771FA5" w:rsidRDefault="00000000">
      <w:pPr>
        <w:pStyle w:val="Heading1"/>
        <w:spacing w:before="240" w:after="120" w:line="360" w:lineRule="auto"/>
      </w:pPr>
      <w:r>
        <w:rPr>
          <w:b/>
          <w:bCs/>
          <w:sz w:val="28"/>
          <w:szCs w:val="28"/>
        </w:rPr>
        <w:t>2. Review of Literature</w:t>
      </w:r>
    </w:p>
    <w:p w14:paraId="45B7DFFA" w14:textId="77777777" w:rsidR="00771FA5" w:rsidRDefault="00000000">
      <w:pPr>
        <w:spacing w:after="120" w:line="360" w:lineRule="auto"/>
        <w:jc w:val="both"/>
      </w:pPr>
      <w:r>
        <w:t>Several small randomized and observational studies have compared formula-based fortification with commercial HMF, with generally comparable short-term growth but heterogeneous findings for feeding tolerance and morbidity; a recent systematic review and meta-analysis found no pooled difference in weight, length, or head-circumference growth but rated the certainty of evidence as very low. The closest antecedent is a randomized non-inferiority trial of preterm formula powder versus a commercial human milk fortifier. Key studies are summarized below.</w:t>
      </w:r>
    </w:p>
    <w:tbl>
      <w:tblPr>
        <w:tblW w:w="9360" w:type="dxa"/>
        <w:tblBorders>
          <w:top w:val="single" w:sz="4" w:space="0" w:color="000000"/>
          <w:bottom w:val="single" w:sz="4" w:space="0" w:color="000000"/>
          <w:insideH w:val="single" w:sz="2" w:space="0" w:color="BBBBBB"/>
          <w:insideV w:val="single" w:sz="2" w:space="0" w:color="E0E0E0"/>
        </w:tblBorders>
        <w:tblCellMar>
          <w:left w:w="10" w:type="dxa"/>
          <w:right w:w="10" w:type="dxa"/>
        </w:tblCellMar>
        <w:tblLook w:val="0000" w:firstRow="0" w:lastRow="0" w:firstColumn="0" w:lastColumn="0" w:noHBand="0" w:noVBand="0"/>
      </w:tblPr>
      <w:tblGrid>
        <w:gridCol w:w="2000"/>
        <w:gridCol w:w="3560"/>
        <w:gridCol w:w="3800"/>
      </w:tblGrid>
      <w:tr w:rsidR="00771FA5" w14:paraId="0256A795" w14:textId="77777777">
        <w:trPr>
          <w:tblHeader/>
        </w:trPr>
        <w:tc>
          <w:tcPr>
            <w:tcW w:w="2000" w:type="dxa"/>
            <w:shd w:val="clear" w:color="auto" w:fill="D9E2F3"/>
            <w:tcMar>
              <w:top w:w="40" w:type="dxa"/>
              <w:left w:w="70" w:type="dxa"/>
              <w:bottom w:w="40" w:type="dxa"/>
              <w:right w:w="70" w:type="dxa"/>
            </w:tcMar>
          </w:tcPr>
          <w:p w14:paraId="3A186604" w14:textId="77777777" w:rsidR="00771FA5" w:rsidRDefault="00000000">
            <w:r>
              <w:rPr>
                <w:b/>
                <w:bCs/>
                <w:sz w:val="21"/>
                <w:szCs w:val="21"/>
              </w:rPr>
              <w:t>Author / Year</w:t>
            </w:r>
          </w:p>
        </w:tc>
        <w:tc>
          <w:tcPr>
            <w:tcW w:w="3560" w:type="dxa"/>
            <w:shd w:val="clear" w:color="auto" w:fill="D9E2F3"/>
            <w:tcMar>
              <w:top w:w="40" w:type="dxa"/>
              <w:left w:w="70" w:type="dxa"/>
              <w:bottom w:w="40" w:type="dxa"/>
              <w:right w:w="70" w:type="dxa"/>
            </w:tcMar>
          </w:tcPr>
          <w:p w14:paraId="550E8C61" w14:textId="77777777" w:rsidR="00771FA5" w:rsidRDefault="00000000">
            <w:r>
              <w:rPr>
                <w:b/>
                <w:bCs/>
                <w:sz w:val="21"/>
                <w:szCs w:val="21"/>
              </w:rPr>
              <w:t>Study &amp; methods</w:t>
            </w:r>
          </w:p>
        </w:tc>
        <w:tc>
          <w:tcPr>
            <w:tcW w:w="3800" w:type="dxa"/>
            <w:shd w:val="clear" w:color="auto" w:fill="D9E2F3"/>
            <w:tcMar>
              <w:top w:w="40" w:type="dxa"/>
              <w:left w:w="70" w:type="dxa"/>
              <w:bottom w:w="40" w:type="dxa"/>
              <w:right w:w="70" w:type="dxa"/>
            </w:tcMar>
          </w:tcPr>
          <w:p w14:paraId="2A2C58C8" w14:textId="77777777" w:rsidR="00771FA5" w:rsidRDefault="00000000">
            <w:r>
              <w:rPr>
                <w:b/>
                <w:bCs/>
                <w:sz w:val="21"/>
                <w:szCs w:val="21"/>
              </w:rPr>
              <w:t>Key findings</w:t>
            </w:r>
          </w:p>
        </w:tc>
      </w:tr>
      <w:tr w:rsidR="00B0522D" w14:paraId="5EB327BA" w14:textId="77777777">
        <w:tc>
          <w:tcPr>
            <w:tcW w:w="2000" w:type="dxa"/>
          </w:tcPr>
          <w:p w14:paraId="5167B813" w14:textId="77777777" w:rsidR="00B0522D" w:rsidRDefault="00000000">
            <w:r>
              <w:rPr>
                <w:sz w:val="18"/>
              </w:rPr>
              <w:t>Khorana &amp; Jiamsajjamongkhon, 2014 (J Med Assoc Thai)</w:t>
            </w:r>
          </w:p>
        </w:tc>
        <w:tc>
          <w:tcPr>
            <w:tcW w:w="3560" w:type="dxa"/>
          </w:tcPr>
          <w:p w14:paraId="130D8C8C" w14:textId="77777777" w:rsidR="00B0522D" w:rsidRDefault="00000000">
            <w:r>
              <w:rPr>
                <w:sz w:val="18"/>
              </w:rPr>
              <w:t>Randomized pilot; VLBW infants; mother’s own milk fortified with HMF vs post-discharge formula</w:t>
            </w:r>
          </w:p>
        </w:tc>
        <w:tc>
          <w:tcPr>
            <w:tcW w:w="3800" w:type="dxa"/>
          </w:tcPr>
          <w:p w14:paraId="09D58099" w14:textId="77777777" w:rsidR="00B0522D" w:rsidRDefault="00000000">
            <w:r>
              <w:rPr>
                <w:sz w:val="18"/>
              </w:rPr>
              <w:t>Similar growth and biochemical markers; markedly lower cost with formula</w:t>
            </w:r>
          </w:p>
        </w:tc>
      </w:tr>
      <w:tr w:rsidR="00B0522D" w14:paraId="622A34C8" w14:textId="77777777">
        <w:tc>
          <w:tcPr>
            <w:tcW w:w="2000" w:type="dxa"/>
          </w:tcPr>
          <w:p w14:paraId="1A07E29D" w14:textId="77777777" w:rsidR="00B0522D" w:rsidRDefault="00000000">
            <w:r>
              <w:rPr>
                <w:sz w:val="18"/>
              </w:rPr>
              <w:lastRenderedPageBreak/>
              <w:t>Willeitner et al., 2017 (J Pediatr Gastroenterol Nutr)</w:t>
            </w:r>
          </w:p>
        </w:tc>
        <w:tc>
          <w:tcPr>
            <w:tcW w:w="3560" w:type="dxa"/>
          </w:tcPr>
          <w:p w14:paraId="3B8D64EC" w14:textId="77777777" w:rsidR="00B0522D" w:rsidRDefault="00000000">
            <w:r>
              <w:rPr>
                <w:sz w:val="18"/>
              </w:rPr>
              <w:t>RCT; VLBW infants; concentrated preterm formula vs powdered HMF</w:t>
            </w:r>
          </w:p>
        </w:tc>
        <w:tc>
          <w:tcPr>
            <w:tcW w:w="3800" w:type="dxa"/>
          </w:tcPr>
          <w:p w14:paraId="3A657AF1" w14:textId="77777777" w:rsidR="00B0522D" w:rsidRDefault="00000000">
            <w:r>
              <w:rPr>
                <w:sz w:val="18"/>
              </w:rPr>
              <w:t>Similar weight gain and feeding tolerance</w:t>
            </w:r>
          </w:p>
        </w:tc>
      </w:tr>
      <w:tr w:rsidR="00B0522D" w14:paraId="681A1ADD" w14:textId="77777777">
        <w:tc>
          <w:tcPr>
            <w:tcW w:w="2000" w:type="dxa"/>
          </w:tcPr>
          <w:p w14:paraId="0837D691" w14:textId="77777777" w:rsidR="00B0522D" w:rsidRDefault="00000000">
            <w:r>
              <w:rPr>
                <w:sz w:val="18"/>
              </w:rPr>
              <w:t>Chinnappan et al., 2021 (JAMA Pediatr)</w:t>
            </w:r>
          </w:p>
        </w:tc>
        <w:tc>
          <w:tcPr>
            <w:tcW w:w="3560" w:type="dxa"/>
          </w:tcPr>
          <w:p w14:paraId="612F4075" w14:textId="77777777" w:rsidR="00B0522D" w:rsidRDefault="00000000">
            <w:r>
              <w:rPr>
                <w:sz w:val="18"/>
              </w:rPr>
              <w:t>RCT, non-inferiority; preterm neonates; preterm formula powder vs commercial HMF</w:t>
            </w:r>
          </w:p>
        </w:tc>
        <w:tc>
          <w:tcPr>
            <w:tcW w:w="3800" w:type="dxa"/>
          </w:tcPr>
          <w:p w14:paraId="6CC8A2CA" w14:textId="77777777" w:rsidR="00B0522D" w:rsidRDefault="00000000">
            <w:r>
              <w:rPr>
                <w:sz w:val="18"/>
              </w:rPr>
              <w:t>PTF non-inferior for weight gain; less feed intolerance; substantially lower cost (closest antecedent)</w:t>
            </w:r>
          </w:p>
        </w:tc>
      </w:tr>
      <w:tr w:rsidR="00B0522D" w14:paraId="4C8871E9" w14:textId="77777777">
        <w:tc>
          <w:tcPr>
            <w:tcW w:w="2000" w:type="dxa"/>
          </w:tcPr>
          <w:p w14:paraId="4C857750" w14:textId="77777777" w:rsidR="00B0522D" w:rsidRDefault="00000000">
            <w:r>
              <w:rPr>
                <w:sz w:val="18"/>
              </w:rPr>
              <w:t>Al Mandhari et al., 2023 (Oman Med J)</w:t>
            </w:r>
          </w:p>
        </w:tc>
        <w:tc>
          <w:tcPr>
            <w:tcW w:w="3560" w:type="dxa"/>
          </w:tcPr>
          <w:p w14:paraId="373F0889" w14:textId="77777777" w:rsidR="00B0522D" w:rsidRDefault="00000000">
            <w:r>
              <w:rPr>
                <w:sz w:val="18"/>
              </w:rPr>
              <w:t>Retrospective single-institution cohort; HMF vs preterm formula fortification</w:t>
            </w:r>
          </w:p>
        </w:tc>
        <w:tc>
          <w:tcPr>
            <w:tcW w:w="3800" w:type="dxa"/>
          </w:tcPr>
          <w:p w14:paraId="08374CC2" w14:textId="77777777" w:rsidR="00B0522D" w:rsidRDefault="00000000">
            <w:r>
              <w:rPr>
                <w:sz w:val="18"/>
              </w:rPr>
              <w:t>Higher early weight gain and less NEC with HMF</w:t>
            </w:r>
          </w:p>
        </w:tc>
      </w:tr>
      <w:tr w:rsidR="00B0522D" w14:paraId="1768A480" w14:textId="77777777">
        <w:tc>
          <w:tcPr>
            <w:tcW w:w="2000" w:type="dxa"/>
          </w:tcPr>
          <w:p w14:paraId="2986E3C5" w14:textId="77777777" w:rsidR="00B0522D" w:rsidRDefault="00000000">
            <w:r>
              <w:rPr>
                <w:sz w:val="18"/>
              </w:rPr>
              <w:t>Pedaveeti et al., 2025 (Indian J Pediatr)</w:t>
            </w:r>
          </w:p>
        </w:tc>
        <w:tc>
          <w:tcPr>
            <w:tcW w:w="3560" w:type="dxa"/>
          </w:tcPr>
          <w:p w14:paraId="36DCB42A" w14:textId="77777777" w:rsidR="00B0522D" w:rsidRDefault="00000000">
            <w:r>
              <w:rPr>
                <w:sz w:val="18"/>
              </w:rPr>
              <w:t>Three-arm trial; AGA infants 28–32 wk, 1 000–1 500 g; Lactodex HMF vs PreNAN formula vs comparator</w:t>
            </w:r>
          </w:p>
        </w:tc>
        <w:tc>
          <w:tcPr>
            <w:tcW w:w="3800" w:type="dxa"/>
          </w:tcPr>
          <w:p w14:paraId="4BF8808E" w14:textId="77777777" w:rsidR="00B0522D" w:rsidRDefault="00000000">
            <w:r>
              <w:rPr>
                <w:sz w:val="18"/>
              </w:rPr>
              <w:t>Higher absolute weight and head circumference at 6 wk with HMF, but more feed intolerance</w:t>
            </w:r>
          </w:p>
        </w:tc>
      </w:tr>
      <w:tr w:rsidR="00B0522D" w14:paraId="019571D2" w14:textId="77777777">
        <w:tc>
          <w:tcPr>
            <w:tcW w:w="2000" w:type="dxa"/>
          </w:tcPr>
          <w:p w14:paraId="247B7EF8" w14:textId="77777777" w:rsidR="00B0522D" w:rsidRDefault="00000000">
            <w:r>
              <w:rPr>
                <w:sz w:val="18"/>
              </w:rPr>
              <w:t>Kong et al., 2025 (Early Hum Dev)</w:t>
            </w:r>
          </w:p>
        </w:tc>
        <w:tc>
          <w:tcPr>
            <w:tcW w:w="3560" w:type="dxa"/>
          </w:tcPr>
          <w:p w14:paraId="30C2B9F9" w14:textId="77777777" w:rsidR="00B0522D" w:rsidRDefault="00000000">
            <w:r>
              <w:rPr>
                <w:sz w:val="18"/>
              </w:rPr>
              <w:t>Quality-improvement cohort during an HMF shortage; high-calorie preterm formula</w:t>
            </w:r>
          </w:p>
        </w:tc>
        <w:tc>
          <w:tcPr>
            <w:tcW w:w="3800" w:type="dxa"/>
          </w:tcPr>
          <w:p w14:paraId="3965630B" w14:textId="77777777" w:rsidR="00B0522D" w:rsidRDefault="00000000">
            <w:r>
              <w:rPr>
                <w:sz w:val="18"/>
              </w:rPr>
              <w:t>Adequate growth maintained with preterm formula</w:t>
            </w:r>
          </w:p>
        </w:tc>
      </w:tr>
      <w:tr w:rsidR="00B0522D" w14:paraId="2989DBE7" w14:textId="77777777">
        <w:tc>
          <w:tcPr>
            <w:tcW w:w="2000" w:type="dxa"/>
          </w:tcPr>
          <w:p w14:paraId="5D3C2A14" w14:textId="77777777" w:rsidR="00B0522D" w:rsidRDefault="00000000">
            <w:r>
              <w:rPr>
                <w:sz w:val="18"/>
              </w:rPr>
              <w:t>Aryadevi et al., 2026 (J Neonatal Perinatal Med)</w:t>
            </w:r>
          </w:p>
        </w:tc>
        <w:tc>
          <w:tcPr>
            <w:tcW w:w="3560" w:type="dxa"/>
          </w:tcPr>
          <w:p w14:paraId="68272239" w14:textId="77777777" w:rsidR="00B0522D" w:rsidRDefault="00000000">
            <w:r>
              <w:rPr>
                <w:sz w:val="18"/>
              </w:rPr>
              <w:t>Systematic review and meta-analysis; 6 RCTs, 434 infants; formula-based vs HMF fortification</w:t>
            </w:r>
          </w:p>
        </w:tc>
        <w:tc>
          <w:tcPr>
            <w:tcW w:w="3800" w:type="dxa"/>
          </w:tcPr>
          <w:p w14:paraId="4058CBA9" w14:textId="77777777" w:rsidR="00B0522D" w:rsidRDefault="00000000">
            <w:r>
              <w:rPr>
                <w:sz w:val="18"/>
              </w:rPr>
              <w:t>No difference in weight, length, or head-circumference growth; certainty very low</w:t>
            </w:r>
          </w:p>
        </w:tc>
      </w:tr>
      <w:tr w:rsidR="00B0522D" w14:paraId="2882E93E" w14:textId="77777777">
        <w:tc>
          <w:tcPr>
            <w:tcW w:w="2000" w:type="dxa"/>
          </w:tcPr>
          <w:p w14:paraId="28C5E7AA" w14:textId="77777777" w:rsidR="00B0522D" w:rsidRDefault="00000000">
            <w:r>
              <w:rPr>
                <w:sz w:val="18"/>
              </w:rPr>
              <w:t>Brown et al., 2020 (Cochrane)</w:t>
            </w:r>
          </w:p>
        </w:tc>
        <w:tc>
          <w:tcPr>
            <w:tcW w:w="3560" w:type="dxa"/>
          </w:tcPr>
          <w:p w14:paraId="4B5527D1" w14:textId="77777777" w:rsidR="00B0522D" w:rsidRDefault="00000000">
            <w:r>
              <w:rPr>
                <w:sz w:val="18"/>
              </w:rPr>
              <w:t>Systematic review; multinutrient fortification of human milk</w:t>
            </w:r>
          </w:p>
        </w:tc>
        <w:tc>
          <w:tcPr>
            <w:tcW w:w="3800" w:type="dxa"/>
          </w:tcPr>
          <w:p w14:paraId="1CE56C92" w14:textId="77777777" w:rsidR="00B0522D" w:rsidRDefault="00000000">
            <w:r>
              <w:rPr>
                <w:sz w:val="18"/>
              </w:rPr>
              <w:t>Improved in-hospital weight, length, and head-circumference growth; no clear long-term effect</w:t>
            </w:r>
          </w:p>
        </w:tc>
      </w:tr>
      <w:tr w:rsidR="00B0522D" w14:paraId="12DB463C" w14:textId="77777777">
        <w:tc>
          <w:tcPr>
            <w:tcW w:w="2000" w:type="dxa"/>
          </w:tcPr>
          <w:p w14:paraId="413ABEF3" w14:textId="77777777" w:rsidR="00B0522D" w:rsidRDefault="00000000">
            <w:r>
              <w:rPr>
                <w:sz w:val="18"/>
              </w:rPr>
              <w:t>Embleton et al., 2023 (ESPGHAN)</w:t>
            </w:r>
          </w:p>
        </w:tc>
        <w:tc>
          <w:tcPr>
            <w:tcW w:w="3560" w:type="dxa"/>
          </w:tcPr>
          <w:p w14:paraId="05BC3870" w14:textId="77777777" w:rsidR="00B0522D" w:rsidRDefault="00000000">
            <w:r>
              <w:rPr>
                <w:sz w:val="18"/>
              </w:rPr>
              <w:t>Position paper on enteral nutrition in preterm infants</w:t>
            </w:r>
          </w:p>
        </w:tc>
        <w:tc>
          <w:tcPr>
            <w:tcW w:w="3800" w:type="dxa"/>
          </w:tcPr>
          <w:p w14:paraId="20CDD118" w14:textId="77777777" w:rsidR="00B0522D" w:rsidRDefault="00000000">
            <w:r>
              <w:rPr>
                <w:sz w:val="18"/>
              </w:rPr>
              <w:t>Defines contemporary nutrient intake targets underpinning fortification</w:t>
            </w:r>
          </w:p>
        </w:tc>
      </w:tr>
    </w:tbl>
    <w:p w14:paraId="01222E56" w14:textId="77777777" w:rsidR="00771FA5" w:rsidRDefault="00771FA5">
      <w:pPr>
        <w:spacing w:after="100"/>
      </w:pPr>
    </w:p>
    <w:p w14:paraId="1758581C" w14:textId="77777777" w:rsidR="00771FA5" w:rsidRDefault="00000000">
      <w:pPr>
        <w:spacing w:after="120" w:line="360" w:lineRule="auto"/>
        <w:jc w:val="both"/>
      </w:pPr>
      <w:r>
        <w:t>Commercial fortifiers are not standardized products; their composition can differ between manufacturers (notably vitamin D and selected micronutrients). Evidence generated with one formulation should therefore be generalized with caution, motivating the present trial using a different commercially available fortifier (Lactodex).</w:t>
      </w:r>
    </w:p>
    <w:p w14:paraId="3338ECDC" w14:textId="77777777" w:rsidR="00771FA5" w:rsidRDefault="00000000">
      <w:pPr>
        <w:pStyle w:val="Heading1"/>
        <w:spacing w:before="240" w:after="120" w:line="360" w:lineRule="auto"/>
      </w:pPr>
      <w:r>
        <w:rPr>
          <w:b/>
          <w:bCs/>
          <w:sz w:val="28"/>
          <w:szCs w:val="28"/>
        </w:rPr>
        <w:t>3. Aims and Objectives</w:t>
      </w:r>
    </w:p>
    <w:p w14:paraId="29E38C3A" w14:textId="77777777" w:rsidR="00771FA5" w:rsidRDefault="00000000">
      <w:pPr>
        <w:spacing w:after="120" w:line="360" w:lineRule="auto"/>
        <w:jc w:val="both"/>
      </w:pPr>
      <w:r>
        <w:rPr>
          <w:i/>
          <w:iCs/>
        </w:rPr>
        <w:t xml:space="preserve">Primary objective. </w:t>
      </w:r>
      <w:r>
        <w:t>To determine whether fortification of mother’s own milk with preterm formula powder, with appropriate mineral and vitamin supplementation, is non-inferior to commercial bovine human milk fortifier for postnatal weight growth velocity (g/kg/day).</w:t>
      </w:r>
    </w:p>
    <w:p w14:paraId="1987562A" w14:textId="77777777" w:rsidR="00771FA5" w:rsidRDefault="00000000">
      <w:pPr>
        <w:spacing w:after="120" w:line="360" w:lineRule="auto"/>
        <w:jc w:val="both"/>
      </w:pPr>
      <w:r>
        <w:rPr>
          <w:i/>
          <w:iCs/>
        </w:rPr>
        <w:t xml:space="preserve">Secondary objectives. </w:t>
      </w:r>
      <w:r>
        <w:t>To compare linear and head-circumference growth, discharge anthropometry, duration of fortification, length of hospital stay, feeding tolerance, major neonatal morbidities, and the direct hospital cost of the two strategies.</w:t>
      </w:r>
    </w:p>
    <w:p w14:paraId="78015738" w14:textId="77777777" w:rsidR="00771FA5" w:rsidRDefault="00000000">
      <w:pPr>
        <w:pStyle w:val="Heading1"/>
        <w:spacing w:before="240" w:after="120" w:line="360" w:lineRule="auto"/>
      </w:pPr>
      <w:r>
        <w:rPr>
          <w:b/>
          <w:bCs/>
          <w:sz w:val="28"/>
          <w:szCs w:val="28"/>
        </w:rPr>
        <w:t>4. Hypothesis</w:t>
      </w:r>
    </w:p>
    <w:p w14:paraId="667BEC40" w14:textId="77777777" w:rsidR="00771FA5" w:rsidRDefault="00000000">
      <w:pPr>
        <w:spacing w:after="120" w:line="360" w:lineRule="auto"/>
        <w:jc w:val="both"/>
      </w:pPr>
      <w:r>
        <w:t>Fortification of mother’s own milk with preterm formula powder (plus mineral and vitamin supplementation) is non-inferior to commercial bovine human milk fortifier for weight growth velocity in preterm VLBW infants, within a pre-specified margin of 2 g/kg/day.</w:t>
      </w:r>
    </w:p>
    <w:p w14:paraId="3B2340DF" w14:textId="77777777" w:rsidR="00771FA5" w:rsidRDefault="00000000">
      <w:r>
        <w:br w:type="page"/>
      </w:r>
    </w:p>
    <w:p w14:paraId="527C7AE2" w14:textId="77777777" w:rsidR="00771FA5" w:rsidRDefault="00000000">
      <w:pPr>
        <w:pStyle w:val="Heading1"/>
        <w:spacing w:before="240" w:after="120" w:line="360" w:lineRule="auto"/>
      </w:pPr>
      <w:r>
        <w:rPr>
          <w:b/>
          <w:bCs/>
          <w:sz w:val="28"/>
          <w:szCs w:val="28"/>
        </w:rPr>
        <w:lastRenderedPageBreak/>
        <w:t>5. Methodology</w:t>
      </w:r>
    </w:p>
    <w:p w14:paraId="0C832212" w14:textId="77777777" w:rsidR="00771FA5" w:rsidRDefault="00000000">
      <w:pPr>
        <w:pStyle w:val="Heading2"/>
        <w:spacing w:before="240" w:after="120" w:line="360" w:lineRule="auto"/>
      </w:pPr>
      <w:r>
        <w:rPr>
          <w:b/>
          <w:bCs/>
        </w:rPr>
        <w:t>5.1 Study design, setting, and duration</w:t>
      </w:r>
    </w:p>
    <w:p w14:paraId="1DBECA95" w14:textId="77777777" w:rsidR="00771FA5" w:rsidRDefault="00000000">
      <w:pPr>
        <w:spacing w:after="120" w:line="360" w:lineRule="auto"/>
        <w:jc w:val="both"/>
      </w:pPr>
      <w:r>
        <w:t>Single-centre, open-label, parallel-group, stratified, randomized non-inferiority trial in a level III NICU (Department of Neonatology, Government Medical College, Chhatrapati Sambhajinagar), July 2025 to July 2026. Because the fortifiers differ visibly after preparation, caregiver/clinician blinding is not feasible; anthropometric outcomes are assessed by personnel unaware of allocation.</w:t>
      </w:r>
    </w:p>
    <w:p w14:paraId="3B6E78E4" w14:textId="77777777" w:rsidR="00771FA5" w:rsidRDefault="00000000">
      <w:pPr>
        <w:pStyle w:val="Heading2"/>
        <w:spacing w:before="240" w:after="120" w:line="360" w:lineRule="auto"/>
      </w:pPr>
      <w:r>
        <w:rPr>
          <w:b/>
          <w:bCs/>
        </w:rPr>
        <w:t>5.2 Participants</w:t>
      </w:r>
    </w:p>
    <w:p w14:paraId="1820969A" w14:textId="77777777" w:rsidR="00771FA5" w:rsidRDefault="00000000">
      <w:pPr>
        <w:spacing w:after="120" w:line="360" w:lineRule="auto"/>
        <w:jc w:val="both"/>
      </w:pPr>
      <w:r>
        <w:rPr>
          <w:b/>
          <w:bCs/>
        </w:rPr>
        <w:t xml:space="preserve">Inclusion: </w:t>
      </w:r>
      <w:r>
        <w:t>gestational age &lt;34 weeks; birth weight &lt;1 500 g; receiving ≥100 mL/kg/day enteral feeds; mother’s own milk &gt;80% of enteral intake (donor human milk &lt;20%); written parental consent.</w:t>
      </w:r>
    </w:p>
    <w:p w14:paraId="353E4845" w14:textId="77777777" w:rsidR="00771FA5" w:rsidRDefault="00000000">
      <w:pPr>
        <w:spacing w:after="120" w:line="360" w:lineRule="auto"/>
        <w:jc w:val="both"/>
      </w:pPr>
      <w:r>
        <w:rPr>
          <w:b/>
          <w:bCs/>
        </w:rPr>
        <w:t xml:space="preserve">Exclusion: </w:t>
      </w:r>
      <w:r>
        <w:t>major congenital malformation; need for surgery; absence of mother’s own milk; invasive mechanical ventilation at enrolment; any condition precluding enteral fortification.</w:t>
      </w:r>
    </w:p>
    <w:p w14:paraId="31674CFE" w14:textId="77777777" w:rsidR="00771FA5" w:rsidRDefault="00000000">
      <w:pPr>
        <w:pStyle w:val="Heading2"/>
        <w:spacing w:before="240" w:after="120" w:line="360" w:lineRule="auto"/>
      </w:pPr>
      <w:r>
        <w:rPr>
          <w:b/>
          <w:bCs/>
        </w:rPr>
        <w:t>5.3 Sample size</w:t>
      </w:r>
    </w:p>
    <w:p w14:paraId="63018284" w14:textId="77777777" w:rsidR="00771FA5" w:rsidRDefault="00000000">
      <w:pPr>
        <w:spacing w:after="120" w:line="360" w:lineRule="auto"/>
        <w:jc w:val="both"/>
      </w:pPr>
      <w:r>
        <w:t>The sample size for a continuous non-inferiority outcome was calculated as:</w:t>
      </w:r>
    </w:p>
    <w:p w14:paraId="4BF8DE6A" w14:textId="77777777" w:rsidR="00771FA5" w:rsidRDefault="00000000">
      <w:pPr>
        <w:spacing w:after="100" w:line="300" w:lineRule="auto"/>
        <w:jc w:val="center"/>
      </w:pPr>
      <w:r>
        <w:rPr>
          <w:i/>
          <w:iCs/>
        </w:rPr>
        <w:t>n = 2 (Z</w:t>
      </w:r>
      <w:r>
        <w:rPr>
          <w:i/>
          <w:iCs/>
          <w:sz w:val="18"/>
          <w:szCs w:val="18"/>
          <w:vertAlign w:val="subscript"/>
        </w:rPr>
        <w:t>1−α</w:t>
      </w:r>
      <w:r>
        <w:rPr>
          <w:i/>
          <w:iCs/>
        </w:rPr>
        <w:t xml:space="preserve"> + Z</w:t>
      </w:r>
      <w:r>
        <w:rPr>
          <w:i/>
          <w:iCs/>
          <w:sz w:val="18"/>
          <w:szCs w:val="18"/>
          <w:vertAlign w:val="subscript"/>
        </w:rPr>
        <w:t>1−β</w:t>
      </w:r>
      <w:r>
        <w:rPr>
          <w:i/>
          <w:iCs/>
        </w:rPr>
        <w:t>)</w:t>
      </w:r>
      <w:r>
        <w:rPr>
          <w:i/>
          <w:iCs/>
          <w:sz w:val="18"/>
          <w:szCs w:val="18"/>
          <w:vertAlign w:val="superscript"/>
        </w:rPr>
        <w:t>2</w:t>
      </w:r>
      <w:r>
        <w:rPr>
          <w:i/>
          <w:iCs/>
        </w:rPr>
        <w:t xml:space="preserve"> σ</w:t>
      </w:r>
      <w:r>
        <w:rPr>
          <w:i/>
          <w:iCs/>
          <w:sz w:val="18"/>
          <w:szCs w:val="18"/>
          <w:vertAlign w:val="superscript"/>
        </w:rPr>
        <w:t>2</w:t>
      </w:r>
      <w:r>
        <w:rPr>
          <w:i/>
          <w:iCs/>
        </w:rPr>
        <w:t xml:space="preserve"> / Δ</w:t>
      </w:r>
      <w:r>
        <w:rPr>
          <w:i/>
          <w:iCs/>
          <w:sz w:val="18"/>
          <w:szCs w:val="18"/>
          <w:vertAlign w:val="superscript"/>
        </w:rPr>
        <w:t>2</w:t>
      </w:r>
    </w:p>
    <w:p w14:paraId="257967E5" w14:textId="77777777" w:rsidR="00771FA5" w:rsidRDefault="00000000">
      <w:pPr>
        <w:spacing w:after="120" w:line="360" w:lineRule="auto"/>
        <w:jc w:val="both"/>
      </w:pPr>
      <w:r>
        <w:t>where σ = 4 g/kg/day (assumed standard deviation), Δ = 2 g/kg/day (non-inferiority margin), Z1−α = 1.645 (one-sided α = 0.05), and Z1−β = 1.282 (90% power). This yields 69 infants per group; allowing for 15% attrition, the target is 82 per group (164 total).</w:t>
      </w:r>
    </w:p>
    <w:p w14:paraId="3D93786F" w14:textId="77777777" w:rsidR="00771FA5" w:rsidRDefault="00000000">
      <w:pPr>
        <w:pStyle w:val="Heading2"/>
        <w:spacing w:before="240" w:after="120" w:line="360" w:lineRule="auto"/>
      </w:pPr>
      <w:r>
        <w:rPr>
          <w:b/>
          <w:bCs/>
        </w:rPr>
        <w:t>5.4 Randomization, allocation concealment, and blinding</w:t>
      </w:r>
    </w:p>
    <w:p w14:paraId="5D8015A9" w14:textId="77777777" w:rsidR="00771FA5" w:rsidRDefault="00000000">
      <w:pPr>
        <w:spacing w:after="120" w:line="360" w:lineRule="auto"/>
        <w:jc w:val="both"/>
      </w:pPr>
      <w:r>
        <w:t>A computer-generated sequence prepared by an independent investigator uses stratified block randomization (variable blocks of 4, 6, 8) within two a-priori gestational-age strata (&lt;30 and 30–&lt;34 weeks). Eligible infants are enrolled by the principal investigator; allocation is concealed using sequentially numbered, opaque, sealed envelopes opened only at enrolment. Anthropometric outcome assessors are blinded to allocation.</w:t>
      </w:r>
    </w:p>
    <w:p w14:paraId="15CBDE59" w14:textId="77777777" w:rsidR="00EB6C1A" w:rsidRDefault="00EB6C1A">
      <w:pPr>
        <w:pStyle w:val="Heading2"/>
        <w:spacing w:before="240" w:after="120" w:line="360" w:lineRule="auto"/>
        <w:rPr>
          <w:b/>
          <w:bCs/>
        </w:rPr>
      </w:pPr>
    </w:p>
    <w:p w14:paraId="491DA9AA" w14:textId="77777777" w:rsidR="00771FA5" w:rsidRDefault="00000000">
      <w:pPr>
        <w:pStyle w:val="Heading2"/>
        <w:spacing w:before="240" w:after="120" w:line="360" w:lineRule="auto"/>
      </w:pPr>
      <w:r>
        <w:rPr>
          <w:b/>
          <w:bCs/>
        </w:rPr>
        <w:lastRenderedPageBreak/>
        <w:t>5.5 Interventions</w:t>
      </w:r>
    </w:p>
    <w:p w14:paraId="1202B47B" w14:textId="77777777" w:rsidR="00771FA5" w:rsidRDefault="00000000">
      <w:pPr>
        <w:spacing w:after="120" w:line="360" w:lineRule="auto"/>
        <w:jc w:val="both"/>
      </w:pPr>
      <w:r>
        <w:rPr>
          <w:b/>
          <w:bCs/>
        </w:rPr>
        <w:t xml:space="preserve">HMF group: </w:t>
      </w:r>
      <w:r>
        <w:t>mother’s own milk fortified with Lactodex Human Milk Fortifier (Raptakos, Brett &amp; Co. Ltd.) per manufacturer’s instructions.</w:t>
      </w:r>
    </w:p>
    <w:p w14:paraId="0CD27E5F" w14:textId="77777777" w:rsidR="00771FA5" w:rsidRDefault="00000000">
      <w:pPr>
        <w:spacing w:after="120" w:line="360" w:lineRule="auto"/>
        <w:jc w:val="both"/>
      </w:pPr>
      <w:r>
        <w:rPr>
          <w:b/>
          <w:bCs/>
        </w:rPr>
        <w:t xml:space="preserve">PTF group: </w:t>
      </w:r>
      <w:r>
        <w:t>mother’s own milk fortified with Dexolac Special Care Preterm Formula (Danone India) at 1 g/25 mL, plus oral calcium and phosphorus (Calcimax-P 3 mL/kg/day), vitamin D (Vitomin D3 800 IU/day), and multivitamin (A to Z 1 mL/day).</w:t>
      </w:r>
    </w:p>
    <w:p w14:paraId="0246B205" w14:textId="77777777" w:rsidR="00771FA5" w:rsidRDefault="00000000">
      <w:pPr>
        <w:spacing w:after="120" w:line="360" w:lineRule="auto"/>
        <w:jc w:val="both"/>
      </w:pPr>
      <w:r>
        <w:rPr>
          <w:b/>
          <w:bCs/>
        </w:rPr>
        <w:t xml:space="preserve">Both groups: </w:t>
      </w:r>
      <w:r>
        <w:t>oral elemental iron 2–3 mg/kg/day per NNF India. Fortification continues until discharge or 40 weeks’ PMA, whichever is earlier.</w:t>
      </w:r>
    </w:p>
    <w:p w14:paraId="6D28236F" w14:textId="77777777" w:rsidR="00771FA5" w:rsidRDefault="00000000">
      <w:pPr>
        <w:pStyle w:val="Heading2"/>
        <w:spacing w:before="240" w:after="120" w:line="360" w:lineRule="auto"/>
      </w:pPr>
      <w:r>
        <w:rPr>
          <w:b/>
          <w:bCs/>
        </w:rPr>
        <w:t>5.6 Outcome measures</w:t>
      </w:r>
    </w:p>
    <w:p w14:paraId="37E44D51" w14:textId="77777777" w:rsidR="00771FA5" w:rsidRDefault="00000000">
      <w:pPr>
        <w:spacing w:after="120" w:line="360" w:lineRule="auto"/>
        <w:jc w:val="both"/>
      </w:pPr>
      <w:r>
        <w:t xml:space="preserve">The </w:t>
      </w:r>
      <w:r>
        <w:rPr>
          <w:b/>
          <w:bCs/>
        </w:rPr>
        <w:t>primary outcome</w:t>
      </w:r>
      <w:r>
        <w:t xml:space="preserve"> is weight growth velocity (g/kg/day) by the Patel exponential model, GV = [1000 × ln(W2/W1)] / (D2 − D1). Secondary outcomes are listed below.</w:t>
      </w:r>
    </w:p>
    <w:tbl>
      <w:tblPr>
        <w:tblW w:w="9360" w:type="dxa"/>
        <w:tblBorders>
          <w:top w:val="single" w:sz="4" w:space="0" w:color="000000"/>
          <w:bottom w:val="single" w:sz="4" w:space="0" w:color="000000"/>
          <w:insideH w:val="single" w:sz="2" w:space="0" w:color="BBBBBB"/>
          <w:insideV w:val="single" w:sz="2" w:space="0" w:color="E0E0E0"/>
        </w:tblBorders>
        <w:tblCellMar>
          <w:left w:w="10" w:type="dxa"/>
          <w:right w:w="10" w:type="dxa"/>
        </w:tblCellMar>
        <w:tblLook w:val="0000" w:firstRow="0" w:lastRow="0" w:firstColumn="0" w:lastColumn="0" w:noHBand="0" w:noVBand="0"/>
      </w:tblPr>
      <w:tblGrid>
        <w:gridCol w:w="3000"/>
        <w:gridCol w:w="3860"/>
        <w:gridCol w:w="2500"/>
      </w:tblGrid>
      <w:tr w:rsidR="00771FA5" w14:paraId="76F573CF" w14:textId="77777777">
        <w:trPr>
          <w:tblHeader/>
        </w:trPr>
        <w:tc>
          <w:tcPr>
            <w:tcW w:w="3000" w:type="dxa"/>
            <w:shd w:val="clear" w:color="auto" w:fill="D9E2F3"/>
            <w:tcMar>
              <w:top w:w="40" w:type="dxa"/>
              <w:left w:w="70" w:type="dxa"/>
              <w:bottom w:w="40" w:type="dxa"/>
              <w:right w:w="70" w:type="dxa"/>
            </w:tcMar>
          </w:tcPr>
          <w:p w14:paraId="4C76EDB9" w14:textId="77777777" w:rsidR="00771FA5" w:rsidRDefault="00000000">
            <w:r>
              <w:rPr>
                <w:b/>
                <w:bCs/>
                <w:sz w:val="21"/>
                <w:szCs w:val="21"/>
              </w:rPr>
              <w:t>Outcome</w:t>
            </w:r>
          </w:p>
        </w:tc>
        <w:tc>
          <w:tcPr>
            <w:tcW w:w="3860" w:type="dxa"/>
            <w:shd w:val="clear" w:color="auto" w:fill="D9E2F3"/>
            <w:tcMar>
              <w:top w:w="40" w:type="dxa"/>
              <w:left w:w="70" w:type="dxa"/>
              <w:bottom w:w="40" w:type="dxa"/>
              <w:right w:w="70" w:type="dxa"/>
            </w:tcMar>
          </w:tcPr>
          <w:p w14:paraId="098AAF1F" w14:textId="77777777" w:rsidR="00771FA5" w:rsidRDefault="00000000">
            <w:r>
              <w:rPr>
                <w:b/>
                <w:bCs/>
                <w:sz w:val="21"/>
                <w:szCs w:val="21"/>
              </w:rPr>
              <w:t>Definition</w:t>
            </w:r>
          </w:p>
        </w:tc>
        <w:tc>
          <w:tcPr>
            <w:tcW w:w="2500" w:type="dxa"/>
            <w:shd w:val="clear" w:color="auto" w:fill="D9E2F3"/>
            <w:tcMar>
              <w:top w:w="40" w:type="dxa"/>
              <w:left w:w="70" w:type="dxa"/>
              <w:bottom w:w="40" w:type="dxa"/>
              <w:right w:w="70" w:type="dxa"/>
            </w:tcMar>
          </w:tcPr>
          <w:p w14:paraId="286CF4BB" w14:textId="77777777" w:rsidR="00771FA5" w:rsidRDefault="00000000">
            <w:r>
              <w:rPr>
                <w:b/>
                <w:bCs/>
                <w:sz w:val="21"/>
                <w:szCs w:val="21"/>
              </w:rPr>
              <w:t>Time assessed</w:t>
            </w:r>
          </w:p>
        </w:tc>
      </w:tr>
      <w:tr w:rsidR="00771FA5" w14:paraId="5CFCC5A4" w14:textId="77777777">
        <w:tc>
          <w:tcPr>
            <w:tcW w:w="3000" w:type="dxa"/>
            <w:tcMar>
              <w:top w:w="40" w:type="dxa"/>
              <w:left w:w="70" w:type="dxa"/>
              <w:bottom w:w="40" w:type="dxa"/>
              <w:right w:w="70" w:type="dxa"/>
            </w:tcMar>
          </w:tcPr>
          <w:p w14:paraId="4168D026" w14:textId="77777777" w:rsidR="00771FA5" w:rsidRDefault="00000000">
            <w:r>
              <w:rPr>
                <w:sz w:val="21"/>
                <w:szCs w:val="21"/>
              </w:rPr>
              <w:t>Weight growth velocity (primary)</w:t>
            </w:r>
          </w:p>
        </w:tc>
        <w:tc>
          <w:tcPr>
            <w:tcW w:w="3860" w:type="dxa"/>
            <w:tcMar>
              <w:top w:w="40" w:type="dxa"/>
              <w:left w:w="70" w:type="dxa"/>
              <w:bottom w:w="40" w:type="dxa"/>
              <w:right w:w="70" w:type="dxa"/>
            </w:tcMar>
          </w:tcPr>
          <w:p w14:paraId="6D0616B2" w14:textId="77777777" w:rsidR="00771FA5" w:rsidRDefault="00000000">
            <w:r>
              <w:rPr>
                <w:sz w:val="21"/>
                <w:szCs w:val="21"/>
              </w:rPr>
              <w:t>Patel exponential formula</w:t>
            </w:r>
          </w:p>
        </w:tc>
        <w:tc>
          <w:tcPr>
            <w:tcW w:w="2500" w:type="dxa"/>
            <w:tcMar>
              <w:top w:w="40" w:type="dxa"/>
              <w:left w:w="70" w:type="dxa"/>
              <w:bottom w:w="40" w:type="dxa"/>
              <w:right w:w="70" w:type="dxa"/>
            </w:tcMar>
          </w:tcPr>
          <w:p w14:paraId="1DA1A327" w14:textId="77777777" w:rsidR="00771FA5" w:rsidRDefault="00000000">
            <w:r>
              <w:rPr>
                <w:sz w:val="21"/>
                <w:szCs w:val="21"/>
              </w:rPr>
              <w:t>Enrolment to discharge / 40 wk PMA</w:t>
            </w:r>
          </w:p>
        </w:tc>
      </w:tr>
      <w:tr w:rsidR="00771FA5" w14:paraId="6541412A" w14:textId="77777777">
        <w:tc>
          <w:tcPr>
            <w:tcW w:w="3000" w:type="dxa"/>
            <w:tcMar>
              <w:top w:w="40" w:type="dxa"/>
              <w:left w:w="70" w:type="dxa"/>
              <w:bottom w:w="40" w:type="dxa"/>
              <w:right w:w="70" w:type="dxa"/>
            </w:tcMar>
          </w:tcPr>
          <w:p w14:paraId="68370070" w14:textId="77777777" w:rsidR="00771FA5" w:rsidRDefault="00000000">
            <w:r>
              <w:rPr>
                <w:sz w:val="21"/>
                <w:szCs w:val="21"/>
              </w:rPr>
              <w:t>Length &amp; head-circumference velocity</w:t>
            </w:r>
          </w:p>
        </w:tc>
        <w:tc>
          <w:tcPr>
            <w:tcW w:w="3860" w:type="dxa"/>
            <w:tcMar>
              <w:top w:w="40" w:type="dxa"/>
              <w:left w:w="70" w:type="dxa"/>
              <w:bottom w:w="40" w:type="dxa"/>
              <w:right w:w="70" w:type="dxa"/>
            </w:tcMar>
          </w:tcPr>
          <w:p w14:paraId="2118BD0E" w14:textId="77777777" w:rsidR="00771FA5" w:rsidRDefault="00000000">
            <w:r>
              <w:rPr>
                <w:sz w:val="21"/>
                <w:szCs w:val="21"/>
              </w:rPr>
              <w:t>Change per week (standardized technique)</w:t>
            </w:r>
          </w:p>
        </w:tc>
        <w:tc>
          <w:tcPr>
            <w:tcW w:w="2500" w:type="dxa"/>
            <w:tcMar>
              <w:top w:w="40" w:type="dxa"/>
              <w:left w:w="70" w:type="dxa"/>
              <w:bottom w:w="40" w:type="dxa"/>
              <w:right w:w="70" w:type="dxa"/>
            </w:tcMar>
          </w:tcPr>
          <w:p w14:paraId="4D1978EF" w14:textId="77777777" w:rsidR="00771FA5" w:rsidRDefault="00000000">
            <w:r>
              <w:rPr>
                <w:sz w:val="21"/>
                <w:szCs w:val="21"/>
              </w:rPr>
              <w:t>Enrolment to discharge</w:t>
            </w:r>
          </w:p>
        </w:tc>
      </w:tr>
      <w:tr w:rsidR="00771FA5" w14:paraId="221D4E1C" w14:textId="77777777">
        <w:tc>
          <w:tcPr>
            <w:tcW w:w="3000" w:type="dxa"/>
            <w:tcMar>
              <w:top w:w="40" w:type="dxa"/>
              <w:left w:w="70" w:type="dxa"/>
              <w:bottom w:w="40" w:type="dxa"/>
              <w:right w:w="70" w:type="dxa"/>
            </w:tcMar>
          </w:tcPr>
          <w:p w14:paraId="136DC805" w14:textId="77777777" w:rsidR="00771FA5" w:rsidRDefault="00000000">
            <w:r>
              <w:rPr>
                <w:sz w:val="21"/>
                <w:szCs w:val="21"/>
              </w:rPr>
              <w:t>Discharge anthropometry</w:t>
            </w:r>
          </w:p>
        </w:tc>
        <w:tc>
          <w:tcPr>
            <w:tcW w:w="3860" w:type="dxa"/>
            <w:tcMar>
              <w:top w:w="40" w:type="dxa"/>
              <w:left w:w="70" w:type="dxa"/>
              <w:bottom w:w="40" w:type="dxa"/>
              <w:right w:w="70" w:type="dxa"/>
            </w:tcMar>
          </w:tcPr>
          <w:p w14:paraId="759F2089" w14:textId="77777777" w:rsidR="00771FA5" w:rsidRDefault="00000000">
            <w:r>
              <w:rPr>
                <w:sz w:val="21"/>
                <w:szCs w:val="21"/>
              </w:rPr>
              <w:t>Weight, length, head circumference</w:t>
            </w:r>
          </w:p>
        </w:tc>
        <w:tc>
          <w:tcPr>
            <w:tcW w:w="2500" w:type="dxa"/>
            <w:tcMar>
              <w:top w:w="40" w:type="dxa"/>
              <w:left w:w="70" w:type="dxa"/>
              <w:bottom w:w="40" w:type="dxa"/>
              <w:right w:w="70" w:type="dxa"/>
            </w:tcMar>
          </w:tcPr>
          <w:p w14:paraId="74B014DD" w14:textId="77777777" w:rsidR="00771FA5" w:rsidRDefault="00000000">
            <w:r>
              <w:rPr>
                <w:sz w:val="21"/>
                <w:szCs w:val="21"/>
              </w:rPr>
              <w:t>At discharge / 40 wk PMA</w:t>
            </w:r>
          </w:p>
        </w:tc>
      </w:tr>
      <w:tr w:rsidR="00771FA5" w14:paraId="0B797D97" w14:textId="77777777">
        <w:tc>
          <w:tcPr>
            <w:tcW w:w="3000" w:type="dxa"/>
            <w:tcMar>
              <w:top w:w="40" w:type="dxa"/>
              <w:left w:w="70" w:type="dxa"/>
              <w:bottom w:w="40" w:type="dxa"/>
              <w:right w:w="70" w:type="dxa"/>
            </w:tcMar>
          </w:tcPr>
          <w:p w14:paraId="594A4A55" w14:textId="77777777" w:rsidR="00771FA5" w:rsidRDefault="00000000">
            <w:r>
              <w:rPr>
                <w:sz w:val="21"/>
                <w:szCs w:val="21"/>
              </w:rPr>
              <w:t>Feed intolerance</w:t>
            </w:r>
          </w:p>
        </w:tc>
        <w:tc>
          <w:tcPr>
            <w:tcW w:w="3860" w:type="dxa"/>
            <w:tcMar>
              <w:top w:w="40" w:type="dxa"/>
              <w:left w:w="70" w:type="dxa"/>
              <w:bottom w:w="40" w:type="dxa"/>
              <w:right w:w="70" w:type="dxa"/>
            </w:tcMar>
          </w:tcPr>
          <w:p w14:paraId="121287A2" w14:textId="77777777" w:rsidR="00771FA5" w:rsidRDefault="00000000">
            <w:r>
              <w:rPr>
                <w:sz w:val="21"/>
                <w:szCs w:val="21"/>
              </w:rPr>
              <w:t>Held feeds with GI signs (residuals, distension, emesis)</w:t>
            </w:r>
          </w:p>
        </w:tc>
        <w:tc>
          <w:tcPr>
            <w:tcW w:w="2500" w:type="dxa"/>
            <w:tcMar>
              <w:top w:w="40" w:type="dxa"/>
              <w:left w:w="70" w:type="dxa"/>
              <w:bottom w:w="40" w:type="dxa"/>
              <w:right w:w="70" w:type="dxa"/>
            </w:tcMar>
          </w:tcPr>
          <w:p w14:paraId="6BEA02C7" w14:textId="77777777" w:rsidR="00771FA5" w:rsidRDefault="00000000">
            <w:r>
              <w:rPr>
                <w:sz w:val="21"/>
                <w:szCs w:val="21"/>
              </w:rPr>
              <w:t>During admission</w:t>
            </w:r>
          </w:p>
        </w:tc>
      </w:tr>
      <w:tr w:rsidR="00771FA5" w14:paraId="766FB0F3" w14:textId="77777777">
        <w:tc>
          <w:tcPr>
            <w:tcW w:w="3000" w:type="dxa"/>
            <w:tcMar>
              <w:top w:w="40" w:type="dxa"/>
              <w:left w:w="70" w:type="dxa"/>
              <w:bottom w:w="40" w:type="dxa"/>
              <w:right w:w="70" w:type="dxa"/>
            </w:tcMar>
          </w:tcPr>
          <w:p w14:paraId="4ED3AF8B" w14:textId="77777777" w:rsidR="00771FA5" w:rsidRDefault="00000000">
            <w:r>
              <w:rPr>
                <w:sz w:val="21"/>
                <w:szCs w:val="21"/>
              </w:rPr>
              <w:t>Necrotizing enterocolitis</w:t>
            </w:r>
          </w:p>
        </w:tc>
        <w:tc>
          <w:tcPr>
            <w:tcW w:w="3860" w:type="dxa"/>
            <w:tcMar>
              <w:top w:w="40" w:type="dxa"/>
              <w:left w:w="70" w:type="dxa"/>
              <w:bottom w:w="40" w:type="dxa"/>
              <w:right w:w="70" w:type="dxa"/>
            </w:tcMar>
          </w:tcPr>
          <w:p w14:paraId="2A024F59" w14:textId="77777777" w:rsidR="00771FA5" w:rsidRDefault="00000000">
            <w:r>
              <w:rPr>
                <w:sz w:val="21"/>
                <w:szCs w:val="21"/>
              </w:rPr>
              <w:t>Modified Bell stage ≥II</w:t>
            </w:r>
          </w:p>
        </w:tc>
        <w:tc>
          <w:tcPr>
            <w:tcW w:w="2500" w:type="dxa"/>
            <w:tcMar>
              <w:top w:w="40" w:type="dxa"/>
              <w:left w:w="70" w:type="dxa"/>
              <w:bottom w:w="40" w:type="dxa"/>
              <w:right w:w="70" w:type="dxa"/>
            </w:tcMar>
          </w:tcPr>
          <w:p w14:paraId="35AAD9BB" w14:textId="77777777" w:rsidR="00771FA5" w:rsidRDefault="00000000">
            <w:r>
              <w:rPr>
                <w:sz w:val="21"/>
                <w:szCs w:val="21"/>
              </w:rPr>
              <w:t>During admission</w:t>
            </w:r>
          </w:p>
        </w:tc>
      </w:tr>
      <w:tr w:rsidR="00771FA5" w14:paraId="6B3E106A" w14:textId="77777777">
        <w:tc>
          <w:tcPr>
            <w:tcW w:w="3000" w:type="dxa"/>
            <w:tcMar>
              <w:top w:w="40" w:type="dxa"/>
              <w:left w:w="70" w:type="dxa"/>
              <w:bottom w:w="40" w:type="dxa"/>
              <w:right w:w="70" w:type="dxa"/>
            </w:tcMar>
          </w:tcPr>
          <w:p w14:paraId="35E44833" w14:textId="77777777" w:rsidR="00771FA5" w:rsidRDefault="00000000">
            <w:r>
              <w:rPr>
                <w:sz w:val="21"/>
                <w:szCs w:val="21"/>
              </w:rPr>
              <w:t>Late-onset sepsis</w:t>
            </w:r>
          </w:p>
        </w:tc>
        <w:tc>
          <w:tcPr>
            <w:tcW w:w="3860" w:type="dxa"/>
            <w:tcMar>
              <w:top w:w="40" w:type="dxa"/>
              <w:left w:w="70" w:type="dxa"/>
              <w:bottom w:w="40" w:type="dxa"/>
              <w:right w:w="70" w:type="dxa"/>
            </w:tcMar>
          </w:tcPr>
          <w:p w14:paraId="11B291FD" w14:textId="77777777" w:rsidR="00771FA5" w:rsidRDefault="00000000">
            <w:r>
              <w:rPr>
                <w:sz w:val="21"/>
                <w:szCs w:val="21"/>
              </w:rPr>
              <w:t>Sepsis ≥72 h after birth; culture-proven or culture-negative clinical sepsis treated with a therapeutic antibiotic course</w:t>
            </w:r>
          </w:p>
        </w:tc>
        <w:tc>
          <w:tcPr>
            <w:tcW w:w="2500" w:type="dxa"/>
            <w:tcMar>
              <w:top w:w="40" w:type="dxa"/>
              <w:left w:w="70" w:type="dxa"/>
              <w:bottom w:w="40" w:type="dxa"/>
              <w:right w:w="70" w:type="dxa"/>
            </w:tcMar>
          </w:tcPr>
          <w:p w14:paraId="0A975900" w14:textId="77777777" w:rsidR="00771FA5" w:rsidRDefault="00000000">
            <w:r>
              <w:rPr>
                <w:sz w:val="21"/>
                <w:szCs w:val="21"/>
              </w:rPr>
              <w:t>During admission</w:t>
            </w:r>
          </w:p>
        </w:tc>
      </w:tr>
      <w:tr w:rsidR="00771FA5" w14:paraId="1E3B7D6A" w14:textId="77777777">
        <w:tc>
          <w:tcPr>
            <w:tcW w:w="3000" w:type="dxa"/>
            <w:tcMar>
              <w:top w:w="40" w:type="dxa"/>
              <w:left w:w="70" w:type="dxa"/>
              <w:bottom w:w="40" w:type="dxa"/>
              <w:right w:w="70" w:type="dxa"/>
            </w:tcMar>
          </w:tcPr>
          <w:p w14:paraId="4708B449" w14:textId="77777777" w:rsidR="00771FA5" w:rsidRDefault="00000000">
            <w:r>
              <w:rPr>
                <w:sz w:val="21"/>
                <w:szCs w:val="21"/>
              </w:rPr>
              <w:t>Anaemia requiring transfusion</w:t>
            </w:r>
          </w:p>
        </w:tc>
        <w:tc>
          <w:tcPr>
            <w:tcW w:w="3860" w:type="dxa"/>
            <w:tcMar>
              <w:top w:w="40" w:type="dxa"/>
              <w:left w:w="70" w:type="dxa"/>
              <w:bottom w:w="40" w:type="dxa"/>
              <w:right w:w="70" w:type="dxa"/>
            </w:tcMar>
          </w:tcPr>
          <w:p w14:paraId="33F91F13" w14:textId="77777777" w:rsidR="00771FA5" w:rsidRDefault="00000000">
            <w:r>
              <w:rPr>
                <w:sz w:val="21"/>
                <w:szCs w:val="21"/>
              </w:rPr>
              <w:t>Transfusion per NNF thresholds</w:t>
            </w:r>
          </w:p>
        </w:tc>
        <w:tc>
          <w:tcPr>
            <w:tcW w:w="2500" w:type="dxa"/>
            <w:tcMar>
              <w:top w:w="40" w:type="dxa"/>
              <w:left w:w="70" w:type="dxa"/>
              <w:bottom w:w="40" w:type="dxa"/>
              <w:right w:w="70" w:type="dxa"/>
            </w:tcMar>
          </w:tcPr>
          <w:p w14:paraId="7729EB79" w14:textId="77777777" w:rsidR="00771FA5" w:rsidRDefault="00000000">
            <w:r>
              <w:rPr>
                <w:sz w:val="21"/>
                <w:szCs w:val="21"/>
              </w:rPr>
              <w:t>During admission</w:t>
            </w:r>
          </w:p>
        </w:tc>
      </w:tr>
      <w:tr w:rsidR="00771FA5" w14:paraId="09627FED" w14:textId="77777777">
        <w:tc>
          <w:tcPr>
            <w:tcW w:w="3000" w:type="dxa"/>
            <w:tcMar>
              <w:top w:w="40" w:type="dxa"/>
              <w:left w:w="70" w:type="dxa"/>
              <w:bottom w:w="40" w:type="dxa"/>
              <w:right w:w="70" w:type="dxa"/>
            </w:tcMar>
          </w:tcPr>
          <w:p w14:paraId="6B471A1B" w14:textId="77777777" w:rsidR="00771FA5" w:rsidRDefault="00000000">
            <w:r>
              <w:rPr>
                <w:sz w:val="21"/>
                <w:szCs w:val="21"/>
              </w:rPr>
              <w:t>Patent ductus arteriosus</w:t>
            </w:r>
          </w:p>
        </w:tc>
        <w:tc>
          <w:tcPr>
            <w:tcW w:w="3860" w:type="dxa"/>
            <w:tcMar>
              <w:top w:w="40" w:type="dxa"/>
              <w:left w:w="70" w:type="dxa"/>
              <w:bottom w:w="40" w:type="dxa"/>
              <w:right w:w="70" w:type="dxa"/>
            </w:tcMar>
          </w:tcPr>
          <w:p w14:paraId="21C16C68" w14:textId="77777777" w:rsidR="00771FA5" w:rsidRDefault="00000000">
            <w:r>
              <w:rPr>
                <w:sz w:val="21"/>
                <w:szCs w:val="21"/>
              </w:rPr>
              <w:t>Haemodynamically significant (echocardiography)</w:t>
            </w:r>
          </w:p>
        </w:tc>
        <w:tc>
          <w:tcPr>
            <w:tcW w:w="2500" w:type="dxa"/>
            <w:tcMar>
              <w:top w:w="40" w:type="dxa"/>
              <w:left w:w="70" w:type="dxa"/>
              <w:bottom w:w="40" w:type="dxa"/>
              <w:right w:w="70" w:type="dxa"/>
            </w:tcMar>
          </w:tcPr>
          <w:p w14:paraId="14688928" w14:textId="77777777" w:rsidR="00771FA5" w:rsidRDefault="00000000">
            <w:r>
              <w:rPr>
                <w:sz w:val="21"/>
                <w:szCs w:val="21"/>
              </w:rPr>
              <w:t>During admission</w:t>
            </w:r>
          </w:p>
        </w:tc>
      </w:tr>
      <w:tr w:rsidR="00771FA5" w14:paraId="0D9D6252" w14:textId="77777777">
        <w:tc>
          <w:tcPr>
            <w:tcW w:w="3000" w:type="dxa"/>
            <w:tcMar>
              <w:top w:w="40" w:type="dxa"/>
              <w:left w:w="70" w:type="dxa"/>
              <w:bottom w:w="40" w:type="dxa"/>
              <w:right w:w="70" w:type="dxa"/>
            </w:tcMar>
          </w:tcPr>
          <w:p w14:paraId="22D26A03" w14:textId="77777777" w:rsidR="00771FA5" w:rsidRDefault="00000000">
            <w:r>
              <w:rPr>
                <w:sz w:val="21"/>
                <w:szCs w:val="21"/>
              </w:rPr>
              <w:t>Bronchopulmonary dysplasia</w:t>
            </w:r>
          </w:p>
        </w:tc>
        <w:tc>
          <w:tcPr>
            <w:tcW w:w="3860" w:type="dxa"/>
            <w:tcMar>
              <w:top w:w="40" w:type="dxa"/>
              <w:left w:w="70" w:type="dxa"/>
              <w:bottom w:w="40" w:type="dxa"/>
              <w:right w:w="70" w:type="dxa"/>
            </w:tcMar>
          </w:tcPr>
          <w:p w14:paraId="7D39B06E" w14:textId="77777777" w:rsidR="00771FA5" w:rsidRDefault="00000000">
            <w:r>
              <w:rPr>
                <w:sz w:val="21"/>
                <w:szCs w:val="21"/>
              </w:rPr>
              <w:t>Jensen criteria</w:t>
            </w:r>
          </w:p>
        </w:tc>
        <w:tc>
          <w:tcPr>
            <w:tcW w:w="2500" w:type="dxa"/>
            <w:tcMar>
              <w:top w:w="40" w:type="dxa"/>
              <w:left w:w="70" w:type="dxa"/>
              <w:bottom w:w="40" w:type="dxa"/>
              <w:right w:w="70" w:type="dxa"/>
            </w:tcMar>
          </w:tcPr>
          <w:p w14:paraId="293266C5" w14:textId="77777777" w:rsidR="00771FA5" w:rsidRDefault="00000000">
            <w:r>
              <w:rPr>
                <w:sz w:val="21"/>
                <w:szCs w:val="21"/>
              </w:rPr>
              <w:t>36 weeks PMA</w:t>
            </w:r>
          </w:p>
        </w:tc>
      </w:tr>
      <w:tr w:rsidR="00771FA5" w14:paraId="60E2F5FE" w14:textId="77777777">
        <w:tc>
          <w:tcPr>
            <w:tcW w:w="3000" w:type="dxa"/>
            <w:tcMar>
              <w:top w:w="40" w:type="dxa"/>
              <w:left w:w="70" w:type="dxa"/>
              <w:bottom w:w="40" w:type="dxa"/>
              <w:right w:w="70" w:type="dxa"/>
            </w:tcMar>
          </w:tcPr>
          <w:p w14:paraId="69D19397" w14:textId="77777777" w:rsidR="00771FA5" w:rsidRDefault="00000000">
            <w:r>
              <w:rPr>
                <w:sz w:val="21"/>
                <w:szCs w:val="21"/>
              </w:rPr>
              <w:t>Retinopathy of prematurity</w:t>
            </w:r>
          </w:p>
        </w:tc>
        <w:tc>
          <w:tcPr>
            <w:tcW w:w="3860" w:type="dxa"/>
            <w:tcMar>
              <w:top w:w="40" w:type="dxa"/>
              <w:left w:w="70" w:type="dxa"/>
              <w:bottom w:w="40" w:type="dxa"/>
              <w:right w:w="70" w:type="dxa"/>
            </w:tcMar>
          </w:tcPr>
          <w:p w14:paraId="281803B7" w14:textId="77777777" w:rsidR="00771FA5" w:rsidRDefault="00000000">
            <w:r>
              <w:rPr>
                <w:sz w:val="21"/>
                <w:szCs w:val="21"/>
              </w:rPr>
              <w:t>ROP requiring treatment (ETROP/Type 1)</w:t>
            </w:r>
          </w:p>
        </w:tc>
        <w:tc>
          <w:tcPr>
            <w:tcW w:w="2500" w:type="dxa"/>
            <w:tcMar>
              <w:top w:w="40" w:type="dxa"/>
              <w:left w:w="70" w:type="dxa"/>
              <w:bottom w:w="40" w:type="dxa"/>
              <w:right w:w="70" w:type="dxa"/>
            </w:tcMar>
          </w:tcPr>
          <w:p w14:paraId="3C53409F" w14:textId="77777777" w:rsidR="00771FA5" w:rsidRDefault="00000000">
            <w:r>
              <w:rPr>
                <w:sz w:val="21"/>
                <w:szCs w:val="21"/>
              </w:rPr>
              <w:t>Before discharge</w:t>
            </w:r>
          </w:p>
        </w:tc>
      </w:tr>
      <w:tr w:rsidR="00771FA5" w14:paraId="5DD258B2" w14:textId="77777777">
        <w:tc>
          <w:tcPr>
            <w:tcW w:w="3000" w:type="dxa"/>
            <w:tcMar>
              <w:top w:w="40" w:type="dxa"/>
              <w:left w:w="70" w:type="dxa"/>
              <w:bottom w:w="40" w:type="dxa"/>
              <w:right w:w="70" w:type="dxa"/>
            </w:tcMar>
          </w:tcPr>
          <w:p w14:paraId="7E03F021" w14:textId="77777777" w:rsidR="00771FA5" w:rsidRDefault="00000000">
            <w:r>
              <w:rPr>
                <w:sz w:val="21"/>
                <w:szCs w:val="21"/>
              </w:rPr>
              <w:t>Intraventricular haemorrhage</w:t>
            </w:r>
          </w:p>
        </w:tc>
        <w:tc>
          <w:tcPr>
            <w:tcW w:w="3860" w:type="dxa"/>
            <w:tcMar>
              <w:top w:w="40" w:type="dxa"/>
              <w:left w:w="70" w:type="dxa"/>
              <w:bottom w:w="40" w:type="dxa"/>
              <w:right w:w="70" w:type="dxa"/>
            </w:tcMar>
          </w:tcPr>
          <w:p w14:paraId="7820208A" w14:textId="77777777" w:rsidR="00771FA5" w:rsidRDefault="00000000">
            <w:r>
              <w:rPr>
                <w:sz w:val="21"/>
                <w:szCs w:val="21"/>
              </w:rPr>
              <w:t>Grade III or periventricular haemorrhagic infarction (Volpe classification), cranial ultrasound</w:t>
            </w:r>
          </w:p>
        </w:tc>
        <w:tc>
          <w:tcPr>
            <w:tcW w:w="2500" w:type="dxa"/>
            <w:tcMar>
              <w:top w:w="40" w:type="dxa"/>
              <w:left w:w="70" w:type="dxa"/>
              <w:bottom w:w="40" w:type="dxa"/>
              <w:right w:w="70" w:type="dxa"/>
            </w:tcMar>
          </w:tcPr>
          <w:p w14:paraId="038D4666" w14:textId="77777777" w:rsidR="00771FA5" w:rsidRDefault="00000000">
            <w:r>
              <w:rPr>
                <w:sz w:val="21"/>
                <w:szCs w:val="21"/>
              </w:rPr>
              <w:t>Until discharge</w:t>
            </w:r>
          </w:p>
        </w:tc>
      </w:tr>
      <w:tr w:rsidR="00771FA5" w14:paraId="0D71C5E9" w14:textId="77777777">
        <w:tc>
          <w:tcPr>
            <w:tcW w:w="3000" w:type="dxa"/>
            <w:tcMar>
              <w:top w:w="40" w:type="dxa"/>
              <w:left w:w="70" w:type="dxa"/>
              <w:bottom w:w="40" w:type="dxa"/>
              <w:right w:w="70" w:type="dxa"/>
            </w:tcMar>
          </w:tcPr>
          <w:p w14:paraId="69A193DB" w14:textId="77777777" w:rsidR="00771FA5" w:rsidRDefault="00000000">
            <w:r>
              <w:rPr>
                <w:sz w:val="21"/>
                <w:szCs w:val="21"/>
              </w:rPr>
              <w:t>Mortality</w:t>
            </w:r>
          </w:p>
        </w:tc>
        <w:tc>
          <w:tcPr>
            <w:tcW w:w="3860" w:type="dxa"/>
            <w:tcMar>
              <w:top w:w="40" w:type="dxa"/>
              <w:left w:w="70" w:type="dxa"/>
              <w:bottom w:w="40" w:type="dxa"/>
              <w:right w:w="70" w:type="dxa"/>
            </w:tcMar>
          </w:tcPr>
          <w:p w14:paraId="76B227AD" w14:textId="77777777" w:rsidR="00771FA5" w:rsidRDefault="00000000">
            <w:r>
              <w:rPr>
                <w:sz w:val="21"/>
                <w:szCs w:val="21"/>
              </w:rPr>
              <w:t>In-hospital death</w:t>
            </w:r>
          </w:p>
        </w:tc>
        <w:tc>
          <w:tcPr>
            <w:tcW w:w="2500" w:type="dxa"/>
            <w:tcMar>
              <w:top w:w="40" w:type="dxa"/>
              <w:left w:w="70" w:type="dxa"/>
              <w:bottom w:w="40" w:type="dxa"/>
              <w:right w:w="70" w:type="dxa"/>
            </w:tcMar>
          </w:tcPr>
          <w:p w14:paraId="2BA90000" w14:textId="77777777" w:rsidR="00771FA5" w:rsidRDefault="00000000">
            <w:r>
              <w:rPr>
                <w:sz w:val="21"/>
                <w:szCs w:val="21"/>
              </w:rPr>
              <w:t>During admission</w:t>
            </w:r>
          </w:p>
        </w:tc>
      </w:tr>
    </w:tbl>
    <w:p w14:paraId="60C2412D" w14:textId="77777777" w:rsidR="00771FA5" w:rsidRDefault="00000000">
      <w:pPr>
        <w:pStyle w:val="Heading2"/>
        <w:spacing w:before="240" w:after="120" w:line="360" w:lineRule="auto"/>
      </w:pPr>
      <w:r>
        <w:rPr>
          <w:b/>
          <w:bCs/>
        </w:rPr>
        <w:t>5.7 Study timeline and assessment schedule</w:t>
      </w:r>
    </w:p>
    <w:tbl>
      <w:tblPr>
        <w:tblW w:w="9360" w:type="dxa"/>
        <w:tblBorders>
          <w:top w:val="single" w:sz="4" w:space="0" w:color="000000"/>
          <w:bottom w:val="single" w:sz="4" w:space="0" w:color="000000"/>
          <w:insideH w:val="single" w:sz="2" w:space="0" w:color="BBBBBB"/>
          <w:insideV w:val="single" w:sz="2" w:space="0" w:color="E0E0E0"/>
        </w:tblBorders>
        <w:tblCellMar>
          <w:left w:w="10" w:type="dxa"/>
          <w:right w:w="10" w:type="dxa"/>
        </w:tblCellMar>
        <w:tblLook w:val="0000" w:firstRow="0" w:lastRow="0" w:firstColumn="0" w:lastColumn="0" w:noHBand="0" w:noVBand="0"/>
      </w:tblPr>
      <w:tblGrid>
        <w:gridCol w:w="4600"/>
        <w:gridCol w:w="4760"/>
      </w:tblGrid>
      <w:tr w:rsidR="00771FA5" w14:paraId="542CE012" w14:textId="77777777">
        <w:trPr>
          <w:tblHeader/>
        </w:trPr>
        <w:tc>
          <w:tcPr>
            <w:tcW w:w="4600" w:type="dxa"/>
            <w:shd w:val="clear" w:color="auto" w:fill="D9E2F3"/>
            <w:tcMar>
              <w:top w:w="40" w:type="dxa"/>
              <w:left w:w="70" w:type="dxa"/>
              <w:bottom w:w="40" w:type="dxa"/>
              <w:right w:w="70" w:type="dxa"/>
            </w:tcMar>
          </w:tcPr>
          <w:p w14:paraId="174B4AC5" w14:textId="77777777" w:rsidR="00771FA5" w:rsidRDefault="00000000">
            <w:r>
              <w:rPr>
                <w:b/>
                <w:bCs/>
                <w:sz w:val="21"/>
                <w:szCs w:val="21"/>
              </w:rPr>
              <w:lastRenderedPageBreak/>
              <w:t>Stage / assessment</w:t>
            </w:r>
          </w:p>
        </w:tc>
        <w:tc>
          <w:tcPr>
            <w:tcW w:w="4760" w:type="dxa"/>
            <w:shd w:val="clear" w:color="auto" w:fill="D9E2F3"/>
            <w:tcMar>
              <w:top w:w="40" w:type="dxa"/>
              <w:left w:w="70" w:type="dxa"/>
              <w:bottom w:w="40" w:type="dxa"/>
              <w:right w:w="70" w:type="dxa"/>
            </w:tcMar>
          </w:tcPr>
          <w:p w14:paraId="3E801EDD" w14:textId="77777777" w:rsidR="00771FA5" w:rsidRDefault="00000000">
            <w:r>
              <w:rPr>
                <w:b/>
                <w:bCs/>
                <w:sz w:val="21"/>
                <w:szCs w:val="21"/>
              </w:rPr>
              <w:t>Timing</w:t>
            </w:r>
          </w:p>
        </w:tc>
      </w:tr>
      <w:tr w:rsidR="00771FA5" w14:paraId="72B6B77F" w14:textId="77777777">
        <w:tc>
          <w:tcPr>
            <w:tcW w:w="4600" w:type="dxa"/>
            <w:tcMar>
              <w:top w:w="40" w:type="dxa"/>
              <w:left w:w="70" w:type="dxa"/>
              <w:bottom w:w="40" w:type="dxa"/>
              <w:right w:w="70" w:type="dxa"/>
            </w:tcMar>
          </w:tcPr>
          <w:p w14:paraId="589CFFEF" w14:textId="77777777" w:rsidR="00771FA5" w:rsidRDefault="00000000">
            <w:r>
              <w:rPr>
                <w:sz w:val="21"/>
                <w:szCs w:val="21"/>
              </w:rPr>
              <w:t>Screening</w:t>
            </w:r>
          </w:p>
        </w:tc>
        <w:tc>
          <w:tcPr>
            <w:tcW w:w="4760" w:type="dxa"/>
            <w:tcMar>
              <w:top w:w="40" w:type="dxa"/>
              <w:left w:w="70" w:type="dxa"/>
              <w:bottom w:w="40" w:type="dxa"/>
              <w:right w:w="70" w:type="dxa"/>
            </w:tcMar>
          </w:tcPr>
          <w:p w14:paraId="1A135529" w14:textId="77777777" w:rsidR="00771FA5" w:rsidRDefault="00000000">
            <w:r>
              <w:rPr>
                <w:sz w:val="21"/>
                <w:szCs w:val="21"/>
              </w:rPr>
              <w:t>When enteral feeds reach ≥100 mL/kg/day</w:t>
            </w:r>
          </w:p>
        </w:tc>
      </w:tr>
      <w:tr w:rsidR="00771FA5" w14:paraId="3F6D1D42" w14:textId="77777777">
        <w:tc>
          <w:tcPr>
            <w:tcW w:w="4600" w:type="dxa"/>
            <w:tcMar>
              <w:top w:w="40" w:type="dxa"/>
              <w:left w:w="70" w:type="dxa"/>
              <w:bottom w:w="40" w:type="dxa"/>
              <w:right w:w="70" w:type="dxa"/>
            </w:tcMar>
          </w:tcPr>
          <w:p w14:paraId="66AA666A" w14:textId="77777777" w:rsidR="00771FA5" w:rsidRDefault="00000000">
            <w:r>
              <w:rPr>
                <w:sz w:val="21"/>
                <w:szCs w:val="21"/>
              </w:rPr>
              <w:t>Consent and randomization</w:t>
            </w:r>
          </w:p>
        </w:tc>
        <w:tc>
          <w:tcPr>
            <w:tcW w:w="4760" w:type="dxa"/>
            <w:tcMar>
              <w:top w:w="40" w:type="dxa"/>
              <w:left w:w="70" w:type="dxa"/>
              <w:bottom w:w="40" w:type="dxa"/>
              <w:right w:w="70" w:type="dxa"/>
            </w:tcMar>
          </w:tcPr>
          <w:p w14:paraId="3227E446" w14:textId="77777777" w:rsidR="00771FA5" w:rsidRDefault="00000000">
            <w:r>
              <w:rPr>
                <w:sz w:val="21"/>
                <w:szCs w:val="21"/>
              </w:rPr>
              <w:t>Same day as eligibility</w:t>
            </w:r>
          </w:p>
        </w:tc>
      </w:tr>
      <w:tr w:rsidR="00771FA5" w14:paraId="5A3D6607" w14:textId="77777777">
        <w:tc>
          <w:tcPr>
            <w:tcW w:w="4600" w:type="dxa"/>
            <w:tcMar>
              <w:top w:w="40" w:type="dxa"/>
              <w:left w:w="70" w:type="dxa"/>
              <w:bottom w:w="40" w:type="dxa"/>
              <w:right w:w="70" w:type="dxa"/>
            </w:tcMar>
          </w:tcPr>
          <w:p w14:paraId="58083FEC" w14:textId="77777777" w:rsidR="00771FA5" w:rsidRDefault="00000000">
            <w:r>
              <w:rPr>
                <w:sz w:val="21"/>
                <w:szCs w:val="21"/>
              </w:rPr>
              <w:t>Start of fortification</w:t>
            </w:r>
          </w:p>
        </w:tc>
        <w:tc>
          <w:tcPr>
            <w:tcW w:w="4760" w:type="dxa"/>
            <w:tcMar>
              <w:top w:w="40" w:type="dxa"/>
              <w:left w:w="70" w:type="dxa"/>
              <w:bottom w:w="40" w:type="dxa"/>
              <w:right w:w="70" w:type="dxa"/>
            </w:tcMar>
          </w:tcPr>
          <w:p w14:paraId="4F891D7F" w14:textId="77777777" w:rsidR="00771FA5" w:rsidRDefault="00000000">
            <w:r>
              <w:rPr>
                <w:sz w:val="21"/>
                <w:szCs w:val="21"/>
              </w:rPr>
              <w:t>Immediately after randomization</w:t>
            </w:r>
          </w:p>
        </w:tc>
      </w:tr>
      <w:tr w:rsidR="00771FA5" w14:paraId="1F54F51B" w14:textId="77777777">
        <w:tc>
          <w:tcPr>
            <w:tcW w:w="4600" w:type="dxa"/>
            <w:tcMar>
              <w:top w:w="40" w:type="dxa"/>
              <w:left w:w="70" w:type="dxa"/>
              <w:bottom w:w="40" w:type="dxa"/>
              <w:right w:w="70" w:type="dxa"/>
            </w:tcMar>
          </w:tcPr>
          <w:p w14:paraId="00801308" w14:textId="77777777" w:rsidR="00771FA5" w:rsidRDefault="00000000">
            <w:r>
              <w:rPr>
                <w:sz w:val="21"/>
                <w:szCs w:val="21"/>
              </w:rPr>
              <w:t>Weight</w:t>
            </w:r>
          </w:p>
        </w:tc>
        <w:tc>
          <w:tcPr>
            <w:tcW w:w="4760" w:type="dxa"/>
            <w:tcMar>
              <w:top w:w="40" w:type="dxa"/>
              <w:left w:w="70" w:type="dxa"/>
              <w:bottom w:w="40" w:type="dxa"/>
              <w:right w:w="70" w:type="dxa"/>
            </w:tcMar>
          </w:tcPr>
          <w:p w14:paraId="4C66D061" w14:textId="77777777" w:rsidR="00771FA5" w:rsidRDefault="00000000">
            <w:r>
              <w:rPr>
                <w:sz w:val="21"/>
                <w:szCs w:val="21"/>
              </w:rPr>
              <w:t>Daily (pre-feed)</w:t>
            </w:r>
          </w:p>
        </w:tc>
      </w:tr>
      <w:tr w:rsidR="00771FA5" w14:paraId="5B5B59BC" w14:textId="77777777">
        <w:tc>
          <w:tcPr>
            <w:tcW w:w="4600" w:type="dxa"/>
            <w:tcMar>
              <w:top w:w="40" w:type="dxa"/>
              <w:left w:w="70" w:type="dxa"/>
              <w:bottom w:w="40" w:type="dxa"/>
              <w:right w:w="70" w:type="dxa"/>
            </w:tcMar>
          </w:tcPr>
          <w:p w14:paraId="194BBFEA" w14:textId="77777777" w:rsidR="00771FA5" w:rsidRDefault="00000000">
            <w:r>
              <w:rPr>
                <w:sz w:val="21"/>
                <w:szCs w:val="21"/>
              </w:rPr>
              <w:t>Length and head circumference</w:t>
            </w:r>
          </w:p>
        </w:tc>
        <w:tc>
          <w:tcPr>
            <w:tcW w:w="4760" w:type="dxa"/>
            <w:tcMar>
              <w:top w:w="40" w:type="dxa"/>
              <w:left w:w="70" w:type="dxa"/>
              <w:bottom w:w="40" w:type="dxa"/>
              <w:right w:w="70" w:type="dxa"/>
            </w:tcMar>
          </w:tcPr>
          <w:p w14:paraId="0A0E22D7" w14:textId="77777777" w:rsidR="00771FA5" w:rsidRDefault="00000000">
            <w:r>
              <w:rPr>
                <w:sz w:val="21"/>
                <w:szCs w:val="21"/>
              </w:rPr>
              <w:t>Weekly and at discharge</w:t>
            </w:r>
          </w:p>
        </w:tc>
      </w:tr>
      <w:tr w:rsidR="00771FA5" w14:paraId="3A51460E" w14:textId="77777777">
        <w:tc>
          <w:tcPr>
            <w:tcW w:w="4600" w:type="dxa"/>
            <w:tcMar>
              <w:top w:w="40" w:type="dxa"/>
              <w:left w:w="70" w:type="dxa"/>
              <w:bottom w:w="40" w:type="dxa"/>
              <w:right w:w="70" w:type="dxa"/>
            </w:tcMar>
          </w:tcPr>
          <w:p w14:paraId="5A8E7403" w14:textId="77777777" w:rsidR="00771FA5" w:rsidRDefault="00000000">
            <w:r>
              <w:rPr>
                <w:sz w:val="21"/>
                <w:szCs w:val="21"/>
              </w:rPr>
              <w:t>Serum sodium, potassium</w:t>
            </w:r>
          </w:p>
        </w:tc>
        <w:tc>
          <w:tcPr>
            <w:tcW w:w="4760" w:type="dxa"/>
            <w:tcMar>
              <w:top w:w="40" w:type="dxa"/>
              <w:left w:w="70" w:type="dxa"/>
              <w:bottom w:w="40" w:type="dxa"/>
              <w:right w:w="70" w:type="dxa"/>
            </w:tcMar>
          </w:tcPr>
          <w:p w14:paraId="26057474" w14:textId="77777777" w:rsidR="00771FA5" w:rsidRDefault="00000000">
            <w:r>
              <w:rPr>
                <w:sz w:val="21"/>
                <w:szCs w:val="21"/>
              </w:rPr>
              <w:t>Weekly or as indicated</w:t>
            </w:r>
          </w:p>
        </w:tc>
      </w:tr>
      <w:tr w:rsidR="00771FA5" w14:paraId="777CCD58" w14:textId="77777777">
        <w:tc>
          <w:tcPr>
            <w:tcW w:w="4600" w:type="dxa"/>
            <w:tcMar>
              <w:top w:w="40" w:type="dxa"/>
              <w:left w:w="70" w:type="dxa"/>
              <w:bottom w:w="40" w:type="dxa"/>
              <w:right w:w="70" w:type="dxa"/>
            </w:tcMar>
          </w:tcPr>
          <w:p w14:paraId="5AF95E9A" w14:textId="77777777" w:rsidR="00771FA5" w:rsidRDefault="00000000">
            <w:r>
              <w:rPr>
                <w:sz w:val="21"/>
                <w:szCs w:val="21"/>
              </w:rPr>
              <w:t>Ionised calcium, alkaline phosphatase</w:t>
            </w:r>
          </w:p>
        </w:tc>
        <w:tc>
          <w:tcPr>
            <w:tcW w:w="4760" w:type="dxa"/>
            <w:tcMar>
              <w:top w:w="40" w:type="dxa"/>
              <w:left w:w="70" w:type="dxa"/>
              <w:bottom w:w="40" w:type="dxa"/>
              <w:right w:w="70" w:type="dxa"/>
            </w:tcMar>
          </w:tcPr>
          <w:p w14:paraId="2BAF19C8" w14:textId="77777777" w:rsidR="00771FA5" w:rsidRDefault="00000000">
            <w:r>
              <w:rPr>
                <w:sz w:val="21"/>
                <w:szCs w:val="21"/>
              </w:rPr>
              <w:t>Once at 4–6 weeks (repeat if abnormal)</w:t>
            </w:r>
          </w:p>
        </w:tc>
      </w:tr>
      <w:tr w:rsidR="00771FA5" w14:paraId="031F8231" w14:textId="77777777">
        <w:tc>
          <w:tcPr>
            <w:tcW w:w="4600" w:type="dxa"/>
            <w:tcMar>
              <w:top w:w="40" w:type="dxa"/>
              <w:left w:w="70" w:type="dxa"/>
              <w:bottom w:w="40" w:type="dxa"/>
              <w:right w:w="70" w:type="dxa"/>
            </w:tcMar>
          </w:tcPr>
          <w:p w14:paraId="09DE91F2" w14:textId="77777777" w:rsidR="00771FA5" w:rsidRDefault="00000000">
            <w:r>
              <w:rPr>
                <w:sz w:val="21"/>
                <w:szCs w:val="21"/>
              </w:rPr>
              <w:t>End of study</w:t>
            </w:r>
          </w:p>
        </w:tc>
        <w:tc>
          <w:tcPr>
            <w:tcW w:w="4760" w:type="dxa"/>
            <w:tcMar>
              <w:top w:w="40" w:type="dxa"/>
              <w:left w:w="70" w:type="dxa"/>
              <w:bottom w:w="40" w:type="dxa"/>
              <w:right w:w="70" w:type="dxa"/>
            </w:tcMar>
          </w:tcPr>
          <w:p w14:paraId="3A91B6D3" w14:textId="77777777" w:rsidR="00771FA5" w:rsidRDefault="00000000">
            <w:r>
              <w:rPr>
                <w:sz w:val="21"/>
                <w:szCs w:val="21"/>
              </w:rPr>
              <w:t>Discharge or 40 weeks’ PMA, whichever is earlier</w:t>
            </w:r>
          </w:p>
        </w:tc>
      </w:tr>
    </w:tbl>
    <w:p w14:paraId="6AD2347E" w14:textId="77777777" w:rsidR="00771FA5" w:rsidRDefault="00000000">
      <w:pPr>
        <w:pStyle w:val="Heading2"/>
        <w:spacing w:before="240" w:after="120" w:line="360" w:lineRule="auto"/>
      </w:pPr>
      <w:r>
        <w:rPr>
          <w:b/>
          <w:bCs/>
        </w:rPr>
        <w:t>5.8 Data collection and management</w:t>
      </w:r>
    </w:p>
    <w:p w14:paraId="1D34A370" w14:textId="77777777" w:rsidR="00771FA5" w:rsidRDefault="00000000">
      <w:pPr>
        <w:spacing w:after="120" w:line="360" w:lineRule="auto"/>
        <w:jc w:val="both"/>
      </w:pPr>
      <w:r>
        <w:t>Data are recorded prospectively on structured paper case record forms (CRFs) and entered into a password-protected electronic database using double data entry to minimize transcription error. Participants are identified only by study IDs; the linkage log is stored separately with restricted access. Database access is limited to the investigators, an audit trail records changes, and de-identified study records are retained for at least five years after study completion in accordance with institutional policy.</w:t>
      </w:r>
    </w:p>
    <w:p w14:paraId="076ECC0B" w14:textId="77777777" w:rsidR="00771FA5" w:rsidRDefault="00000000">
      <w:pPr>
        <w:pStyle w:val="Heading2"/>
        <w:spacing w:before="240" w:after="120" w:line="360" w:lineRule="auto"/>
      </w:pPr>
      <w:r>
        <w:rPr>
          <w:b/>
          <w:bCs/>
        </w:rPr>
        <w:t>5.9 Statistical analysis</w:t>
      </w:r>
    </w:p>
    <w:p w14:paraId="409678FE" w14:textId="77777777" w:rsidR="00771FA5" w:rsidRDefault="00000000">
      <w:pPr>
        <w:spacing w:after="120" w:line="360" w:lineRule="auto"/>
        <w:jc w:val="both"/>
      </w:pPr>
      <w:r>
        <w:rPr>
          <w:i/>
          <w:iCs/>
        </w:rPr>
        <w:t xml:space="preserve">Primary analysis. </w:t>
      </w:r>
      <w:r>
        <w:t>The primary outcome is analysed first: the difference (PTF − HMF) in growth velocity is estimated with a two-sided 90% confidence interval (corresponding to one-sided α = 0.05), in the intention-to-treat population (all randomized infants). Non-inferiority is concluded if the lower confidence limit exceeds −2 g/kg/day. A per-protocol analysis is performed for robustness.</w:t>
      </w:r>
    </w:p>
    <w:p w14:paraId="67AC8E8C" w14:textId="77777777" w:rsidR="00771FA5" w:rsidRDefault="00000000">
      <w:pPr>
        <w:spacing w:after="120" w:line="360" w:lineRule="auto"/>
        <w:jc w:val="both"/>
      </w:pPr>
      <w:r>
        <w:rPr>
          <w:i/>
          <w:iCs/>
        </w:rPr>
        <w:t xml:space="preserve">Secondary and sensitivity analyses. </w:t>
      </w:r>
      <w:r>
        <w:t>Only after the primary non-inferiority assessment are secondary outcomes examined. Sensitivity analyses adjust for gestational-age stratum, respiratory support before enrolment, and enrolment weight. Consistency across the two randomization strata is assessed with a treatment-by-stratum interaction term (analysis by randomization stratum). Non-normal continuous secondary outcomes use the Mann–Whitney U test (Hodges–Lehmann differences); categorical outcomes use the Fisher exact test with odds ratios and 95% confidence intervals. Analyses use R version 4.6.1. Reporting follows the CONSORT 2025 Statement, with applicable CONSORT-Children and Adolescents (CONSORT-C) 2026 items and recommendations for reporting non-inferiority trials.</w:t>
      </w:r>
    </w:p>
    <w:p w14:paraId="61E58EBD" w14:textId="77777777" w:rsidR="00EB6C1A" w:rsidRDefault="00EB6C1A">
      <w:pPr>
        <w:pStyle w:val="Heading2"/>
        <w:spacing w:before="240" w:after="120" w:line="360" w:lineRule="auto"/>
        <w:rPr>
          <w:b/>
          <w:bCs/>
        </w:rPr>
      </w:pPr>
    </w:p>
    <w:p w14:paraId="3EA1C87E" w14:textId="77777777" w:rsidR="00EB6C1A" w:rsidRDefault="00EB6C1A">
      <w:pPr>
        <w:pStyle w:val="Heading2"/>
        <w:spacing w:before="240" w:after="120" w:line="360" w:lineRule="auto"/>
        <w:rPr>
          <w:b/>
          <w:bCs/>
        </w:rPr>
      </w:pPr>
    </w:p>
    <w:p w14:paraId="5F956FD3" w14:textId="77777777" w:rsidR="00771FA5" w:rsidRDefault="00000000">
      <w:pPr>
        <w:pStyle w:val="Heading2"/>
        <w:spacing w:before="240" w:after="120" w:line="360" w:lineRule="auto"/>
      </w:pPr>
      <w:r>
        <w:rPr>
          <w:b/>
          <w:bCs/>
        </w:rPr>
        <w:t>5.10 Economic evaluation</w:t>
      </w:r>
    </w:p>
    <w:p w14:paraId="02EFDAA2" w14:textId="77777777" w:rsidR="00771FA5" w:rsidRDefault="00000000">
      <w:pPr>
        <w:spacing w:after="120" w:line="360" w:lineRule="auto"/>
        <w:jc w:val="both"/>
      </w:pPr>
      <w:r>
        <w:t>A patient-level intervention acquisition-cost analysis from the hospital perspective compares direct product acquisition costs (fortifier, preterm formula, and supplements) using each infant’s enrolment weight and fortification duration, appropriate because effectiveness is evaluated for non-inferiority.</w:t>
      </w:r>
    </w:p>
    <w:p w14:paraId="46A31852" w14:textId="77777777" w:rsidR="00771FA5" w:rsidRDefault="00771FA5"/>
    <w:p w14:paraId="79E8E6B7" w14:textId="77777777" w:rsidR="00771FA5" w:rsidRDefault="00000000">
      <w:pPr>
        <w:pStyle w:val="Heading1"/>
        <w:spacing w:before="240" w:after="120" w:line="360" w:lineRule="auto"/>
      </w:pPr>
      <w:r>
        <w:rPr>
          <w:b/>
          <w:bCs/>
          <w:sz w:val="28"/>
          <w:szCs w:val="28"/>
        </w:rPr>
        <w:t>6. Trial Flow Diagram</w:t>
      </w:r>
    </w:p>
    <w:p w14:paraId="76E80505" w14:textId="77777777" w:rsidR="00771FA5" w:rsidRDefault="00E35B70">
      <w:pPr>
        <w:spacing w:before="80"/>
        <w:jc w:val="center"/>
      </w:pPr>
      <w:r>
        <w:rPr>
          <w:noProof/>
        </w:rPr>
        <w:drawing>
          <wp:inline distT="0" distB="0" distL="0" distR="0" wp14:anchorId="640BB42E" wp14:editId="2848DC83">
            <wp:extent cx="3530600" cy="445738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536739" cy="4465134"/>
                    </a:xfrm>
                    <a:prstGeom prst="rect">
                      <a:avLst/>
                    </a:prstGeom>
                  </pic:spPr>
                </pic:pic>
              </a:graphicData>
            </a:graphic>
          </wp:inline>
        </w:drawing>
      </w:r>
    </w:p>
    <w:p w14:paraId="5B948822" w14:textId="580915EA" w:rsidR="00771FA5" w:rsidRDefault="00000000" w:rsidP="009605E4">
      <w:pPr>
        <w:spacing w:before="120" w:after="80" w:line="360" w:lineRule="auto"/>
      </w:pPr>
      <w:r>
        <w:rPr>
          <w:b/>
          <w:bCs/>
          <w:sz w:val="22"/>
          <w:szCs w:val="22"/>
        </w:rPr>
        <w:t xml:space="preserve">Figure P1. </w:t>
      </w:r>
      <w:r>
        <w:rPr>
          <w:sz w:val="22"/>
          <w:szCs w:val="22"/>
        </w:rPr>
        <w:t>Flow of participants through screening, consent, stratified randomization, intervention, follow-up, and analysis.</w:t>
      </w:r>
    </w:p>
    <w:p w14:paraId="6C375EC2" w14:textId="77777777" w:rsidR="00771FA5" w:rsidRDefault="00000000">
      <w:pPr>
        <w:pStyle w:val="Heading1"/>
        <w:spacing w:before="240" w:after="120" w:line="360" w:lineRule="auto"/>
      </w:pPr>
      <w:r>
        <w:rPr>
          <w:b/>
          <w:bCs/>
          <w:sz w:val="28"/>
          <w:szCs w:val="28"/>
        </w:rPr>
        <w:lastRenderedPageBreak/>
        <w:t>7. Safety Monitoring</w:t>
      </w:r>
    </w:p>
    <w:p w14:paraId="233B3396" w14:textId="77777777" w:rsidR="00771FA5" w:rsidRDefault="00000000">
      <w:pPr>
        <w:spacing w:after="120" w:line="360" w:lineRule="auto"/>
        <w:jc w:val="both"/>
      </w:pPr>
      <w:r>
        <w:rPr>
          <w:i/>
          <w:iCs/>
        </w:rPr>
        <w:t xml:space="preserve">Clinical monitoring. </w:t>
      </w:r>
      <w:r>
        <w:t>Infants are monitored throughout admission for necrotizing enterocolitis, feed intolerance, late-onset sepsis, and electrolyte disturbances.</w:t>
      </w:r>
    </w:p>
    <w:p w14:paraId="3136C5C1" w14:textId="77777777" w:rsidR="00771FA5" w:rsidRDefault="00000000">
      <w:pPr>
        <w:spacing w:after="120" w:line="360" w:lineRule="auto"/>
        <w:jc w:val="both"/>
      </w:pPr>
      <w:r>
        <w:rPr>
          <w:i/>
          <w:iCs/>
        </w:rPr>
        <w:t xml:space="preserve">Laboratory monitoring. </w:t>
      </w:r>
      <w:r>
        <w:t>Serum sodium and potassium (weekly or as indicated) and ionised calcium and alkaline phosphatase (at 4–6 weeks, repeated if abnormal) to detect metabolic bone disease and electrolyte imbalance.</w:t>
      </w:r>
    </w:p>
    <w:p w14:paraId="1D4D42CD" w14:textId="77777777" w:rsidR="00771FA5" w:rsidRDefault="00000000">
      <w:pPr>
        <w:spacing w:after="120" w:line="360" w:lineRule="auto"/>
        <w:jc w:val="both"/>
      </w:pPr>
      <w:r>
        <w:rPr>
          <w:i/>
          <w:iCs/>
        </w:rPr>
        <w:t xml:space="preserve">Discontinuation / stopping criteria for an individual infant. </w:t>
      </w:r>
      <w:r>
        <w:t>Development of NEC requiring feed cessation or surgery; need for surgery; withdrawal of parental consent; or death.</w:t>
      </w:r>
    </w:p>
    <w:p w14:paraId="3808631A" w14:textId="77777777" w:rsidR="00771FA5" w:rsidRDefault="00000000">
      <w:pPr>
        <w:pStyle w:val="Heading1"/>
        <w:spacing w:before="240" w:after="120" w:line="360" w:lineRule="auto"/>
      </w:pPr>
      <w:r>
        <w:rPr>
          <w:b/>
          <w:bCs/>
          <w:sz w:val="28"/>
          <w:szCs w:val="28"/>
        </w:rPr>
        <w:t>8. Adverse Events</w:t>
      </w:r>
    </w:p>
    <w:p w14:paraId="34CEB1DD" w14:textId="77777777" w:rsidR="00771FA5" w:rsidRDefault="00000000">
      <w:pPr>
        <w:spacing w:after="120" w:line="360" w:lineRule="auto"/>
        <w:jc w:val="both"/>
      </w:pPr>
      <w:r>
        <w:t>Adverse events are recorded throughout the study. Serious adverse events (SAEs) include death, NEC requiring surgery, spontaneous intestinal perforation, and severe metabolic derangement. All SAEs are reviewed by the investigators and reported to the Institutional Ethics Committee in accordance with institutional and national pharmacovigilance requirements.</w:t>
      </w:r>
    </w:p>
    <w:p w14:paraId="788A47D2" w14:textId="77777777" w:rsidR="00771FA5" w:rsidRDefault="00000000">
      <w:pPr>
        <w:pStyle w:val="Heading1"/>
        <w:spacing w:before="240" w:after="120" w:line="360" w:lineRule="auto"/>
      </w:pPr>
      <w:r>
        <w:rPr>
          <w:b/>
          <w:bCs/>
          <w:sz w:val="28"/>
          <w:szCs w:val="28"/>
        </w:rPr>
        <w:t>9. Protocol Deviations</w:t>
      </w:r>
    </w:p>
    <w:p w14:paraId="6BF229A4" w14:textId="77777777" w:rsidR="00771FA5" w:rsidRDefault="00000000">
      <w:pPr>
        <w:spacing w:after="120" w:line="360" w:lineRule="auto"/>
        <w:jc w:val="both"/>
      </w:pPr>
      <w:r>
        <w:t>Any departure from the approved protocol — for example administration of the incorrect fortifier, deviation from the allocated supplementation, premature discontinuation, withdrawal of consent, or a missing primary outcome — is documented on the CRF with the reason and date, reported to the Institutional Ethics Committee where required, and summarized in the final report. Because non-inferiority conclusions can be affected by protocol non-adherence, both intention-to-treat and per-protocol analyses are pre-specified.</w:t>
      </w:r>
    </w:p>
    <w:p w14:paraId="44345710" w14:textId="77777777" w:rsidR="00771FA5" w:rsidRDefault="00000000">
      <w:pPr>
        <w:pStyle w:val="Heading1"/>
        <w:spacing w:before="240" w:after="120" w:line="360" w:lineRule="auto"/>
      </w:pPr>
      <w:r>
        <w:rPr>
          <w:b/>
          <w:bCs/>
          <w:sz w:val="28"/>
          <w:szCs w:val="28"/>
        </w:rPr>
        <w:t>10. Trial Oversight, Withdrawal, and Dissemination</w:t>
      </w:r>
    </w:p>
    <w:p w14:paraId="26FCDC9A" w14:textId="77777777" w:rsidR="00771FA5" w:rsidRDefault="00000000">
      <w:pPr>
        <w:spacing w:after="120" w:line="360" w:lineRule="auto"/>
        <w:jc w:val="both"/>
      </w:pPr>
      <w:r>
        <w:rPr>
          <w:i/>
          <w:iCs/>
        </w:rPr>
        <w:t xml:space="preserve">Trial oversight. </w:t>
      </w:r>
      <w:r>
        <w:t>The trial is supervised by the investigator team (principal investigator and guides). Given the minimal-risk nature of this nutritional intervention, a formal independent data monitoring committee was not constituted; safety is overseen by the investigators with reporting to the Institutional Ethics Committee.</w:t>
      </w:r>
    </w:p>
    <w:p w14:paraId="4DA7C6FA" w14:textId="77777777" w:rsidR="00771FA5" w:rsidRDefault="00000000">
      <w:pPr>
        <w:spacing w:after="120" w:line="360" w:lineRule="auto"/>
        <w:jc w:val="both"/>
      </w:pPr>
      <w:r>
        <w:rPr>
          <w:i/>
          <w:iCs/>
        </w:rPr>
        <w:lastRenderedPageBreak/>
        <w:t xml:space="preserve">Participant withdrawal. </w:t>
      </w:r>
      <w:r>
        <w:t>Parents may withdraw their infant at any time without affecting clinical care. Reasons for withdrawal are recorded; data collected up to withdrawal are retained for analysis unless consent for use is withdrawn.</w:t>
      </w:r>
    </w:p>
    <w:p w14:paraId="38894627" w14:textId="77777777" w:rsidR="00771FA5" w:rsidRDefault="00000000">
      <w:pPr>
        <w:spacing w:after="120" w:line="360" w:lineRule="auto"/>
        <w:jc w:val="both"/>
      </w:pPr>
      <w:r>
        <w:rPr>
          <w:i/>
          <w:iCs/>
        </w:rPr>
        <w:t xml:space="preserve">Dissemination. </w:t>
      </w:r>
      <w:r>
        <w:t>Results — positive or negative — will be submitted for publication in a peer-reviewed journal and reported to the trial registry, with de-identified data available on reasonable request subject to institutional approval.</w:t>
      </w:r>
    </w:p>
    <w:p w14:paraId="05551E23" w14:textId="77777777" w:rsidR="00771FA5" w:rsidRDefault="00000000">
      <w:pPr>
        <w:pStyle w:val="Heading1"/>
        <w:spacing w:before="240" w:after="120" w:line="360" w:lineRule="auto"/>
      </w:pPr>
      <w:r>
        <w:rPr>
          <w:b/>
          <w:bCs/>
          <w:sz w:val="28"/>
          <w:szCs w:val="28"/>
        </w:rPr>
        <w:t>11. Ethical Considerations</w:t>
      </w:r>
    </w:p>
    <w:p w14:paraId="2D71E1A2" w14:textId="77777777" w:rsidR="00771FA5" w:rsidRDefault="00000000">
      <w:pPr>
        <w:spacing w:after="120" w:line="360" w:lineRule="auto"/>
        <w:jc w:val="both"/>
      </w:pPr>
      <w:r>
        <w:t>The trial is conducted per the Declaration of Helsinki, ICH/CDSCO Good Clinical Practice, and national guidelines, after Institutional Ethics Committee approval and prospective CTRI registration (CTRI/2025/07/089932; registered before enrolment of the first participant). Written informed consent is obtained from a parent/guardian before enrolment. No external funding was received and the investigators declare no competing interests.</w:t>
      </w:r>
    </w:p>
    <w:p w14:paraId="04E9D12E" w14:textId="77777777" w:rsidR="00771FA5" w:rsidRDefault="00000000">
      <w:pPr>
        <w:pStyle w:val="Heading1"/>
        <w:spacing w:before="240" w:after="120" w:line="360" w:lineRule="auto"/>
      </w:pPr>
      <w:r>
        <w:rPr>
          <w:b/>
          <w:bCs/>
          <w:sz w:val="28"/>
          <w:szCs w:val="28"/>
        </w:rPr>
        <w:t>12. References</w:t>
      </w:r>
    </w:p>
    <w:p w14:paraId="190A9693" w14:textId="77777777" w:rsidR="00B0522D" w:rsidRDefault="00000000">
      <w:pPr>
        <w:spacing w:after="80"/>
      </w:pPr>
      <w:r>
        <w:rPr>
          <w:sz w:val="22"/>
        </w:rPr>
        <w:t>1. Embleton ND, Moltu SJ, Lapillonne A, et al. Enteral nutrition in preterm infants (2022): a position paper from the ESPGHAN Committee on Nutrition. J Pediatr Gastroenterol Nutr. 2023;76(2):248–268. doi:10.1097/MPG.0000000000003642.</w:t>
      </w:r>
    </w:p>
    <w:p w14:paraId="463F361B" w14:textId="77777777" w:rsidR="00B0522D" w:rsidRDefault="00000000">
      <w:pPr>
        <w:spacing w:after="80"/>
      </w:pPr>
      <w:r>
        <w:rPr>
          <w:sz w:val="22"/>
        </w:rPr>
        <w:t>2. Brown JV, Lin L, Embleton ND, Harding JE, McGuire W. Multi-nutrient fortification of human milk for preterm infants. Cochrane Database Syst Rev. 2020;(6):CD000343. doi:10.1002/14651858.CD000343.pub4.</w:t>
      </w:r>
    </w:p>
    <w:p w14:paraId="020B8633" w14:textId="77777777" w:rsidR="00B0522D" w:rsidRDefault="00000000">
      <w:pPr>
        <w:spacing w:after="80"/>
      </w:pPr>
      <w:r>
        <w:rPr>
          <w:sz w:val="22"/>
        </w:rPr>
        <w:t>3. World Health Organization. WHO recommendations for care of the preterm or low birth weight infant. Geneva: World Health Organization; 2022.</w:t>
      </w:r>
    </w:p>
    <w:p w14:paraId="0F280495" w14:textId="77777777" w:rsidR="00B0522D" w:rsidRDefault="00000000">
      <w:pPr>
        <w:spacing w:after="80"/>
      </w:pPr>
      <w:r>
        <w:rPr>
          <w:sz w:val="22"/>
        </w:rPr>
        <w:t>4. Khorana M, Jiamsajjamongkhon C. Pilot study on growth parameters and nutritional biochemical markers in very low birth weight preterm infants fed human milk fortified with either human milk fortifier or post discharge formula. J Med Assoc Thai. 2014;97 Suppl 6:S164–175.</w:t>
      </w:r>
    </w:p>
    <w:p w14:paraId="0D448880" w14:textId="77777777" w:rsidR="00B0522D" w:rsidRDefault="00000000">
      <w:pPr>
        <w:spacing w:after="80"/>
      </w:pPr>
      <w:r>
        <w:rPr>
          <w:sz w:val="22"/>
        </w:rPr>
        <w:t>5. Willeitner A, Anderson M, Lewis J. Highly concentrated preterm formula as an alternative to powdered human milk fortifier: a randomized controlled trial. J Pediatr Gastroenterol Nutr. 2017;65(4):e93–e98. doi:10.1097/MPG.0000000000001638.</w:t>
      </w:r>
    </w:p>
    <w:p w14:paraId="19353BBE" w14:textId="77777777" w:rsidR="00B0522D" w:rsidRDefault="00000000">
      <w:pPr>
        <w:spacing w:after="80"/>
      </w:pPr>
      <w:r>
        <w:rPr>
          <w:sz w:val="22"/>
        </w:rPr>
        <w:t>6. Chinnappan A, Sharma A, Agarwal R, Thukral A, Deorari A, Sankar MJ. Fortification of breast milk with preterm formula powder vs human milk fortifier in preterm neonates: a randomized noninferiority trial. JAMA Pediatr. 2021;175(8):790–796. doi:10.1001/jamapediatrics.2021.0678.</w:t>
      </w:r>
    </w:p>
    <w:p w14:paraId="2A41A611" w14:textId="77777777" w:rsidR="00B0522D" w:rsidRDefault="00000000">
      <w:pPr>
        <w:spacing w:after="80"/>
      </w:pPr>
      <w:r>
        <w:rPr>
          <w:sz w:val="22"/>
        </w:rPr>
        <w:t>7. Al Mandhari H, Suleman SKM, Al Ghammari Z, Al Qutaiti H, Al Hatmi J, Panchatcharam SM, et al. Comparison between efficacy of human milk fortification using human milk fortifier versus preterm formula: a retrospective single-institutional experience. Oman Med J. 2023;38(3):e504. doi:10.5001/omj.2023.74.</w:t>
      </w:r>
    </w:p>
    <w:p w14:paraId="338C9CF0" w14:textId="77777777" w:rsidR="00B0522D" w:rsidRDefault="00000000">
      <w:pPr>
        <w:spacing w:after="80"/>
      </w:pPr>
      <w:r>
        <w:rPr>
          <w:sz w:val="22"/>
        </w:rPr>
        <w:lastRenderedPageBreak/>
        <w:t>8. Pedaveeti M, Iqbal F, Purkayastha J, Bharadwaj SK, Patil AK, Lewis LES. Comparative growth outcomes in very low birth weight infants: evaluating different feeding strategies. Indian J Pediatr. 2025;92(4):376–382. doi:10.1007/s12098-023-04989-9.</w:t>
      </w:r>
    </w:p>
    <w:p w14:paraId="346D76F5" w14:textId="77777777" w:rsidR="00B0522D" w:rsidRDefault="00000000">
      <w:pPr>
        <w:spacing w:after="80"/>
      </w:pPr>
      <w:r>
        <w:rPr>
          <w:sz w:val="22"/>
        </w:rPr>
        <w:t>9. Kong QY, Kong JY, Chua MC, Jayagobi PA, Han WM, Ong C. An alternative fortification strategy to optimize growth in preterm infants during a period of human milk fortifier shortage. Early Hum Dev. 2025;204:106240. doi:10.1016/j.earlhumdev.2025.106240.</w:t>
      </w:r>
    </w:p>
    <w:p w14:paraId="667971B0" w14:textId="77777777" w:rsidR="00B0522D" w:rsidRDefault="00000000">
      <w:pPr>
        <w:spacing w:after="80"/>
      </w:pPr>
      <w:r>
        <w:rPr>
          <w:sz w:val="22"/>
        </w:rPr>
        <w:t>10. Aryadevi NNB, Putri RSI, Marsubrin PMT. Human breast milk fortification with human milk fortifier vs preterm infant formula: a systematic review and meta-analysis. J Neonatal Perinatal Med. 2026;19(1):10–21. doi:10.1177/19345798251350987.</w:t>
      </w:r>
    </w:p>
    <w:p w14:paraId="5C0B613A" w14:textId="77777777" w:rsidR="00B0522D" w:rsidRDefault="00000000">
      <w:pPr>
        <w:spacing w:after="80"/>
      </w:pPr>
      <w:r>
        <w:rPr>
          <w:sz w:val="22"/>
        </w:rPr>
        <w:t>11. Hopewell S, Chan AW, Collins GS, Hróbjartsson A, Moher D, Schulz KF, et al. CONSORT 2025 statement: updated guideline for reporting randomised trials. BMJ. 2025;388:e081123. doi:10.1136/bmj-2024-081123.</w:t>
      </w:r>
    </w:p>
    <w:p w14:paraId="3B9DC450" w14:textId="77777777" w:rsidR="00B0522D" w:rsidRDefault="00000000">
      <w:pPr>
        <w:spacing w:after="80"/>
      </w:pPr>
      <w:r>
        <w:rPr>
          <w:sz w:val="22"/>
        </w:rPr>
        <w:t>12. Piaggio G, Elbourne DR, Pocock SJ, Evans SJW, Altman DG. Reporting of noninferiority and equivalence randomized trials: extension of the CONSORT 2010 statement. JAMA. 2012;308(24):2594–2604. doi:10.1001/jama.2012.87802.</w:t>
      </w:r>
    </w:p>
    <w:p w14:paraId="2E810D87" w14:textId="77777777" w:rsidR="00B0522D" w:rsidRDefault="00000000">
      <w:pPr>
        <w:spacing w:after="80"/>
      </w:pPr>
      <w:r>
        <w:rPr>
          <w:sz w:val="22"/>
        </w:rPr>
        <w:t>13. Baba A, Smith M, Potter BK, Chan AW, Moher D, Toulany A, et al. CONSORT-Children and Adolescents (CONSORT-C) 2026 extension statement: enhancing the reporting and impact of paediatric randomised trials. BMJ. 2026;392:e085061. doi:10.1136/bmj-2025-085061.</w:t>
      </w:r>
    </w:p>
    <w:p w14:paraId="27F0AD11" w14:textId="77777777" w:rsidR="00B0522D" w:rsidRDefault="00000000">
      <w:pPr>
        <w:spacing w:after="80"/>
      </w:pPr>
      <w:r>
        <w:rPr>
          <w:sz w:val="22"/>
        </w:rPr>
        <w:t>14. Patel AL, Engstrom JL, Meier PP, Kimura RE. Accuracy of methods for calculating postnatal growth velocity for extremely low birth weight infants. Pediatrics. 2005;116(6):1466–1473. doi:10.1542/peds.2004-1699.</w:t>
      </w:r>
    </w:p>
    <w:p w14:paraId="572C216B" w14:textId="77777777" w:rsidR="00B0522D" w:rsidRDefault="00000000">
      <w:pPr>
        <w:spacing w:after="80"/>
      </w:pPr>
      <w:r>
        <w:rPr>
          <w:sz w:val="22"/>
        </w:rPr>
        <w:t>15. Fenton TR, Kim JH. A systematic review and revised meta-analyses of the 2013 Fenton growth chart for preterm infants. BMC Pediatr. 2013;13:59. doi:10.1186/1471-2431-13-59.</w:t>
      </w:r>
    </w:p>
    <w:p w14:paraId="530AE135" w14:textId="77777777" w:rsidR="00B0522D" w:rsidRDefault="00000000">
      <w:pPr>
        <w:spacing w:after="80"/>
      </w:pPr>
      <w:r>
        <w:rPr>
          <w:sz w:val="22"/>
        </w:rPr>
        <w:t>16. Bajaj N, Saha B, Sethuraman G. Feeding in preterm and feed intolerance. In: IAP Standard Treatment Guidelines. Indian Academy of Pediatrics; 2022.</w:t>
      </w:r>
    </w:p>
    <w:p w14:paraId="636E9833" w14:textId="77777777" w:rsidR="00B0522D" w:rsidRDefault="00000000">
      <w:pPr>
        <w:spacing w:after="80"/>
      </w:pPr>
      <w:r>
        <w:rPr>
          <w:sz w:val="22"/>
        </w:rPr>
        <w:t>17. Walsh MC, Kliegman RM. Necrotizing enterocolitis: treatment based on staging criteria. Pediatr Clin North Am. 1986;33(1):179–201.</w:t>
      </w:r>
    </w:p>
    <w:p w14:paraId="24D1D696" w14:textId="77777777" w:rsidR="00B0522D" w:rsidRDefault="00000000">
      <w:pPr>
        <w:spacing w:after="80"/>
      </w:pPr>
      <w:r>
        <w:rPr>
          <w:sz w:val="22"/>
        </w:rPr>
        <w:t>18. Hayes R, Hartnett J, Semova G, Murray C, Murphy K, Carroll L, et al. Neonatal sepsis definitions from randomised clinical trials. Pediatr Res. 2023;93(5):1141–1148. doi:10.1038/s41390-021-01749-3.</w:t>
      </w:r>
    </w:p>
    <w:p w14:paraId="21220E36" w14:textId="77777777" w:rsidR="00B0522D" w:rsidRDefault="00000000">
      <w:pPr>
        <w:spacing w:after="80"/>
      </w:pPr>
      <w:r>
        <w:rPr>
          <w:sz w:val="22"/>
        </w:rPr>
        <w:t>19. Deschmann E, Dame C, Sola-Visner MC, et al. Clinical practice guideline for red blood cell transfusion thresholds in very preterm neonates. JAMA Netw Open. 2024;7(6):e2417431. doi:10.1001/jamanetworkopen.2024.17431.</w:t>
      </w:r>
    </w:p>
    <w:p w14:paraId="3287FFAA" w14:textId="77777777" w:rsidR="00B0522D" w:rsidRDefault="00000000">
      <w:pPr>
        <w:spacing w:after="80"/>
      </w:pPr>
      <w:r>
        <w:rPr>
          <w:sz w:val="22"/>
        </w:rPr>
        <w:t>20. McNamara PJ, Sehgal A. Towards rational management of the patent ductus arteriosus: the need for disease staging. Arch Dis Child Fetal Neonatal Ed. 2007;92(6):F424–F427. doi:10.1136/adc.2007.118117.</w:t>
      </w:r>
    </w:p>
    <w:p w14:paraId="2667F2A1" w14:textId="77777777" w:rsidR="00B0522D" w:rsidRDefault="00000000">
      <w:pPr>
        <w:spacing w:after="80"/>
      </w:pPr>
      <w:r>
        <w:rPr>
          <w:sz w:val="22"/>
        </w:rPr>
        <w:t>21. Jensen EA, Dysart K, Gantz MG, et al. The diagnosis of bronchopulmonary dysplasia in very preterm infants: an evidence-based approach. Am J Respir Crit Care Med. 2019;200(6):751–759. doi:10.1164/rccm.201812-2348OC.</w:t>
      </w:r>
    </w:p>
    <w:p w14:paraId="7CD3C41B" w14:textId="77777777" w:rsidR="00B0522D" w:rsidRDefault="00000000">
      <w:pPr>
        <w:spacing w:after="80"/>
      </w:pPr>
      <w:r>
        <w:rPr>
          <w:sz w:val="22"/>
        </w:rPr>
        <w:t>22. Early Treatment for Retinopathy of Prematurity Cooperative Group. Revised indications for the treatment of retinopathy of prematurity. Arch Ophthalmol. 2003;121(12):1684–1694. doi:10.1001/archopht.121.12.1684.</w:t>
      </w:r>
    </w:p>
    <w:p w14:paraId="631733CC" w14:textId="77777777" w:rsidR="00B0522D" w:rsidRDefault="00000000">
      <w:pPr>
        <w:spacing w:after="80"/>
      </w:pPr>
      <w:r>
        <w:rPr>
          <w:sz w:val="22"/>
        </w:rPr>
        <w:t>23. Volpe JJ, Inder TE, eds. Volpe's Neurology of the Newborn. 7th ed. Philadelphia: Elsevier; 2024.</w:t>
      </w:r>
    </w:p>
    <w:p w14:paraId="0C2AF9D8" w14:textId="77777777" w:rsidR="00B0522D" w:rsidRDefault="00000000">
      <w:pPr>
        <w:spacing w:after="80"/>
      </w:pPr>
      <w:r>
        <w:rPr>
          <w:sz w:val="22"/>
        </w:rPr>
        <w:t>24. National Neonatology Forum of India. Evidence-based clinical practice guidelines on newborn nutrition. New Delhi: NNF; 2020.</w:t>
      </w:r>
    </w:p>
    <w:p w14:paraId="67BF9A0D" w14:textId="6F9AA7F1" w:rsidR="00771FA5" w:rsidRDefault="00771FA5">
      <w:pPr>
        <w:spacing w:before="160"/>
      </w:pPr>
    </w:p>
    <w:sectPr w:rsidR="00771FA5">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F4BDC1" w14:textId="77777777" w:rsidR="009D39FA" w:rsidRDefault="009D39FA">
      <w:r>
        <w:separator/>
      </w:r>
    </w:p>
  </w:endnote>
  <w:endnote w:type="continuationSeparator" w:id="0">
    <w:p w14:paraId="17B8E41A" w14:textId="77777777" w:rsidR="009D39FA" w:rsidRDefault="009D3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36A2AF" w14:textId="77777777" w:rsidR="00771FA5" w:rsidRDefault="00000000">
    <w:pPr>
      <w:jc w:val="center"/>
    </w:pPr>
    <w:r>
      <w:rPr>
        <w:sz w:val="20"/>
        <w:szCs w:val="20"/>
      </w:rPr>
      <w:t xml:space="preserve">PREMFORT Protocol — Page </w:t>
    </w:r>
    <w:r>
      <w:rPr>
        <w:sz w:val="20"/>
        <w:szCs w:val="20"/>
      </w:rPr>
      <w:fldChar w:fldCharType="begin"/>
    </w:r>
    <w:r>
      <w:rPr>
        <w:sz w:val="20"/>
        <w:szCs w:val="20"/>
      </w:rPr>
      <w:instrText>PAGE</w:instrText>
    </w:r>
    <w:r>
      <w:rPr>
        <w:sz w:val="20"/>
        <w:szCs w:val="20"/>
      </w:rPr>
      <w:fldChar w:fldCharType="separate"/>
    </w:r>
    <w:r w:rsidR="00EB6C1A">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DC18C5" w14:textId="77777777" w:rsidR="009D39FA" w:rsidRDefault="009D39FA">
      <w:r>
        <w:separator/>
      </w:r>
    </w:p>
  </w:footnote>
  <w:footnote w:type="continuationSeparator" w:id="0">
    <w:p w14:paraId="00A2432A" w14:textId="77777777" w:rsidR="009D39FA" w:rsidRDefault="009D3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FC0494"/>
    <w:multiLevelType w:val="hybridMultilevel"/>
    <w:tmpl w:val="9DAC3D64"/>
    <w:lvl w:ilvl="0" w:tplc="9BF23C3C">
      <w:start w:val="1"/>
      <w:numFmt w:val="bullet"/>
      <w:lvlText w:val="●"/>
      <w:lvlJc w:val="left"/>
      <w:pPr>
        <w:ind w:left="720" w:hanging="360"/>
      </w:pPr>
    </w:lvl>
    <w:lvl w:ilvl="1" w:tplc="4CBC3A44">
      <w:start w:val="1"/>
      <w:numFmt w:val="bullet"/>
      <w:lvlText w:val="○"/>
      <w:lvlJc w:val="left"/>
      <w:pPr>
        <w:ind w:left="1440" w:hanging="360"/>
      </w:pPr>
    </w:lvl>
    <w:lvl w:ilvl="2" w:tplc="CD5A7B1A">
      <w:start w:val="1"/>
      <w:numFmt w:val="bullet"/>
      <w:lvlText w:val="■"/>
      <w:lvlJc w:val="left"/>
      <w:pPr>
        <w:ind w:left="2160" w:hanging="360"/>
      </w:pPr>
    </w:lvl>
    <w:lvl w:ilvl="3" w:tplc="0C546FEE">
      <w:start w:val="1"/>
      <w:numFmt w:val="bullet"/>
      <w:lvlText w:val="●"/>
      <w:lvlJc w:val="left"/>
      <w:pPr>
        <w:ind w:left="2880" w:hanging="360"/>
      </w:pPr>
    </w:lvl>
    <w:lvl w:ilvl="4" w:tplc="63BEE118">
      <w:start w:val="1"/>
      <w:numFmt w:val="bullet"/>
      <w:lvlText w:val="○"/>
      <w:lvlJc w:val="left"/>
      <w:pPr>
        <w:ind w:left="3600" w:hanging="360"/>
      </w:pPr>
    </w:lvl>
    <w:lvl w:ilvl="5" w:tplc="F15277AA">
      <w:start w:val="1"/>
      <w:numFmt w:val="bullet"/>
      <w:lvlText w:val="■"/>
      <w:lvlJc w:val="left"/>
      <w:pPr>
        <w:ind w:left="4320" w:hanging="360"/>
      </w:pPr>
    </w:lvl>
    <w:lvl w:ilvl="6" w:tplc="3DB6F766">
      <w:start w:val="1"/>
      <w:numFmt w:val="bullet"/>
      <w:lvlText w:val="●"/>
      <w:lvlJc w:val="left"/>
      <w:pPr>
        <w:ind w:left="5040" w:hanging="360"/>
      </w:pPr>
    </w:lvl>
    <w:lvl w:ilvl="7" w:tplc="B3A8A46C">
      <w:start w:val="1"/>
      <w:numFmt w:val="bullet"/>
      <w:lvlText w:val="●"/>
      <w:lvlJc w:val="left"/>
      <w:pPr>
        <w:ind w:left="5760" w:hanging="360"/>
      </w:pPr>
    </w:lvl>
    <w:lvl w:ilvl="8" w:tplc="62A4A456">
      <w:start w:val="1"/>
      <w:numFmt w:val="bullet"/>
      <w:lvlText w:val="●"/>
      <w:lvlJc w:val="left"/>
      <w:pPr>
        <w:ind w:left="6480" w:hanging="360"/>
      </w:pPr>
    </w:lvl>
  </w:abstractNum>
  <w:num w:numId="1" w16cid:durableId="204802287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FA5"/>
    <w:rsid w:val="00771FA5"/>
    <w:rsid w:val="009605E4"/>
    <w:rsid w:val="009D39FA"/>
    <w:rsid w:val="00A904E0"/>
    <w:rsid w:val="00A970DE"/>
    <w:rsid w:val="00AB6277"/>
    <w:rsid w:val="00B0522D"/>
    <w:rsid w:val="00D65D75"/>
    <w:rsid w:val="00E35B70"/>
    <w:rsid w:val="00EB6C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675119F"/>
  <w15:docId w15:val="{AA25D506-676B-8044-A634-279ACA0F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3614</Words>
  <Characters>20603</Characters>
  <Application>Microsoft Office Word</Application>
  <DocSecurity>0</DocSecurity>
  <Lines>171</Lines>
  <Paragraphs>48</Paragraphs>
  <ScaleCrop>false</ScaleCrop>
  <Company/>
  <LinksUpToDate>false</LinksUpToDate>
  <CharactersWithSpaces>24169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PREMFORT</dc:creator>
  <cp:lastModifiedBy>Ammar Haider</cp:lastModifiedBy>
  <cp:revision>5</cp:revision>
  <dcterms:created xsi:type="dcterms:W3CDTF">2026-08-10T19:57:00Z</dcterms:created>
  <dcterms:modified xsi:type="dcterms:W3CDTF">2026-08-19T18:14:00Z</dcterms:modified>
</cp:coreProperties>
</file>