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CONSORT 2025 Checklist, with applicable CONSORT-Children and Adolescents (CONSORT-C) 2026 items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PREMFORT randomized non-inferiority trial (CTRI/2025/07/089932)</w:t>
      </w:r>
    </w:p>
    <w:p>
      <w:pPr>
        <w:spacing w:after="120" w:line="2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CONSORT 2025 item wording is from Hopewell et al. (BMJ 2025;388:e081123). Extension items are from the CONSORT-Children and Adolescents (CONSORT-C) 2026 statement (Baba A, et al. BMJ 2026;392:e085061); * denotes items shared with SPIRIT-C 2026 and † items to report if applicable or state explicitly as not applicable. Non-inferiority-specific reporting follows Piaggio et al. (JAMA 2012). The participant flow diagram is Figure 1 of the manuscript.</w:t>
      </w:r>
    </w:p>
    <w:p>
      <w:pPr>
        <w:spacing w:after="160" w:line="2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18"/>
          <w:szCs w:val="18"/>
        </w:rPr>
        <w:t xml:space="preserve">Locations.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Line numbers are exact — they refer to the continuous line numbering printed in the manuscript margin (lines 1–418) and are identical regardless of pagination. Page numbers refer to the compiled manuscript PDF; because Microsoft Word may paginate slightly differently, confirm page numbers against the author’s final compiled PDF while relying on the line numbers as definitive.</w:t>
      </w:r>
    </w:p>
    <w:tbl>
      <w:tblPr>
        <w:tblW w:type="dxa" w:w="13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60"/>
        <w:gridCol w:w="4600"/>
        <w:gridCol w:w="4640"/>
        <w:gridCol w:w="2600"/>
      </w:tblGrid>
      <w:tr>
        <w:trPr>
          <w:tblHeader/>
        </w:trPr>
        <w:tc>
          <w:tcPr>
            <w:tcW w:type="dxa" w:w="1400"/>
            <w:shd w:fill="D9D9D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Section/Topic</w:t>
            </w:r>
          </w:p>
        </w:tc>
        <w:tc>
          <w:tcPr>
            <w:tcW w:type="dxa" w:w="560"/>
            <w:shd w:fill="D9D9D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Item</w:t>
            </w:r>
          </w:p>
        </w:tc>
        <w:tc>
          <w:tcPr>
            <w:tcW w:type="dxa" w:w="4600"/>
            <w:shd w:fill="D9D9D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CONSORT 2025 statement</w:t>
            </w:r>
          </w:p>
        </w:tc>
        <w:tc>
          <w:tcPr>
            <w:tcW w:type="dxa" w:w="4640"/>
            <w:shd w:fill="D9D9D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CONSORT-Children &amp; Adolescents (CONSORT-C) 2026 extension</w:t>
            </w:r>
          </w:p>
        </w:tc>
        <w:tc>
          <w:tcPr>
            <w:tcW w:type="dxa" w:w="2600"/>
            <w:shd w:fill="D9D9D9" w:color="auto" w:val="clear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Location reported (line; page)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Title and abstract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Title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Identification as a randomised trial in the title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1a.1: Identify that it is a paediatric trial, and include age group(s)/range(s), interventions, and, if applicable, trial acronym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Title (p1, lines 1–2). Population (VLBW infants), comparison and acronym (PREMFORT) in title; “randomized” in the running title (line 11) and Abstract, Study Design (p2, line 24).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Structured summary of the trial design, methods, results, and conclusions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Abstract (p2, lines 19–34)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Open science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Trial registration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Name of trial registry, identifying number (with URL) and date of registration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Title page, Trial registration (p1, lines 12–13); Methods, Trial design (p4, lines 66–69)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Protocol and SAP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Where the trial protocol and statistical analysis plan can be accessed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Additional Information, Data availability (p14, lines 298–300); Suppl. Information, Appendices 1 and 5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Data sharing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Where and how de-identified participant data, statistical code and materials can be accessed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Additional Information, Data availability (p14, lines 298–300)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Funding and conflicts of interest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Sources of funding and other support, and role of funders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Additional Information, Funding (p14, lines 295–296)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Financial and other conflicts of interest of the authors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Additional Information, Competing interests (p14, line 297)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Introduction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Background and rationale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Scientific background and rationale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6.1†: prevalence/incidence of the condition in children/adolescents; 6.2: available evidence on efficacy/effectiveness in children/adolescents; 6.3: research question/aim with justification for undertaking the trial in children/adolescents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6: Introduction (p3–4, lines 36–63). 6.1: clinical problem in VLBW infants (lines 36–42). 6.2: prior preterm-infant trials and meta-analysis (lines 48–58). 6.3: rationale for the trial (lines 59–63)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Objectives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Specific objectives related to benefits and harms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Introduction (p4, lines 59–63); Methods, Outcomes (p6, lines 107–129)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Methods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Patient and public involvement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Details of patient or public involvement in the design, conduct and reporting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Not applicable — no formal patient or public involvement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Trial design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Trial design, including type of trial, allocation ratio and framework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Trial design (p4, lines 66–72)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Changes to trial protocol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Important changes to the trial after it commenced, with reasons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None; Suppl. Information, Appendix 1 (no amendments to primary outcome, sample-size assumptions or analysis plan)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Trial setting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Settings and locations where the trial was conducted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Trial design (p4, lines 66–70; level III NICU, GMC Chhatrapati Sambhajinagar, July 2025–July 2026)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Eligibility criteria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Eligibility criteria for participants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12a.1†: justification for including multiple age groups / different developmental stages, addressing age- or development-related differences; 12a.2: whether information was provided to children/adolescents and assent/consent obtained if age-appropriate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12a: Participants (p5, lines 78–82). 12a.1: single developmental group (VLBW, &lt;34 weeks); gestational-age strata (p5, lines 84–86). 12a.2: neonates — written parental consent (Methods p4, lines 71–72; Additional Information, p14)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Eligibility criteria for sites and for individuals delivering the interventions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Not applicable — single-centre trial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Intervention and comparator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Intervention and comparator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Intervention and comparator with sufficient detail to allow replication; where additional materials can be accessed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13.1†: whether there is a dose/formulation appropriate for the population and any adjustments by age, weight or body-surface area; 13.2†: whether interventions were delivered with help from a support person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13: Interventions (p5–6, lines 92–105); Suppl. Fig S1. 13.1: 1 g/25 mL dose; weight-based supplements (Calcimax-P 3 mL/kg/day) (lines 92–104). 13.2: feeds prepared and administered by NICU staff (lines 92–105)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Outcomes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Outcomes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Prespecified primary and secondary outcomes, including measurement variable, analysis metric, method of aggregation and time point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14.1: evidence supporting the validity of selected outcomes and outcome-measurement instruments in the age group(s) included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14: Outcomes and definitions (p6, lines 107–129); primary outcome (lines 107–112). 14.1: exponential growth-velocity method validated in ELBW infants (ref 14, lines 108–112); standardized anthropometry (p7, lines 131–137)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Harms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Harms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How harms were defined and assessed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15.1†: whether trial interventions/procedures induced fear, pain, distress, or were invasive, and measures taken to mitigate this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15: Outcomes (morbidity definitions) (p6, lines 113–129); Table 3. 15.1: interventions were enteral and non-invasive; anthropometry non-invasive (Interventions/Anthropometry, p5–7)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Sample size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Sample size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How sample size was determined, including all assumptions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Sample size (p8, lines 152–156)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Explanation of any interim analyses and stopping guidelines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Not applicable — no interim analyses or stopping rules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Randomisation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Sequence generation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17a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Who generated the random allocation sequence and the method used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Randomization (p5, lines 84–88); Suppl. Information, Appendix 4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17b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Type of randomisation and details of any restriction (stratification, blocking, block size)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Randomization (p5, lines 84–86; variable blocks of 4, 6, 8; two gestational-age strata)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Allocation concealment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Mechanism used to implement the allocation sequence, with steps to conceal it until interventions were assigned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Randomization (p5, lines 87–88; sequentially numbered, opaque, sealed envelopes)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Implementation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Whether the personnel who enrolled and assigned participants had access to the allocation sequence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Randomization (p5, lines 84–88; independent investigator generated the sequence, principal investigator enrolled)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Blinding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Who was blinded after assignment to interventions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Randomization/masking (p5, lines 88–90; outcome assessors blinded)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If blinded, how blinding was achieved and description of similarity of interventions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Open-label; interventions visibly different after preparation; anthropometry by assessors unaware of allocation (p5, lines 88–90)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Statistical methods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Statistical methods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Statistical methods used to compare groups for primary and secondary outcomes, including harms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Statistical analysis (p8–9, lines 166–179)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Definition of who is included in each analysis and in which group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Statistical analysis (p8, lines 158–165; ITT, evaluable and per-protocol populations)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21c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How missing data were handled in the analysis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 losses to follow-up; death treated as a competing event (evaluable population) — Statistical analysis (p8, lines 160–165); Results (p9, line 187)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21d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 for any additional analyses (subgroup, sensitivity), distinguishing prespecified from post hoc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Methods, Statistical analysis (p8–9, lines 168–172); Suppl. Information, Appendix 7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Results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Participant flow (with flow diagram)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22a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For each group, numbers randomly assigned, receiving intended intervention, and analysed for the primary outcome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Results, Trial population (p9–10, lines 186–192); Figure 1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22b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For each group, losses and exclusions after randomisation, with reasons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 (p9, lines 186–192; no losses to follow-up, one PTF death); Figure 1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Recruitment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23a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Dates defining the periods of recruitment and follow-up for outcomes of benefits and harms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Results, Trial population (p9, line 186; July 2025–July 2026)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23b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If relevant, why the trial ended or was stopped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Trial completed at the planned enrolment target (Methods, Sample size, p8; Results, p9)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Intervention and comparator delivery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24a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Intervention and comparator as actually administered (who delivered, adherence, fidelity)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Interventions (p5–6, lines 92–105); Results (p9, line 188; all received allocated intervention); no protocol deviations (p8, line 162)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24b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Concomitant care received during the trial for each group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Interventions (p6, lines 103–105; oral iron in both groups, standard NICU care)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Baseline data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25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 table showing baseline demographic and clinical characteristics for each group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25.1†: number of children/adolescents in the trial by prespecified age group(s)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25: Table 1 (p20); Baseline characteristics (p10, lines 194–197). 25.1: gestational-age strata (&lt;30 wk n=49; 30–&lt;34 wk n=115) — Figure 1; Suppl. Table S7.3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Numbers analysed, outcomes and estimation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26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For each primary and secondary outcome by group: number analysed, number with data at the time point, result and effect size with precision (95% CI); for binary outcomes, absolute and relative effect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Primary outcome (p10, lines 199–213); Table 2 (p20); Table 3 (p21; n/N (%) with odds ratios and 95% CI)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Harms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27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All harms or unintended events in each group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Table 3 (p21); Secondary and clinical outcomes (p11, lines 215–224)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Ancillary analyses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28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Any other analyses performed, including subgroup and sensitivity analyses, distinguishing prespecified from post hoc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28.1†: for each primary and secondary outcome, results for each prespecified age group studied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28: Primary outcome, subgroup analysis (p10, lines 207–213); Figure 2; Suppl. Information, Appendix 7. 28.1: per-stratum estimates (lines 207–213); Suppl. Table S7.3</w:t>
            </w:r>
          </w:p>
        </w:tc>
      </w:tr>
      <w:tr>
        <w:tc>
          <w:tcPr>
            <w:tcW w:type="dxa" w:w="13800"/>
            <w:gridSpan w:val="5"/>
            <w:shd w:fill="EFEFEF" w:color="auto" w:val="clear"/>
            <w:tcMar>
              <w:top w:type="dxa" w:w="30"/>
              <w:left w:type="dxa" w:w="70"/>
              <w:bottom w:type="dxa" w:w="30"/>
              <w:right w:type="dxa" w:w="70"/>
            </w:tcMar>
          </w:tcPr>
          <w:p>
            <w:pPr>
              <w:spacing w:after="0" w:line="2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Discussion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Interpretation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29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Interpretation consistent with results, balancing benefits and harms, and considering other relevant evidence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29.1: highlight unanswered and new questions, and discuss potential future research</w:t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29: Discussion (p12–14, lines 236–291). 29.1: conclusion (p14, lines 285–291; multicentre and long-term trials needed)</w:t>
            </w:r>
          </w:p>
        </w:tc>
      </w:tr>
      <w:tr>
        <w:tc>
          <w:tcPr>
            <w:tcW w:type="dxa" w:w="14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Limitations</w:t>
            </w:r>
          </w:p>
        </w:tc>
        <w:tc>
          <w:tcPr>
            <w:tcW w:type="dxa" w:w="56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30</w:t>
            </w:r>
          </w:p>
        </w:tc>
        <w:tc>
          <w:tcPr>
            <w:tcW w:type="dxa" w:w="4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Trial limitations, addressing sources of potential bias, imprecision, generalisability and, if relevant, multiplicity of analyses</w:t>
            </w:r>
          </w:p>
        </w:tc>
        <w:tc>
          <w:tcPr>
            <w:tcW w:type="dxa" w:w="464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30"/>
              <w:left w:type="dxa" w:w="70"/>
              <w:bottom w:type="dxa" w:w="30"/>
              <w:right w:type="dxa" w:w="70"/>
            </w:tcMar>
            <w:vAlign w:val="top"/>
          </w:tcPr>
          <w:p>
            <w:pPr>
              <w:spacing w:after="20" w:line="22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Discussion, limitations (p13–14, lines 277–284)</w:t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PREMFORT</dc:creator>
  <cp:lastModifiedBy>Un-named</cp:lastModifiedBy>
  <cp:revision>1</cp:revision>
  <dcterms:created xsi:type="dcterms:W3CDTF">2026-08-18T14:05:25.518Z</dcterms:created>
  <dcterms:modified xsi:type="dcterms:W3CDTF">2026-08-18T14:05:25.519Z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