
<file path=[Content_Types].xml><?xml version="1.0" encoding="utf-8"?>
<Types xmlns="http://schemas.openxmlformats.org/package/2006/content-types">
  <Default ContentType="application/xml" Extension="xml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160" w:line="301.09090909090907" w:lineRule="auto"/>
        <w:jc w:val="both"/>
        <w:rPr>
          <w:rFonts w:ascii="Times New Roman" w:cs="Times New Roman" w:eastAsia="Times New Roman" w:hAnsi="Times New Roman"/>
          <w:i w:val="1"/>
          <w:iCs w:val="1"/>
          <w:sz w:val="24"/>
          <w:szCs w:val="24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</w:rPr>
        <w:drawing>
          <wp:inline distB="114300" distT="114300" distL="114300" distR="114300">
            <wp:extent cx="5196516" cy="8872538"/>
            <wp:effectExtent b="0" l="0" r="0" t="0"/>
            <wp:docPr id="1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6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196516" cy="8872538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file2,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A-C | Design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 of multiplex PCR for IR panel for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An.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gambiae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i w:val="1"/>
          <w:iCs w:val="1"/>
          <w:rtl w:val="0"/>
        </w:rPr>
        <w:t xml:space="preserve"> s.l.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A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Gel electrophoresis plot of the singleplex PCR of each target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multiplex PCR (pooled targets) in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An. gambiae s.s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An. arabiensis.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B.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Gel electrophoresis plot of multiplex PCR in archived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An. arabiensis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samples from 2016-2023. </w:t>
      </w: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C.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 Phylogenetic tree of different Glutathione S-transferase epsilon (Gste) in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An. arabiensis.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spacing w:after="160" w:line="301.09090909090907" w:lineRule="auto"/>
        <w:jc w:val="both"/>
        <w:rPr>
          <w:rFonts w:ascii="Times New Roman" w:cs="Times New Roman" w:eastAsia="Times New Roman" w:hAnsi="Times New Roman"/>
          <w:b w:val="1"/>
          <w:b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</w:rPr>
        <w:drawing>
          <wp:inline distB="114300" distT="114300" distL="114300" distR="114300">
            <wp:extent cx="5943600" cy="3543300"/>
            <wp:effectExtent b="0" l="0" r="0" t="0"/>
            <wp:docPr id="2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3543300"/>
                    </a:xfrm>
                    <a:prstGeom prst="rect"/>
                    <a:ln/>
                  </pic:spPr>
                </pic:pic>
              </a:graphicData>
            </a:graphic>
          </wp:inline>
        </w:drawing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160" w:line="301.09090909090907" w:lineRule="auto"/>
        <w:jc w:val="both"/>
        <w:rPr>
          <w:rFonts w:ascii="Times New Roman" w:cs="Times New Roman" w:eastAsia="Times New Roman" w:hAnsi="Times New Roman"/>
          <w:i w:val="1"/>
          <w:iCs w:val="1"/>
        </w:rPr>
      </w:pPr>
      <w:r w:rsidDel="00000000" w:rsidR="00000000" w:rsidRPr="00000000">
        <w:rPr>
          <w:rFonts w:ascii="Times New Roman" w:cs="Times New Roman" w:eastAsia="Times New Roman" w:hAnsi="Times New Roman"/>
          <w:b w:val="1"/>
          <w:bCs w:val="1"/>
          <w:rtl w:val="0"/>
        </w:rPr>
        <w:t xml:space="preserve">Supplementary file2, D |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Total number of synonymous and missense mutations per target region in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 An. gambiae s.s, An. arabiensis </w:t>
      </w:r>
      <w:r w:rsidDel="00000000" w:rsidR="00000000" w:rsidRPr="00000000">
        <w:rPr>
          <w:rFonts w:ascii="Times New Roman" w:cs="Times New Roman" w:eastAsia="Times New Roman" w:hAnsi="Times New Roman"/>
          <w:rtl w:val="0"/>
        </w:rPr>
        <w:t xml:space="preserve">and </w:t>
      </w:r>
      <w:r w:rsidDel="00000000" w:rsidR="00000000" w:rsidRPr="00000000">
        <w:rPr>
          <w:rFonts w:ascii="Times New Roman" w:cs="Times New Roman" w:eastAsia="Times New Roman" w:hAnsi="Times New Roman"/>
          <w:i w:val="1"/>
          <w:iCs w:val="1"/>
          <w:rtl w:val="0"/>
        </w:rPr>
        <w:t xml:space="preserve">An. stephensi. </w:t>
      </w:r>
    </w:p>
    <w:sectPr>
      <w:headerReference r:id="rId8" w:type="default"/>
      <w:pgSz w:h="15840" w:w="12240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Times New Roman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04">
    <w:pPr>
      <w:rPr/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120" w:before="360" w:lineRule="auto"/>
    </w:pPr>
    <w:rPr>
      <w:b w:val="0"/>
      <w:bCs w:val="0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320" w:lineRule="auto"/>
    </w:pPr>
    <w:rPr>
      <w:b w:val="0"/>
      <w:bCs w:val="0"/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80" w:before="240" w:lineRule="auto"/>
    </w:pPr>
    <w:rPr>
      <w:color w:val="666666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80" w:before="240" w:lineRule="auto"/>
    </w:pPr>
    <w:rPr>
      <w:i w:val="1"/>
      <w:iCs w:val="1"/>
      <w:color w:val="666666"/>
      <w:sz w:val="22"/>
      <w:szCs w:val="22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60" w:before="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320" w:before="0" w:lineRule="auto"/>
    </w:pPr>
    <w:rPr>
      <w:rFonts w:ascii="Arial" w:cs="Arial" w:eastAsia="Arial" w:hAnsi="Arial"/>
      <w:i w:val="0"/>
      <w:iCs w:val="0"/>
      <w:color w:val="666666"/>
      <w:sz w:val="30"/>
      <w:szCs w:val="30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image" Target="media/image2.png"/><Relationship Id="rId7" Type="http://schemas.openxmlformats.org/officeDocument/2006/relationships/image" Target="media/image1.png"/><Relationship Id="rId8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