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Supplementary Material 1</w:t>
      </w:r>
    </w:p>
    <w:p>
      <w:pPr>
        <w:jc w:val="center"/>
      </w:pPr>
      <w:r>
        <w:rPr>
          <w:rFonts w:ascii="Arial" w:hAnsi="Arial"/>
          <w:b/>
          <w:sz w:val="26"/>
        </w:rPr>
        <w:t>English-Language Version of the Study Questionnaire</w:t>
      </w:r>
    </w:p>
    <w:p>
      <w:pPr>
        <w:jc w:val="center"/>
      </w:pPr>
      <w:r>
        <w:rPr>
          <w:rFonts w:ascii="Arial" w:hAnsi="Arial"/>
          <w:i/>
          <w:sz w:val="22"/>
        </w:rPr>
        <w:t>The Use of Methylene Blue in Refractory Shock Management in Pediatric Intensive Care Units: Evaluation of Clinical Applications Across Türkiye</w:t>
      </w:r>
    </w:p>
    <w:p>
      <w:r>
        <w:rPr>
          <w:b/>
        </w:rPr>
        <w:t>Dear Colleague,</w:t>
      </w:r>
    </w:p>
    <w:p>
      <w:r>
        <w:rPr>
          <w:b w:val="0"/>
        </w:rPr>
        <w:t>Refractory shock that persists despite standard fluid resuscitation and vasoactive therapy in pediatric intensive care units is a major cause of morbidity and mortality in pediatric critical care. Pediatric data and standardized dosing protocols for methylene blue (MB), which may be used as rescue therapy in these challenging clinical situations, remain limited.</w:t>
      </w:r>
    </w:p>
    <w:p>
      <w:r>
        <w:rPr>
          <w:b w:val="0"/>
        </w:rPr>
        <w:t>This study aims to provide up-to-date national data by evaluating the clinical experience, practice patterns, dosing preferences, and access to methylene blue among physicians working in pediatric intensive care units (PICUs) across Türkiye.</w:t>
      </w:r>
    </w:p>
    <w:p>
      <w:r>
        <w:rPr>
          <w:b/>
        </w:rPr>
        <w:t>Survey Information</w:t>
      </w:r>
    </w:p>
    <w:p>
      <w:pPr>
        <w:ind w:left="288"/>
      </w:pPr>
      <w:r>
        <w:t>• Target population: Pediatric intensive care specialists and pediatric intensive care fellows.</w:t>
      </w:r>
    </w:p>
    <w:p>
      <w:pPr>
        <w:ind w:left="288"/>
      </w:pPr>
      <w:r>
        <w:t>• Estimated completion time: 5-10 minutes.</w:t>
      </w:r>
    </w:p>
    <w:p>
      <w:pPr>
        <w:ind w:left="288"/>
      </w:pPr>
      <w:r>
        <w:t>• Confidentiality: The survey does not request institutional names or other directly identifying information. Data are collected anonymously and will be used solely for scientific analysis and publication.</w:t>
      </w:r>
    </w:p>
    <w:p>
      <w:pPr>
        <w:ind w:left="288"/>
      </w:pPr>
      <w:r>
        <w:t>• Ethical approval: The study was conducted with the approval of the Selçuk University Faculty of Medicine Local Ethics Committee.</w:t>
      </w:r>
    </w:p>
    <w:p>
      <w:r>
        <w:t>Your clinical experience and contribution are valuable for identifying current approaches to refractory shock management in pediatric intensive care. Thank you for your time and support.</w:t>
      </w:r>
    </w:p>
    <w:p>
      <w:r>
        <w:rPr>
          <w:b/>
        </w:rPr>
        <w:t>Research Team</w:t>
      </w:r>
    </w:p>
    <w:p>
      <w:r>
        <w:t>Dr. Hasan ÖZEN</w:t>
      </w:r>
    </w:p>
    <w:p>
      <w:r>
        <w:t>Dr. Doğukan Mustafa KESKİN</w:t>
      </w:r>
    </w:p>
    <w:p>
      <w:r>
        <w:t>Dr. Betül GENÇ</w:t>
      </w:r>
    </w:p>
    <w:p>
      <w:r>
        <w:t>Prof. Dr. Resul YILMAZ</w:t>
      </w:r>
    </w:p>
    <w:p>
      <w:r>
        <w:t>Note: □ indicates a selectable response option. Where stated, more than one option could be selected in the original survey.</w:t>
      </w:r>
    </w:p>
    <w:p>
      <w:pPr>
        <w:spacing w:before="160" w:after="60"/>
      </w:pPr>
      <w:r>
        <w:rPr>
          <w:b/>
        </w:rPr>
        <w:t>1. Do you agree to participate in the study?</w:t>
      </w:r>
    </w:p>
    <w:p>
      <w:pPr>
        <w:spacing w:after="30"/>
        <w:ind w:left="317" w:hanging="29"/>
      </w:pPr>
      <w:r>
        <w:t>□  Yes</w:t>
      </w:r>
    </w:p>
    <w:p>
      <w:pPr>
        <w:spacing w:before="160" w:after="60"/>
      </w:pPr>
      <w:r>
        <w:rPr>
          <w:b/>
        </w:rPr>
        <w:t>2. What is your professional title?</w:t>
      </w:r>
    </w:p>
    <w:p>
      <w:pPr>
        <w:spacing w:after="30"/>
        <w:ind w:left="317" w:hanging="29"/>
      </w:pPr>
      <w:r>
        <w:t>□  Faculty Member (Professor / Associate Professor / Assistant Professor)</w:t>
      </w:r>
    </w:p>
    <w:p>
      <w:pPr>
        <w:spacing w:after="30"/>
        <w:ind w:left="317" w:hanging="29"/>
      </w:pPr>
      <w:r>
        <w:t>□  Pediatric Intensive Care Specialist</w:t>
      </w:r>
    </w:p>
    <w:p>
      <w:pPr>
        <w:spacing w:after="30"/>
        <w:ind w:left="317" w:hanging="29"/>
      </w:pPr>
      <w:r>
        <w:t>□  Pediatric Intensive Care Fellow</w:t>
      </w:r>
    </w:p>
    <w:p>
      <w:pPr>
        <w:spacing w:before="160" w:after="60"/>
      </w:pPr>
      <w:r>
        <w:rPr>
          <w:b/>
        </w:rPr>
        <w:t>3. Which type of institution do you work at?</w:t>
      </w:r>
    </w:p>
    <w:p>
      <w:pPr>
        <w:spacing w:after="30"/>
        <w:ind w:left="317" w:hanging="29"/>
      </w:pPr>
      <w:r>
        <w:t>□  University Hospital</w:t>
      </w:r>
    </w:p>
    <w:p>
      <w:pPr>
        <w:spacing w:after="30"/>
        <w:ind w:left="317" w:hanging="29"/>
      </w:pPr>
      <w:r>
        <w:t>□  Training and Research Hospital / City Hospital</w:t>
      </w:r>
    </w:p>
    <w:p>
      <w:pPr>
        <w:spacing w:after="30"/>
        <w:ind w:left="317" w:hanging="29"/>
      </w:pPr>
      <w:r>
        <w:t>□  State Hospital</w:t>
      </w:r>
    </w:p>
    <w:p>
      <w:pPr>
        <w:spacing w:after="30"/>
        <w:ind w:left="317" w:hanging="29"/>
      </w:pPr>
      <w:r>
        <w:t>□  Private Hospital / Foundation Hospital</w:t>
      </w:r>
    </w:p>
    <w:p>
      <w:pPr>
        <w:spacing w:before="160" w:after="60"/>
      </w:pPr>
      <w:r>
        <w:rPr>
          <w:b/>
        </w:rPr>
        <w:t>4. What is the total number of registered pediatric intensive care beds in your unit?</w:t>
      </w:r>
    </w:p>
    <w:p>
      <w:pPr>
        <w:spacing w:after="30"/>
        <w:ind w:left="317" w:hanging="29"/>
      </w:pPr>
      <w:r>
        <w:t>□  0-5 beds</w:t>
      </w:r>
    </w:p>
    <w:p>
      <w:pPr>
        <w:spacing w:after="30"/>
        <w:ind w:left="317" w:hanging="29"/>
      </w:pPr>
      <w:r>
        <w:t>□  6-10 beds</w:t>
      </w:r>
    </w:p>
    <w:p>
      <w:pPr>
        <w:spacing w:after="30"/>
        <w:ind w:left="317" w:hanging="29"/>
      </w:pPr>
      <w:r>
        <w:t>□  11-20 beds</w:t>
      </w:r>
    </w:p>
    <w:p>
      <w:pPr>
        <w:spacing w:after="30"/>
        <w:ind w:left="317" w:hanging="29"/>
      </w:pPr>
      <w:r>
        <w:t>□  20 beds or more</w:t>
      </w:r>
    </w:p>
    <w:p>
      <w:pPr>
        <w:spacing w:before="160" w:after="60"/>
      </w:pPr>
      <w:r>
        <w:rPr>
          <w:b/>
        </w:rPr>
        <w:t>5. How many years of experience do you have in pediatric intensive care?</w:t>
      </w:r>
    </w:p>
    <w:p>
      <w:pPr>
        <w:spacing w:after="30"/>
        <w:ind w:left="317" w:hanging="29"/>
      </w:pPr>
      <w:r>
        <w:t>□  0-5 years</w:t>
      </w:r>
    </w:p>
    <w:p>
      <w:pPr>
        <w:spacing w:after="30"/>
        <w:ind w:left="317" w:hanging="29"/>
      </w:pPr>
      <w:r>
        <w:t>□  5-10 years</w:t>
      </w:r>
    </w:p>
    <w:p>
      <w:pPr>
        <w:spacing w:after="30"/>
        <w:ind w:left="317" w:hanging="29"/>
      </w:pPr>
      <w:r>
        <w:t>□  10-15 years</w:t>
      </w:r>
    </w:p>
    <w:p>
      <w:pPr>
        <w:spacing w:after="30"/>
        <w:ind w:left="317" w:hanging="29"/>
      </w:pPr>
      <w:r>
        <w:t>□  More than 15 years</w:t>
      </w:r>
    </w:p>
    <w:p>
      <w:pPr>
        <w:spacing w:before="160" w:after="60"/>
      </w:pPr>
      <w:r>
        <w:rPr>
          <w:b/>
        </w:rPr>
        <w:t>6. Have you ever used methylene blue (MB) for the treatment of refractory shock?</w:t>
      </w:r>
    </w:p>
    <w:p>
      <w:pPr>
        <w:spacing w:after="30"/>
        <w:ind w:left="317" w:hanging="29"/>
      </w:pPr>
      <w:r>
        <w:t>□  Yes</w:t>
      </w:r>
    </w:p>
    <w:p>
      <w:pPr>
        <w:spacing w:after="30"/>
        <w:ind w:left="317" w:hanging="29"/>
      </w:pPr>
      <w:r>
        <w:t>□  No</w:t>
      </w:r>
    </w:p>
    <w:p>
      <w:pPr>
        <w:spacing w:before="160" w:after="60"/>
      </w:pPr>
      <w:r>
        <w:rPr>
          <w:b/>
        </w:rPr>
        <w:t>7. If yes, in which clinical scenarios have you used MB? (Multiple selections permitted)</w:t>
      </w:r>
    </w:p>
    <w:p>
      <w:pPr>
        <w:spacing w:after="30"/>
        <w:ind w:left="317" w:hanging="29"/>
      </w:pPr>
      <w:r>
        <w:t>□  Catecholamine-resistant septic shock</w:t>
      </w:r>
    </w:p>
    <w:p>
      <w:pPr>
        <w:spacing w:after="30"/>
        <w:ind w:left="317" w:hanging="29"/>
      </w:pPr>
      <w:r>
        <w:t>□  Vasoplegic shock after cardiopulmonary bypass</w:t>
      </w:r>
    </w:p>
    <w:p>
      <w:pPr>
        <w:spacing w:after="30"/>
        <w:ind w:left="317" w:hanging="29"/>
      </w:pPr>
      <w:r>
        <w:t>□  Shock due to heart failure</w:t>
      </w:r>
    </w:p>
    <w:p>
      <w:pPr>
        <w:spacing w:after="30"/>
        <w:ind w:left="317" w:hanging="29"/>
      </w:pPr>
      <w:r>
        <w:t>□  Drug overdose / toxicity</w:t>
      </w:r>
    </w:p>
    <w:p>
      <w:pPr>
        <w:spacing w:after="30"/>
        <w:ind w:left="317" w:hanging="29"/>
      </w:pPr>
      <w:r>
        <w:t>□  Anaphylactic shock</w:t>
      </w:r>
    </w:p>
    <w:p>
      <w:pPr>
        <w:spacing w:after="30"/>
        <w:ind w:left="317" w:hanging="29"/>
      </w:pPr>
      <w:r>
        <w:t>□  Shock after liver or kidney transplantation</w:t>
      </w:r>
    </w:p>
    <w:p>
      <w:pPr>
        <w:spacing w:before="160" w:after="60"/>
      </w:pPr>
      <w:r>
        <w:rPr>
          <w:b/>
        </w:rPr>
        <w:t>8. Do you experience any difficulties accessing MB at your institution (e.g., pharmacy stock or procurement processes)?</w:t>
      </w:r>
    </w:p>
    <w:p>
      <w:pPr>
        <w:spacing w:after="30"/>
        <w:ind w:left="317" w:hanging="29"/>
      </w:pPr>
      <w:r>
        <w:t>□  MB is not available at our institution.</w:t>
      </w:r>
    </w:p>
    <w:p>
      <w:pPr>
        <w:spacing w:after="30"/>
        <w:ind w:left="317" w:hanging="29"/>
      </w:pPr>
      <w:r>
        <w:t>□  MB is not routinely available, but it can be obtained on a patient-by-patient basis upon request.</w:t>
      </w:r>
    </w:p>
    <w:p>
      <w:pPr>
        <w:spacing w:after="30"/>
        <w:ind w:left="317" w:hanging="29"/>
      </w:pPr>
      <w:r>
        <w:t>□  MB is stocked, but access may be limited or delayed because of approval processes or pharmacy procedures.</w:t>
      </w:r>
    </w:p>
    <w:p>
      <w:pPr>
        <w:spacing w:after="30"/>
        <w:ind w:left="317" w:hanging="29"/>
      </w:pPr>
      <w:r>
        <w:t>□  MB is continuously available in the hospital pharmacy and can be obtained immediately when needed.</w:t>
      </w:r>
    </w:p>
    <w:p>
      <w:pPr>
        <w:spacing w:before="160" w:after="60"/>
      </w:pPr>
      <w:r>
        <w:rPr>
          <w:b/>
        </w:rPr>
        <w:t>9. Have you experienced difficulty determining the appropriate pediatric dose of MB?</w:t>
      </w:r>
    </w:p>
    <w:p>
      <w:pPr>
        <w:spacing w:after="30"/>
        <w:ind w:left="317" w:hanging="29"/>
      </w:pPr>
      <w:r>
        <w:t>□  Yes</w:t>
      </w:r>
    </w:p>
    <w:p>
      <w:pPr>
        <w:spacing w:after="30"/>
        <w:ind w:left="317" w:hanging="29"/>
      </w:pPr>
      <w:r>
        <w:t>□  No</w:t>
      </w:r>
    </w:p>
    <w:p>
      <w:pPr>
        <w:spacing w:before="160" w:after="60"/>
      </w:pPr>
      <w:r>
        <w:rPr>
          <w:b/>
        </w:rPr>
        <w:t>10. Which administration method do you prefer when using MB?</w:t>
      </w:r>
    </w:p>
    <w:p>
      <w:pPr>
        <w:spacing w:after="30"/>
        <w:ind w:left="317" w:hanging="29"/>
      </w:pPr>
      <w:r>
        <w:t>□  I administer only a loading (bolus) dose.</w:t>
      </w:r>
    </w:p>
    <w:p>
      <w:pPr>
        <w:spacing w:after="30"/>
        <w:ind w:left="317" w:hanging="29"/>
      </w:pPr>
      <w:r>
        <w:t>□  I administer only a continuous infusion.</w:t>
      </w:r>
    </w:p>
    <w:p>
      <w:pPr>
        <w:spacing w:after="30"/>
        <w:ind w:left="317" w:hanging="29"/>
      </w:pPr>
      <w:r>
        <w:t>□  I administer a bolus dose followed by a continuous infusion.</w:t>
      </w:r>
    </w:p>
    <w:p>
      <w:pPr>
        <w:spacing w:before="160" w:after="60"/>
      </w:pPr>
      <w:r>
        <w:rPr>
          <w:b/>
        </w:rPr>
        <w:t>11. What is your preferred bolus dose when administering MB?</w:t>
      </w:r>
    </w:p>
    <w:p>
      <w:pPr>
        <w:spacing w:after="30"/>
        <w:ind w:left="317" w:hanging="29"/>
      </w:pPr>
      <w:r>
        <w:t>□  0.5 mg/kg</w:t>
      </w:r>
    </w:p>
    <w:p>
      <w:pPr>
        <w:spacing w:after="30"/>
        <w:ind w:left="317" w:hanging="29"/>
      </w:pPr>
      <w:r>
        <w:t>□  1 mg/kg</w:t>
      </w:r>
    </w:p>
    <w:p>
      <w:pPr>
        <w:spacing w:after="30"/>
        <w:ind w:left="317" w:hanging="29"/>
      </w:pPr>
      <w:r>
        <w:t>□  1.5 mg/kg</w:t>
      </w:r>
    </w:p>
    <w:p>
      <w:pPr>
        <w:spacing w:after="30"/>
        <w:ind w:left="317" w:hanging="29"/>
      </w:pPr>
      <w:r>
        <w:t>□  2 mg/kg</w:t>
      </w:r>
    </w:p>
    <w:p>
      <w:pPr>
        <w:spacing w:after="30"/>
        <w:ind w:left="317" w:hanging="29"/>
      </w:pPr>
      <w:r>
        <w:t>□  Other: ______________________________</w:t>
      </w:r>
    </w:p>
    <w:p>
      <w:pPr>
        <w:spacing w:before="160" w:after="60"/>
      </w:pPr>
      <w:r>
        <w:rPr>
          <w:b/>
        </w:rPr>
        <w:t>12. Do you repeat the bolus dose if the clinical response is inadequate?</w:t>
      </w:r>
    </w:p>
    <w:p>
      <w:pPr>
        <w:spacing w:after="30"/>
        <w:ind w:left="317" w:hanging="29"/>
      </w:pPr>
      <w:r>
        <w:t>□  Yes</w:t>
      </w:r>
    </w:p>
    <w:p>
      <w:pPr>
        <w:spacing w:after="30"/>
        <w:ind w:left="317" w:hanging="29"/>
      </w:pPr>
      <w:r>
        <w:t>□  No</w:t>
      </w:r>
    </w:p>
    <w:p>
      <w:pPr>
        <w:spacing w:before="160" w:after="60"/>
      </w:pPr>
      <w:r>
        <w:rPr>
          <w:b/>
        </w:rPr>
        <w:t>13. What is your preferred continuous infusion rate?</w:t>
      </w:r>
    </w:p>
    <w:p>
      <w:pPr>
        <w:spacing w:after="30"/>
        <w:ind w:left="317" w:hanging="29"/>
      </w:pPr>
      <w:r>
        <w:t>□  None</w:t>
      </w:r>
    </w:p>
    <w:p>
      <w:pPr>
        <w:spacing w:after="30"/>
        <w:ind w:left="317" w:hanging="29"/>
      </w:pPr>
      <w:r>
        <w:t>□  0.25 mg/kg/hour</w:t>
      </w:r>
    </w:p>
    <w:p>
      <w:pPr>
        <w:spacing w:after="30"/>
        <w:ind w:left="317" w:hanging="29"/>
      </w:pPr>
      <w:r>
        <w:t>□  0.5 mg/kg/hour</w:t>
      </w:r>
    </w:p>
    <w:p>
      <w:pPr>
        <w:spacing w:after="30"/>
        <w:ind w:left="317" w:hanging="29"/>
      </w:pPr>
      <w:r>
        <w:t>□  1 mg/kg/hour</w:t>
      </w:r>
    </w:p>
    <w:p>
      <w:pPr>
        <w:spacing w:after="30"/>
        <w:ind w:left="317" w:hanging="29"/>
      </w:pPr>
      <w:r>
        <w:t>□  1.5 mg/kg/hour</w:t>
      </w:r>
    </w:p>
    <w:p>
      <w:pPr>
        <w:spacing w:after="30"/>
        <w:ind w:left="317" w:hanging="29"/>
      </w:pPr>
      <w:r>
        <w:t>□  2 mg/kg/hour</w:t>
      </w:r>
    </w:p>
    <w:p>
      <w:pPr>
        <w:spacing w:after="30"/>
        <w:ind w:left="317" w:hanging="29"/>
      </w:pPr>
      <w:r>
        <w:t>□  Other: ______________________________</w:t>
      </w:r>
    </w:p>
    <w:p>
      <w:pPr>
        <w:spacing w:before="160" w:after="60"/>
      </w:pPr>
      <w:r>
        <w:rPr>
          <w:b/>
        </w:rPr>
        <w:t>14. Do you increase the continuous infusion rate if the clinical response is inadequate?</w:t>
      </w:r>
    </w:p>
    <w:p>
      <w:pPr>
        <w:spacing w:after="30"/>
        <w:ind w:left="317" w:hanging="29"/>
      </w:pPr>
      <w:r>
        <w:t>□  Yes, I gradually increase the infusion rate up to a predetermined dose.</w:t>
      </w:r>
    </w:p>
    <w:p>
      <w:pPr>
        <w:spacing w:after="30"/>
        <w:ind w:left="317" w:hanging="29"/>
      </w:pPr>
      <w:r>
        <w:t>□  No, I continue at the initially selected constant infusion rate.</w:t>
      </w:r>
    </w:p>
    <w:p>
      <w:pPr>
        <w:spacing w:after="30"/>
        <w:ind w:left="317" w:hanging="29"/>
      </w:pPr>
      <w:r>
        <w:t>□  I increase the infusion rate only once if there is no response after a specified period (e.g., 1-2 hours).</w:t>
      </w:r>
    </w:p>
    <w:p>
      <w:pPr>
        <w:spacing w:after="30"/>
        <w:ind w:left="317" w:hanging="29"/>
      </w:pPr>
      <w:r>
        <w:t>□  If there is no clinical response, I discontinue treatment rather than increasing the infusion rate.</w:t>
      </w:r>
    </w:p>
    <w:p>
      <w:pPr>
        <w:spacing w:after="30"/>
        <w:ind w:left="317" w:hanging="29"/>
      </w:pPr>
      <w:r>
        <w:t>□  Other: ______________________________</w:t>
      </w:r>
    </w:p>
    <w:p>
      <w:pPr>
        <w:spacing w:before="160" w:after="60"/>
      </w:pPr>
      <w:r>
        <w:rPr>
          <w:b/>
        </w:rPr>
        <w:t>15. How long do you continue MB treatment?</w:t>
      </w:r>
    </w:p>
    <w:p>
      <w:pPr>
        <w:spacing w:after="30"/>
        <w:ind w:left="317" w:hanging="29"/>
      </w:pPr>
      <w:r>
        <w:t>□  A single dose only.</w:t>
      </w:r>
    </w:p>
    <w:p>
      <w:pPr>
        <w:spacing w:after="30"/>
        <w:ind w:left="317" w:hanging="29"/>
      </w:pPr>
      <w:r>
        <w:t>□  Until hemodynamic stability is achieved (usually 6-24 hours).</w:t>
      </w:r>
    </w:p>
    <w:p>
      <w:pPr>
        <w:spacing w:after="30"/>
        <w:ind w:left="317" w:hanging="29"/>
      </w:pPr>
      <w:r>
        <w:t>□  Until vasoactive requirements are reduced by 50%.</w:t>
      </w:r>
    </w:p>
    <w:p>
      <w:pPr>
        <w:spacing w:after="30"/>
        <w:ind w:left="317" w:hanging="29"/>
      </w:pPr>
      <w:r>
        <w:t>□  There is no predefined duration; treatment duration depends on clinical judgment.</w:t>
      </w:r>
    </w:p>
    <w:p>
      <w:pPr>
        <w:spacing w:after="30"/>
        <w:ind w:left="317" w:hanging="29"/>
      </w:pPr>
      <w:r>
        <w:t>□  Other: ______________________________</w:t>
      </w:r>
    </w:p>
    <w:p>
      <w:pPr>
        <w:spacing w:before="160" w:after="60"/>
      </w:pPr>
      <w:r>
        <w:rPr>
          <w:b/>
        </w:rPr>
        <w:t>16. Do you use the Vasoactive-Inotropic Score (VIS) when deciding to initiate MB?</w:t>
      </w:r>
    </w:p>
    <w:p>
      <w:pPr>
        <w:spacing w:after="30"/>
        <w:ind w:left="317" w:hanging="29"/>
      </w:pPr>
      <w:r>
        <w:t>□  Yes</w:t>
      </w:r>
    </w:p>
    <w:p>
      <w:pPr>
        <w:spacing w:after="30"/>
        <w:ind w:left="317" w:hanging="29"/>
      </w:pPr>
      <w:r>
        <w:t>□  No</w:t>
      </w:r>
    </w:p>
    <w:p>
      <w:pPr>
        <w:spacing w:before="160" w:after="60"/>
      </w:pPr>
      <w:r>
        <w:rPr>
          <w:b/>
        </w:rPr>
        <w:t>17. If yes, what is your usual VIS threshold for initiating MB?</w:t>
      </w:r>
    </w:p>
    <w:p>
      <w:pPr>
        <w:spacing w:after="30"/>
        <w:ind w:left="317" w:hanging="29"/>
      </w:pPr>
      <w:r>
        <w:t>□  VIS &gt; 20</w:t>
      </w:r>
    </w:p>
    <w:p>
      <w:pPr>
        <w:spacing w:after="30"/>
        <w:ind w:left="317" w:hanging="29"/>
      </w:pPr>
      <w:r>
        <w:t>□  VIS &gt; 40</w:t>
      </w:r>
    </w:p>
    <w:p>
      <w:pPr>
        <w:spacing w:after="30"/>
        <w:ind w:left="317" w:hanging="29"/>
      </w:pPr>
      <w:r>
        <w:t>□  VIS &gt; 60</w:t>
      </w:r>
    </w:p>
    <w:p>
      <w:pPr>
        <w:spacing w:after="30"/>
        <w:ind w:left="317" w:hanging="29"/>
      </w:pPr>
      <w:r>
        <w:t>□  I make the decision based on the clinical course rather than a specific VIS threshold.</w:t>
      </w:r>
    </w:p>
    <w:p>
      <w:pPr>
        <w:spacing w:before="160" w:after="60"/>
      </w:pPr>
      <w:r>
        <w:rPr>
          <w:b/>
        </w:rPr>
        <w:t>18. Do you inquire about or screen for glucose-6-phosphate dehydrogenase (G6PD) deficiency before initiating MB?</w:t>
      </w:r>
    </w:p>
    <w:p>
      <w:pPr>
        <w:spacing w:after="30"/>
        <w:ind w:left="317" w:hanging="29"/>
      </w:pPr>
      <w:r>
        <w:t>□  Yes</w:t>
      </w:r>
    </w:p>
    <w:p>
      <w:pPr>
        <w:spacing w:after="30"/>
        <w:ind w:left="317" w:hanging="29"/>
      </w:pPr>
      <w:r>
        <w:t>□  No</w:t>
      </w:r>
    </w:p>
    <w:p>
      <w:pPr>
        <w:spacing w:after="30"/>
        <w:ind w:left="317" w:hanging="29"/>
      </w:pPr>
      <w:r>
        <w:t>□  Only in patients with a suggestive history or risk factors.</w:t>
      </w:r>
    </w:p>
    <w:p>
      <w:pPr>
        <w:spacing w:before="160" w:after="60"/>
      </w:pPr>
      <w:r>
        <w:rPr>
          <w:b/>
        </w:rPr>
        <w:t>19. Before initiating MB, do you assess the patient's ventricular function using echocardiography/POCUS?</w:t>
      </w:r>
    </w:p>
    <w:p>
      <w:pPr>
        <w:spacing w:after="30"/>
        <w:ind w:left="317" w:hanging="29"/>
      </w:pPr>
      <w:r>
        <w:t>□  Yes</w:t>
      </w:r>
    </w:p>
    <w:p>
      <w:pPr>
        <w:spacing w:after="30"/>
        <w:ind w:left="317" w:hanging="29"/>
      </w:pPr>
      <w:r>
        <w:t>□  Sometimes</w:t>
      </w:r>
    </w:p>
    <w:p>
      <w:pPr>
        <w:spacing w:after="30"/>
        <w:ind w:left="317" w:hanging="29"/>
      </w:pPr>
      <w:r>
        <w:t>□  No; invasive hemodynamic monitoring is sufficient.</w:t>
      </w:r>
    </w:p>
    <w:p>
      <w:pPr>
        <w:spacing w:before="160" w:after="60"/>
      </w:pPr>
      <w:r>
        <w:rPr>
          <w:b/>
        </w:rPr>
        <w:t>20. After how many vasoactive/inotropic agents would you typically consider initiating MB?</w:t>
      </w:r>
    </w:p>
    <w:p>
      <w:pPr>
        <w:spacing w:after="30"/>
        <w:ind w:left="317" w:hanging="29"/>
      </w:pPr>
      <w:r>
        <w:t>□  After the second vasoactive/inotropic agent</w:t>
      </w:r>
    </w:p>
    <w:p>
      <w:pPr>
        <w:spacing w:after="30"/>
        <w:ind w:left="317" w:hanging="29"/>
      </w:pPr>
      <w:r>
        <w:t>□  After the third vasoactive/inotropic agent</w:t>
      </w:r>
    </w:p>
    <w:p>
      <w:pPr>
        <w:spacing w:after="30"/>
        <w:ind w:left="317" w:hanging="29"/>
      </w:pPr>
      <w:r>
        <w:t>□  After four or more vasoactive/inotropic agents</w:t>
      </w:r>
    </w:p>
    <w:p>
      <w:pPr>
        <w:spacing w:after="30"/>
        <w:ind w:left="317" w:hanging="29"/>
      </w:pPr>
      <w:r>
        <w:t>□  Regardless of the number of agents</w:t>
      </w:r>
    </w:p>
    <w:p>
      <w:pPr>
        <w:spacing w:after="30"/>
        <w:ind w:left="317" w:hanging="29"/>
      </w:pPr>
      <w:r>
        <w:t>□  Only as a last-resort therapy before ECMO</w:t>
      </w:r>
    </w:p>
    <w:p>
      <w:pPr>
        <w:spacing w:before="160" w:after="60"/>
      </w:pPr>
      <w:r>
        <w:rPr>
          <w:b/>
        </w:rPr>
        <w:t>21. Which method do you prefer when discontinuing MB treatment?</w:t>
      </w:r>
    </w:p>
    <w:p>
      <w:pPr>
        <w:spacing w:after="30"/>
        <w:ind w:left="317" w:hanging="29"/>
      </w:pPr>
      <w:r>
        <w:t>□  I administer only a single bolus dose; therefore, no active discontinuation process is required.</w:t>
      </w:r>
    </w:p>
    <w:p>
      <w:pPr>
        <w:spacing w:after="30"/>
        <w:ind w:left="317" w:hanging="29"/>
      </w:pPr>
      <w:r>
        <w:t>□  By gradually tapering the dose.</w:t>
      </w:r>
    </w:p>
    <w:p>
      <w:pPr>
        <w:spacing w:after="30"/>
        <w:ind w:left="317" w:hanging="29"/>
      </w:pPr>
      <w:r>
        <w:t>□  By discontinuing it abruptly.</w:t>
      </w:r>
    </w:p>
    <w:p>
      <w:pPr>
        <w:spacing w:after="30"/>
        <w:ind w:left="317" w:hanging="29"/>
      </w:pPr>
      <w:r>
        <w:t>□  Other: ______________________________</w:t>
      </w:r>
    </w:p>
    <w:p>
      <w:pPr>
        <w:spacing w:before="160" w:after="60"/>
      </w:pPr>
      <w:r>
        <w:rPr>
          <w:b/>
        </w:rPr>
        <w:t>22. Overall, how would you describe your clinical experience with MB?</w:t>
      </w:r>
    </w:p>
    <w:p>
      <w:pPr>
        <w:spacing w:after="30"/>
        <w:ind w:left="317" w:hanging="29"/>
      </w:pPr>
      <w:r>
        <w:t>□  Significant and sustained clinical improvement</w:t>
      </w:r>
    </w:p>
    <w:p>
      <w:pPr>
        <w:spacing w:after="30"/>
        <w:ind w:left="317" w:hanging="29"/>
      </w:pPr>
      <w:r>
        <w:t>□  Temporary hemodynamic improvement</w:t>
      </w:r>
    </w:p>
    <w:p>
      <w:pPr>
        <w:spacing w:after="30"/>
        <w:ind w:left="317" w:hanging="29"/>
      </w:pPr>
      <w:r>
        <w:t>□  No significant clinical improvement</w:t>
      </w:r>
    </w:p>
    <w:p>
      <w:pPr>
        <w:spacing w:after="30"/>
        <w:ind w:left="317" w:hanging="29"/>
      </w:pPr>
      <w:r>
        <w:t>□  Uncertain</w:t>
      </w:r>
    </w:p>
    <w:p>
      <w:pPr>
        <w:spacing w:before="160" w:after="60"/>
      </w:pPr>
      <w:r>
        <w:rPr>
          <w:b/>
        </w:rPr>
        <w:t>23. Which adverse effects have you observed?</w:t>
      </w:r>
    </w:p>
    <w:p>
      <w:pPr>
        <w:spacing w:after="30"/>
        <w:ind w:left="317" w:hanging="29"/>
      </w:pPr>
      <w:r>
        <w:t>□  Blue-green discoloration of urine</w:t>
      </w:r>
    </w:p>
    <w:p>
      <w:pPr>
        <w:spacing w:after="30"/>
        <w:ind w:left="317" w:hanging="29"/>
      </w:pPr>
      <w:r>
        <w:t>□  Blue discoloration of the patient/skin</w:t>
      </w:r>
    </w:p>
    <w:p>
      <w:pPr>
        <w:spacing w:after="30"/>
        <w:ind w:left="317" w:hanging="29"/>
      </w:pPr>
      <w:r>
        <w:t>□  Pseudo-desaturation (falsely low pulse oximetry reading)</w:t>
      </w:r>
    </w:p>
    <w:p>
      <w:pPr>
        <w:spacing w:after="30"/>
        <w:ind w:left="317" w:hanging="29"/>
      </w:pPr>
      <w:r>
        <w:t>□  Serotonin syndrome</w:t>
      </w:r>
    </w:p>
    <w:p>
      <w:pPr>
        <w:spacing w:after="30"/>
        <w:ind w:left="317" w:hanging="29"/>
      </w:pPr>
      <w:r>
        <w:t>□  Hemolytic anemia / hyperbilirubinemia</w:t>
      </w:r>
    </w:p>
    <w:p>
      <w:pPr>
        <w:spacing w:after="30"/>
        <w:ind w:left="317" w:hanging="29"/>
      </w:pPr>
      <w:r>
        <w:t>□  Anaphylaxis</w:t>
      </w:r>
    </w:p>
    <w:p>
      <w:pPr>
        <w:spacing w:after="30"/>
        <w:ind w:left="317" w:hanging="29"/>
      </w:pPr>
      <w:r>
        <w:t>□  I have not observed any adverse effects.</w:t>
      </w:r>
    </w:p>
    <w:p>
      <w:pPr>
        <w:spacing w:before="160" w:after="60"/>
      </w:pPr>
      <w:r>
        <w:rPr>
          <w:b/>
        </w:rPr>
        <w:t>24. What are your main clinical concerns or limitations when considering or using MB? (Multiple selections permitted)</w:t>
      </w:r>
    </w:p>
    <w:p>
      <w:pPr>
        <w:spacing w:after="30"/>
        <w:ind w:left="317" w:hanging="29"/>
      </w:pPr>
      <w:r>
        <w:t>□  I have difficulty determining the appropriate dose because there is no evidence-based standardized dosing regimen for the pediatric population.</w:t>
      </w:r>
    </w:p>
    <w:p>
      <w:pPr>
        <w:spacing w:after="30"/>
        <w:ind w:left="317" w:hanging="29"/>
      </w:pPr>
      <w:r>
        <w:t>□  I am concerned that the misleading decrease in oxygen saturation displayed by pulse oximetry may make accurate clinical monitoring more difficult.</w:t>
      </w:r>
    </w:p>
    <w:p>
      <w:pPr>
        <w:spacing w:after="30"/>
        <w:ind w:left="317" w:hanging="29"/>
      </w:pPr>
      <w:r>
        <w:t>□  I am concerned about potentially serious adverse effects, particularly serotonin syndrome and complications in patients with G6PD deficiency.</w:t>
      </w:r>
    </w:p>
    <w:p>
      <w:pPr>
        <w:spacing w:after="30"/>
        <w:ind w:left="317" w:hanging="29"/>
      </w:pPr>
      <w:r>
        <w:t>□  The limited pediatric evidence in the literature, largely consisting of case reports and small studies, reduces my confidence in using MB.</w:t>
      </w:r>
    </w:p>
    <w:p>
      <w:pPr>
        <w:spacing w:after="30"/>
        <w:ind w:left="317" w:hanging="29"/>
      </w:pPr>
      <w:r>
        <w:t>□  Other: ______________________________</w:t>
      </w:r>
    </w:p>
    <w:p>
      <w:pPr>
        <w:spacing w:before="160" w:after="60"/>
      </w:pPr>
      <w:r>
        <w:rPr>
          <w:b/>
        </w:rPr>
        <w:t>25. If you do not use MB, what is the main reason for your reluctance?</w:t>
      </w:r>
    </w:p>
    <w:p>
      <w:pPr>
        <w:spacing w:after="30"/>
        <w:ind w:left="317" w:hanging="29"/>
      </w:pPr>
      <w:r>
        <w:t>□  Lack of pediatric evidence in the literature</w:t>
      </w:r>
    </w:p>
    <w:p>
      <w:pPr>
        <w:spacing w:after="30"/>
        <w:ind w:left="317" w:hanging="29"/>
      </w:pPr>
      <w:r>
        <w:t>□  Uncertainty regarding dosing</w:t>
      </w:r>
    </w:p>
    <w:p>
      <w:pPr>
        <w:spacing w:after="30"/>
        <w:ind w:left="317" w:hanging="29"/>
      </w:pPr>
      <w:r>
        <w:t>□  Lack of drug approval / off-label indication</w:t>
      </w:r>
    </w:p>
    <w:p>
      <w:pPr>
        <w:spacing w:after="30"/>
        <w:ind w:left="317" w:hanging="29"/>
      </w:pPr>
      <w:r>
        <w:t>□  Lack of familiarity or clinical experience</w:t>
      </w:r>
    </w:p>
    <w:p>
      <w:pPr>
        <w:spacing w:after="30"/>
        <w:ind w:left="317" w:hanging="29"/>
      </w:pPr>
      <w:r>
        <w:t>□  MB is unavailable or difficult to access at my institution</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Supplementary Material 1 - Methylene Blue Survey Questionnaire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