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1BC18DA" w14:textId="77777777" w:rsidR="00B81EDE" w:rsidRDefault="00B81EDE" w:rsidP="00B81EDE">
      <w:pPr>
        <w:spacing w:line="480" w:lineRule="auto"/>
        <w:jc w:val="center"/>
        <w:rPr>
          <w:rFonts w:ascii="Times New Roman" w:hAnsi="Times New Roman" w:cs="Times New Roman"/>
          <w:b/>
          <w:bCs/>
        </w:rPr>
      </w:pPr>
      <w:r w:rsidRPr="00E26AD0">
        <w:rPr>
          <w:rFonts w:ascii="Times New Roman" w:hAnsi="Times New Roman" w:cs="Times New Roman"/>
          <w:b/>
          <w:bCs/>
        </w:rPr>
        <w:t xml:space="preserve">Epigenome-wide </w:t>
      </w:r>
      <w:r>
        <w:rPr>
          <w:rFonts w:ascii="Times New Roman" w:hAnsi="Times New Roman" w:cs="Times New Roman"/>
          <w:b/>
          <w:bCs/>
        </w:rPr>
        <w:t xml:space="preserve">DNA methylation signatures associated with </w:t>
      </w:r>
      <w:r w:rsidRPr="00E26AD0">
        <w:rPr>
          <w:rFonts w:ascii="Times New Roman" w:hAnsi="Times New Roman" w:cs="Times New Roman"/>
          <w:b/>
          <w:bCs/>
        </w:rPr>
        <w:t xml:space="preserve">combined </w:t>
      </w:r>
      <w:r>
        <w:rPr>
          <w:rFonts w:ascii="Times New Roman" w:hAnsi="Times New Roman" w:cs="Times New Roman"/>
          <w:b/>
          <w:bCs/>
        </w:rPr>
        <w:t xml:space="preserve">hormonal </w:t>
      </w:r>
      <w:r w:rsidRPr="00E26AD0">
        <w:rPr>
          <w:rFonts w:ascii="Times New Roman" w:hAnsi="Times New Roman" w:cs="Times New Roman"/>
          <w:b/>
          <w:bCs/>
        </w:rPr>
        <w:t>contraceptive use</w:t>
      </w:r>
    </w:p>
    <w:p w14:paraId="081247D4" w14:textId="77777777" w:rsidR="00B81EDE" w:rsidRPr="00E26AD0" w:rsidRDefault="00B81EDE" w:rsidP="00B81EDE">
      <w:pPr>
        <w:spacing w:line="480" w:lineRule="auto"/>
        <w:rPr>
          <w:rFonts w:ascii="Times New Roman" w:hAnsi="Times New Roman" w:cs="Times New Roman"/>
        </w:rPr>
      </w:pPr>
    </w:p>
    <w:p w14:paraId="405A4152" w14:textId="1E89C3A1" w:rsidR="00B81EDE" w:rsidRPr="00B81EDE" w:rsidRDefault="00B81EDE" w:rsidP="00B81EDE">
      <w:pPr>
        <w:spacing w:line="480" w:lineRule="auto"/>
        <w:rPr>
          <w:rFonts w:ascii="Times New Roman" w:hAnsi="Times New Roman" w:cs="Times New Roman"/>
          <w:vertAlign w:val="superscript"/>
          <w:lang w:val="de-DE"/>
        </w:rPr>
      </w:pPr>
      <w:r w:rsidRPr="00B81EDE">
        <w:rPr>
          <w:rFonts w:ascii="Times New Roman" w:hAnsi="Times New Roman" w:cs="Times New Roman"/>
          <w:lang w:val="de-DE"/>
        </w:rPr>
        <w:t xml:space="preserve">Mirac Nur Musaoglu, Lea Zillich, Susanne Edelmann, Erika </w:t>
      </w:r>
      <w:proofErr w:type="spellStart"/>
      <w:r w:rsidRPr="00B81EDE">
        <w:rPr>
          <w:rFonts w:ascii="Times New Roman" w:hAnsi="Times New Roman" w:cs="Times New Roman"/>
          <w:lang w:val="de-DE"/>
        </w:rPr>
        <w:t>Comasco</w:t>
      </w:r>
      <w:proofErr w:type="spellEnd"/>
      <w:r w:rsidRPr="00B81EDE">
        <w:rPr>
          <w:rFonts w:ascii="Times New Roman" w:hAnsi="Times New Roman" w:cs="Times New Roman"/>
          <w:lang w:val="de-DE"/>
        </w:rPr>
        <w:t>, Birgit Derntl, Ann-Christin S. Kimmig</w:t>
      </w:r>
      <w:r w:rsidRPr="00B81EDE">
        <w:rPr>
          <w:rFonts w:ascii="Times New Roman" w:hAnsi="Times New Roman" w:cs="Times New Roman"/>
          <w:vertAlign w:val="superscript"/>
          <w:lang w:val="de-DE"/>
        </w:rPr>
        <w:t>*</w:t>
      </w:r>
      <w:r w:rsidRPr="00B81EDE">
        <w:rPr>
          <w:rFonts w:ascii="Times New Roman" w:hAnsi="Times New Roman" w:cs="Times New Roman"/>
          <w:lang w:val="de-DE"/>
        </w:rPr>
        <w:t xml:space="preserve"> and Vanessa </w:t>
      </w:r>
      <w:proofErr w:type="spellStart"/>
      <w:r w:rsidRPr="00B81EDE">
        <w:rPr>
          <w:rFonts w:ascii="Times New Roman" w:hAnsi="Times New Roman" w:cs="Times New Roman"/>
          <w:lang w:val="de-DE"/>
        </w:rPr>
        <w:t>Nieratschker</w:t>
      </w:r>
      <w:proofErr w:type="spellEnd"/>
      <w:r w:rsidRPr="00B81EDE">
        <w:rPr>
          <w:rFonts w:ascii="Times New Roman" w:hAnsi="Times New Roman" w:cs="Times New Roman"/>
          <w:vertAlign w:val="superscript"/>
          <w:lang w:val="de-DE"/>
        </w:rPr>
        <w:t>*</w:t>
      </w:r>
    </w:p>
    <w:p w14:paraId="76BA19FB" w14:textId="1E3DBF6A" w:rsidR="00B81EDE" w:rsidRPr="00B81EDE" w:rsidRDefault="00B81EDE" w:rsidP="00B81EDE">
      <w:pPr>
        <w:spacing w:line="480" w:lineRule="auto"/>
        <w:rPr>
          <w:rFonts w:ascii="Times New Roman" w:hAnsi="Times New Roman" w:cs="Times New Roman"/>
          <w:b/>
          <w:bCs/>
          <w:lang w:val="de-DE"/>
        </w:rPr>
      </w:pPr>
    </w:p>
    <w:p w14:paraId="5C83A4BF" w14:textId="32BF1279" w:rsidR="00B81EDE" w:rsidRDefault="00B81EDE" w:rsidP="00B81EDE">
      <w:pPr>
        <w:spacing w:line="480" w:lineRule="auto"/>
        <w:rPr>
          <w:rFonts w:ascii="Times New Roman" w:hAnsi="Times New Roman" w:cs="Times New Roman"/>
          <w:b/>
          <w:bCs/>
        </w:rPr>
      </w:pPr>
      <w:r w:rsidRPr="00B81EDE">
        <w:rPr>
          <w:rFonts w:ascii="Times New Roman" w:hAnsi="Times New Roman" w:cs="Times New Roman"/>
          <w:b/>
          <w:bCs/>
        </w:rPr>
        <w:t>Supplementary Figures</w:t>
      </w:r>
    </w:p>
    <w:p w14:paraId="5092249F" w14:textId="77777777" w:rsidR="00B81EDE" w:rsidRDefault="00B81EDE" w:rsidP="00B81EDE">
      <w:pPr>
        <w:spacing w:line="480" w:lineRule="auto"/>
        <w:rPr>
          <w:rFonts w:ascii="Times New Roman" w:hAnsi="Times New Roman" w:cs="Times New Roman"/>
          <w:b/>
          <w:bCs/>
        </w:rPr>
      </w:pPr>
    </w:p>
    <w:p w14:paraId="75DE620B" w14:textId="77777777" w:rsidR="00B81EDE" w:rsidRPr="00B81EDE" w:rsidRDefault="00B81EDE" w:rsidP="00B81EDE">
      <w:pPr>
        <w:spacing w:line="480" w:lineRule="auto"/>
        <w:rPr>
          <w:rFonts w:ascii="Times New Roman" w:hAnsi="Times New Roman" w:cs="Times New Roman"/>
          <w:b/>
          <w:bCs/>
        </w:rPr>
      </w:pPr>
    </w:p>
    <w:p w14:paraId="41542940" w14:textId="77777777" w:rsidR="00B81EDE" w:rsidRDefault="00B81EDE" w:rsidP="00B81EDE">
      <w:pPr>
        <w:spacing w:line="480" w:lineRule="auto"/>
        <w:jc w:val="center"/>
        <w:rPr>
          <w:rFonts w:ascii="Times New Roman" w:hAnsi="Times New Roman" w:cs="Times New Roman"/>
          <w:b/>
          <w:bCs/>
        </w:rPr>
      </w:pPr>
      <w:r>
        <w:rPr>
          <w:rFonts w:ascii="Times New Roman" w:hAnsi="Times New Roman" w:cs="Times New Roman"/>
          <w:b/>
          <w:bCs/>
          <w:noProof/>
        </w:rPr>
        <w:drawing>
          <wp:inline distT="0" distB="0" distL="0" distR="0" wp14:anchorId="5289CB0F" wp14:editId="0B3FD9A4">
            <wp:extent cx="3455581" cy="1974776"/>
            <wp:effectExtent l="0" t="0" r="0" b="0"/>
            <wp:docPr id="10796783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678339" name="Picture 1079678339"/>
                    <pic:cNvPicPr/>
                  </pic:nvPicPr>
                  <pic:blipFill>
                    <a:blip r:embed="rId6" cstate="print">
                      <a:extLst>
                        <a:ext uri="{28A0092B-C50C-407E-A947-70E740481C1C}">
                          <a14:useLocalDpi xmlns:a14="http://schemas.microsoft.com/office/drawing/2010/main" val="0"/>
                        </a:ext>
                      </a:extLst>
                    </a:blip>
                    <a:stretch>
                      <a:fillRect/>
                    </a:stretch>
                  </pic:blipFill>
                  <pic:spPr>
                    <a:xfrm>
                      <a:off x="0" y="0"/>
                      <a:ext cx="3477217" cy="1987141"/>
                    </a:xfrm>
                    <a:prstGeom prst="rect">
                      <a:avLst/>
                    </a:prstGeom>
                  </pic:spPr>
                </pic:pic>
              </a:graphicData>
            </a:graphic>
          </wp:inline>
        </w:drawing>
      </w:r>
    </w:p>
    <w:p w14:paraId="54BF4B60" w14:textId="77777777" w:rsidR="00B81EDE" w:rsidRDefault="00B81EDE" w:rsidP="00B81EDE">
      <w:pPr>
        <w:spacing w:line="480" w:lineRule="auto"/>
        <w:rPr>
          <w:rFonts w:ascii="Times New Roman" w:hAnsi="Times New Roman" w:cs="Times New Roman"/>
          <w:b/>
          <w:bCs/>
        </w:rPr>
      </w:pPr>
      <w:r>
        <w:rPr>
          <w:rFonts w:ascii="Times New Roman" w:hAnsi="Times New Roman" w:cs="Times New Roman"/>
          <w:b/>
          <w:bCs/>
        </w:rPr>
        <w:t xml:space="preserve">Supplementary Figure 1: </w:t>
      </w:r>
      <w:r w:rsidRPr="001B04BD">
        <w:rPr>
          <w:rFonts w:ascii="Times New Roman" w:hAnsi="Times New Roman" w:cs="Times New Roman"/>
          <w:b/>
          <w:bCs/>
        </w:rPr>
        <w:t>Principal component analysis of genome-wide DNA methylation profiles</w:t>
      </w:r>
      <w:r>
        <w:rPr>
          <w:rFonts w:ascii="Times New Roman" w:hAnsi="Times New Roman" w:cs="Times New Roman"/>
          <w:b/>
          <w:bCs/>
        </w:rPr>
        <w:t xml:space="preserve"> compared to ancestry.</w:t>
      </w:r>
    </w:p>
    <w:p w14:paraId="49BB7485" w14:textId="77777777" w:rsidR="00B81EDE" w:rsidRDefault="00B81EDE" w:rsidP="00B81EDE">
      <w:pPr>
        <w:spacing w:line="480" w:lineRule="auto"/>
        <w:rPr>
          <w:rFonts w:ascii="Times New Roman" w:hAnsi="Times New Roman" w:cs="Times New Roman"/>
        </w:rPr>
      </w:pPr>
      <w:r w:rsidRPr="00442567">
        <w:rPr>
          <w:rFonts w:ascii="Times New Roman" w:hAnsi="Times New Roman" w:cs="Times New Roman"/>
        </w:rPr>
        <w:t xml:space="preserve">Scatterplots show the first four principal components (PC1–PC4), calculated from </w:t>
      </w:r>
      <w:r>
        <w:rPr>
          <w:rFonts w:ascii="Times New Roman" w:hAnsi="Times New Roman" w:cs="Times New Roman"/>
        </w:rPr>
        <w:t>the epigenome-wide DNA methylation data</w:t>
      </w:r>
      <w:r w:rsidRPr="00442567">
        <w:rPr>
          <w:rFonts w:ascii="Times New Roman" w:hAnsi="Times New Roman" w:cs="Times New Roman"/>
        </w:rPr>
        <w:t xml:space="preserve">. Samples are colored according to </w:t>
      </w:r>
      <w:r>
        <w:rPr>
          <w:rFonts w:ascii="Times New Roman" w:hAnsi="Times New Roman" w:cs="Times New Roman"/>
        </w:rPr>
        <w:t xml:space="preserve">self-report </w:t>
      </w:r>
      <w:r w:rsidRPr="00442567">
        <w:rPr>
          <w:rFonts w:ascii="Times New Roman" w:hAnsi="Times New Roman" w:cs="Times New Roman"/>
        </w:rPr>
        <w:t>ancestry group (European or mixed</w:t>
      </w:r>
      <w:r>
        <w:rPr>
          <w:rFonts w:ascii="Times New Roman" w:hAnsi="Times New Roman" w:cs="Times New Roman"/>
        </w:rPr>
        <w:t xml:space="preserve"> European</w:t>
      </w:r>
      <w:r w:rsidRPr="00442567">
        <w:rPr>
          <w:rFonts w:ascii="Times New Roman" w:hAnsi="Times New Roman" w:cs="Times New Roman"/>
        </w:rPr>
        <w:t>)</w:t>
      </w:r>
      <w:r>
        <w:rPr>
          <w:rFonts w:ascii="Times New Roman" w:hAnsi="Times New Roman" w:cs="Times New Roman"/>
        </w:rPr>
        <w:t xml:space="preserve">, revealing </w:t>
      </w:r>
      <w:r w:rsidRPr="005B6964">
        <w:rPr>
          <w:rFonts w:ascii="Times New Roman" w:hAnsi="Times New Roman" w:cs="Times New Roman"/>
        </w:rPr>
        <w:t>no clear clustering by ancestry</w:t>
      </w:r>
      <w:r>
        <w:rPr>
          <w:rFonts w:ascii="Times New Roman" w:hAnsi="Times New Roman" w:cs="Times New Roman"/>
        </w:rPr>
        <w:t>. This</w:t>
      </w:r>
      <w:r w:rsidRPr="005B6964">
        <w:rPr>
          <w:rFonts w:ascii="Times New Roman" w:hAnsi="Times New Roman" w:cs="Times New Roman"/>
        </w:rPr>
        <w:t xml:space="preserve"> suggest</w:t>
      </w:r>
      <w:r>
        <w:rPr>
          <w:rFonts w:ascii="Times New Roman" w:hAnsi="Times New Roman" w:cs="Times New Roman"/>
        </w:rPr>
        <w:t>ed</w:t>
      </w:r>
      <w:r w:rsidRPr="005B6964">
        <w:rPr>
          <w:rFonts w:ascii="Times New Roman" w:hAnsi="Times New Roman" w:cs="Times New Roman"/>
        </w:rPr>
        <w:t xml:space="preserve"> that ancestry-related population structure did not substantially contribute to variation in DNA methylation levels.</w:t>
      </w:r>
    </w:p>
    <w:p w14:paraId="3771F992" w14:textId="77777777" w:rsidR="00B81EDE" w:rsidRDefault="00B81EDE" w:rsidP="00B81EDE">
      <w:pPr>
        <w:rPr>
          <w:rFonts w:ascii="Times New Roman" w:hAnsi="Times New Roman" w:cs="Times New Roman"/>
        </w:rPr>
      </w:pPr>
      <w:r>
        <w:rPr>
          <w:rFonts w:ascii="Times New Roman" w:hAnsi="Times New Roman" w:cs="Times New Roman"/>
        </w:rPr>
        <w:br w:type="page"/>
      </w:r>
    </w:p>
    <w:p w14:paraId="2A80150E" w14:textId="77777777" w:rsidR="00B81EDE" w:rsidRDefault="00B81EDE" w:rsidP="00B81EDE">
      <w:pPr>
        <w:spacing w:line="480" w:lineRule="auto"/>
        <w:ind w:firstLine="720"/>
        <w:jc w:val="center"/>
        <w:rPr>
          <w:rFonts w:ascii="Times New Roman" w:hAnsi="Times New Roman" w:cs="Times New Roman"/>
        </w:rPr>
      </w:pPr>
      <w:r w:rsidRPr="006E6F4A">
        <w:rPr>
          <w:rFonts w:ascii="Times New Roman" w:hAnsi="Times New Roman" w:cs="Times New Roman"/>
          <w:noProof/>
        </w:rPr>
        <w:lastRenderedPageBreak/>
        <w:drawing>
          <wp:inline distT="0" distB="0" distL="0" distR="0" wp14:anchorId="2B8D1E3A" wp14:editId="5FCD7301">
            <wp:extent cx="3039534" cy="1737016"/>
            <wp:effectExtent l="0" t="0" r="0" b="3175"/>
            <wp:docPr id="14973175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317537" name=""/>
                    <pic:cNvPicPr/>
                  </pic:nvPicPr>
                  <pic:blipFill>
                    <a:blip r:embed="rId7"/>
                    <a:stretch>
                      <a:fillRect/>
                    </a:stretch>
                  </pic:blipFill>
                  <pic:spPr>
                    <a:xfrm>
                      <a:off x="0" y="0"/>
                      <a:ext cx="3066147" cy="1752225"/>
                    </a:xfrm>
                    <a:prstGeom prst="rect">
                      <a:avLst/>
                    </a:prstGeom>
                  </pic:spPr>
                </pic:pic>
              </a:graphicData>
            </a:graphic>
          </wp:inline>
        </w:drawing>
      </w:r>
    </w:p>
    <w:p w14:paraId="0EB48AB6" w14:textId="77777777" w:rsidR="00B81EDE" w:rsidRPr="00FE57EF" w:rsidRDefault="00B81EDE" w:rsidP="00B81EDE">
      <w:pPr>
        <w:spacing w:line="480" w:lineRule="auto"/>
        <w:rPr>
          <w:rFonts w:ascii="Times New Roman" w:hAnsi="Times New Roman" w:cs="Times New Roman"/>
          <w:b/>
          <w:bCs/>
        </w:rPr>
      </w:pPr>
      <w:r>
        <w:rPr>
          <w:rFonts w:ascii="Times New Roman" w:hAnsi="Times New Roman" w:cs="Times New Roman"/>
          <w:b/>
          <w:bCs/>
        </w:rPr>
        <w:t xml:space="preserve">Supplementary </w:t>
      </w:r>
      <w:r w:rsidRPr="00FE57EF">
        <w:rPr>
          <w:rFonts w:ascii="Times New Roman" w:hAnsi="Times New Roman" w:cs="Times New Roman"/>
          <w:b/>
          <w:bCs/>
        </w:rPr>
        <w:t>Figure 2: Depressive symptoms across five hormonal states</w:t>
      </w:r>
    </w:p>
    <w:p w14:paraId="3F3A2CAD" w14:textId="77777777" w:rsidR="00B81EDE" w:rsidRPr="00BF6CE2" w:rsidRDefault="00B81EDE" w:rsidP="00B81EDE">
      <w:pPr>
        <w:spacing w:line="480" w:lineRule="auto"/>
        <w:rPr>
          <w:rFonts w:ascii="Times New Roman" w:hAnsi="Times New Roman" w:cs="Times New Roman"/>
          <w:sz w:val="21"/>
          <w:szCs w:val="21"/>
        </w:rPr>
      </w:pPr>
      <w:r w:rsidRPr="00BF6CE2">
        <w:rPr>
          <w:rFonts w:ascii="Times New Roman" w:hAnsi="Times New Roman" w:cs="Times New Roman"/>
          <w:sz w:val="21"/>
          <w:szCs w:val="21"/>
        </w:rPr>
        <w:t xml:space="preserve">The figure shows depressive symptoms measured by BDI-II at baseline and follow-up across different hormonal groups. Each point represents the total BDI score for one participant at a given time point, with thin lines connecting repeated measurements from the same participant. Large points indicate group-level means at each time point. </w:t>
      </w:r>
      <w:proofErr w:type="spellStart"/>
      <w:r w:rsidRPr="00BF6CE2">
        <w:rPr>
          <w:rFonts w:ascii="Times New Roman" w:hAnsi="Times New Roman" w:cs="Times New Roman"/>
          <w:sz w:val="21"/>
          <w:szCs w:val="21"/>
        </w:rPr>
        <w:t>oNC</w:t>
      </w:r>
      <w:proofErr w:type="spellEnd"/>
      <w:r w:rsidRPr="00BF6CE2">
        <w:rPr>
          <w:rFonts w:ascii="Times New Roman" w:hAnsi="Times New Roman" w:cs="Times New Roman"/>
          <w:sz w:val="21"/>
          <w:szCs w:val="21"/>
        </w:rPr>
        <w:t xml:space="preserve">: participants at periovulatory phase, </w:t>
      </w:r>
      <w:proofErr w:type="spellStart"/>
      <w:r w:rsidRPr="00BF6CE2">
        <w:rPr>
          <w:rFonts w:ascii="Times New Roman" w:hAnsi="Times New Roman" w:cs="Times New Roman"/>
          <w:sz w:val="21"/>
          <w:szCs w:val="21"/>
        </w:rPr>
        <w:t>fNC</w:t>
      </w:r>
      <w:proofErr w:type="spellEnd"/>
      <w:r w:rsidRPr="00BF6CE2">
        <w:rPr>
          <w:rFonts w:ascii="Times New Roman" w:hAnsi="Times New Roman" w:cs="Times New Roman"/>
          <w:sz w:val="21"/>
          <w:szCs w:val="21"/>
        </w:rPr>
        <w:t xml:space="preserve">: participants at follicular phase, HC: long-term combined hormonal contraceptive users, </w:t>
      </w:r>
      <w:proofErr w:type="spellStart"/>
      <w:r w:rsidRPr="00BF6CE2">
        <w:rPr>
          <w:rFonts w:ascii="Times New Roman" w:hAnsi="Times New Roman" w:cs="Times New Roman"/>
          <w:sz w:val="21"/>
          <w:szCs w:val="21"/>
        </w:rPr>
        <w:t>dHC</w:t>
      </w:r>
      <w:proofErr w:type="spellEnd"/>
      <w:r w:rsidRPr="00BF6CE2">
        <w:rPr>
          <w:rFonts w:ascii="Times New Roman" w:hAnsi="Times New Roman" w:cs="Times New Roman"/>
          <w:sz w:val="21"/>
          <w:szCs w:val="21"/>
        </w:rPr>
        <w:t xml:space="preserve">: discontinuers, </w:t>
      </w:r>
      <w:proofErr w:type="spellStart"/>
      <w:r w:rsidRPr="00BF6CE2">
        <w:rPr>
          <w:rFonts w:ascii="Times New Roman" w:hAnsi="Times New Roman" w:cs="Times New Roman"/>
          <w:sz w:val="21"/>
          <w:szCs w:val="21"/>
        </w:rPr>
        <w:t>sHC</w:t>
      </w:r>
      <w:proofErr w:type="spellEnd"/>
      <w:r w:rsidRPr="00BF6CE2">
        <w:rPr>
          <w:rFonts w:ascii="Times New Roman" w:hAnsi="Times New Roman" w:cs="Times New Roman"/>
          <w:sz w:val="21"/>
          <w:szCs w:val="21"/>
        </w:rPr>
        <w:t xml:space="preserve">: staters. T0: baseline and T1: follow-up measurement. Asterisk indicates significant </w:t>
      </w:r>
      <w:r>
        <w:rPr>
          <w:rFonts w:ascii="Times New Roman" w:hAnsi="Times New Roman" w:cs="Times New Roman"/>
          <w:sz w:val="21"/>
          <w:szCs w:val="21"/>
        </w:rPr>
        <w:t xml:space="preserve">changes </w:t>
      </w:r>
      <w:r w:rsidRPr="00BF6CE2">
        <w:rPr>
          <w:rFonts w:ascii="Times New Roman" w:hAnsi="Times New Roman" w:cs="Times New Roman"/>
          <w:sz w:val="21"/>
          <w:szCs w:val="21"/>
        </w:rPr>
        <w:t>in depressive symptom</w:t>
      </w:r>
      <w:r>
        <w:rPr>
          <w:rFonts w:ascii="Times New Roman" w:hAnsi="Times New Roman" w:cs="Times New Roman"/>
          <w:sz w:val="21"/>
          <w:szCs w:val="21"/>
        </w:rPr>
        <w:t>s within groups</w:t>
      </w:r>
      <w:r w:rsidRPr="00BF6CE2">
        <w:rPr>
          <w:rFonts w:ascii="Times New Roman" w:hAnsi="Times New Roman" w:cs="Times New Roman"/>
          <w:sz w:val="21"/>
          <w:szCs w:val="21"/>
        </w:rPr>
        <w:t xml:space="preserve"> from T0 to T</w:t>
      </w:r>
      <w:r>
        <w:rPr>
          <w:rFonts w:ascii="Times New Roman" w:hAnsi="Times New Roman" w:cs="Times New Roman"/>
          <w:sz w:val="21"/>
          <w:szCs w:val="21"/>
        </w:rPr>
        <w:t>1</w:t>
      </w:r>
      <w:r w:rsidRPr="00BF6CE2">
        <w:rPr>
          <w:rFonts w:ascii="Times New Roman" w:hAnsi="Times New Roman" w:cs="Times New Roman"/>
          <w:sz w:val="21"/>
          <w:szCs w:val="21"/>
        </w:rPr>
        <w:t>. *</w:t>
      </w:r>
      <w:r>
        <w:rPr>
          <w:rFonts w:ascii="Times New Roman" w:hAnsi="Times New Roman" w:cs="Times New Roman"/>
          <w:sz w:val="21"/>
          <w:szCs w:val="21"/>
        </w:rPr>
        <w:t>**</w:t>
      </w:r>
      <w:r w:rsidRPr="00BF6CE2">
        <w:rPr>
          <w:rFonts w:ascii="Times New Roman" w:hAnsi="Times New Roman" w:cs="Times New Roman"/>
          <w:sz w:val="21"/>
          <w:szCs w:val="21"/>
        </w:rPr>
        <w:t xml:space="preserve"> p&lt; 0.0</w:t>
      </w:r>
      <w:r>
        <w:rPr>
          <w:rFonts w:ascii="Times New Roman" w:hAnsi="Times New Roman" w:cs="Times New Roman"/>
          <w:sz w:val="21"/>
          <w:szCs w:val="21"/>
        </w:rPr>
        <w:t>01</w:t>
      </w:r>
      <w:r w:rsidRPr="00BF6CE2">
        <w:rPr>
          <w:rFonts w:ascii="Times New Roman" w:hAnsi="Times New Roman" w:cs="Times New Roman"/>
          <w:sz w:val="21"/>
          <w:szCs w:val="21"/>
        </w:rPr>
        <w:t xml:space="preserve"> and ** p&lt;0.01 based on </w:t>
      </w:r>
      <w:r>
        <w:rPr>
          <w:rFonts w:ascii="Times New Roman" w:hAnsi="Times New Roman" w:cs="Times New Roman"/>
          <w:sz w:val="21"/>
          <w:szCs w:val="21"/>
        </w:rPr>
        <w:t xml:space="preserve">uncorrected </w:t>
      </w:r>
      <w:r w:rsidRPr="00BF6CE2">
        <w:rPr>
          <w:rFonts w:ascii="Times New Roman" w:hAnsi="Times New Roman" w:cs="Times New Roman"/>
          <w:sz w:val="21"/>
          <w:szCs w:val="21"/>
        </w:rPr>
        <w:t>p-values.</w:t>
      </w:r>
    </w:p>
    <w:p w14:paraId="35D0CA68" w14:textId="77777777" w:rsidR="00B81EDE" w:rsidRDefault="00B81EDE" w:rsidP="00B81EDE">
      <w:pPr>
        <w:spacing w:line="480" w:lineRule="auto"/>
        <w:rPr>
          <w:rFonts w:ascii="Times New Roman" w:hAnsi="Times New Roman" w:cs="Times New Roman"/>
        </w:rPr>
      </w:pPr>
    </w:p>
    <w:p w14:paraId="25F1BE4A" w14:textId="77777777" w:rsidR="00B81EDE" w:rsidRDefault="00B81EDE" w:rsidP="00B81EDE">
      <w:pPr>
        <w:rPr>
          <w:rFonts w:ascii="Times New Roman" w:hAnsi="Times New Roman" w:cs="Times New Roman"/>
        </w:rPr>
      </w:pPr>
      <w:r>
        <w:rPr>
          <w:rFonts w:ascii="Times New Roman" w:hAnsi="Times New Roman" w:cs="Times New Roman"/>
        </w:rPr>
        <w:br w:type="page"/>
      </w:r>
    </w:p>
    <w:p w14:paraId="461DF3CD" w14:textId="77777777" w:rsidR="00B81EDE" w:rsidRPr="00442567" w:rsidRDefault="00B81EDE" w:rsidP="00B81EDE">
      <w:pPr>
        <w:spacing w:line="480" w:lineRule="auto"/>
        <w:rPr>
          <w:rFonts w:ascii="Times New Roman" w:hAnsi="Times New Roman" w:cs="Times New Roman"/>
        </w:rPr>
      </w:pPr>
    </w:p>
    <w:p w14:paraId="061ECDED" w14:textId="77777777" w:rsidR="00B81EDE" w:rsidRDefault="00B81EDE" w:rsidP="00B81EDE">
      <w:pPr>
        <w:spacing w:line="480" w:lineRule="auto"/>
        <w:jc w:val="center"/>
        <w:rPr>
          <w:rFonts w:ascii="Times New Roman" w:hAnsi="Times New Roman" w:cs="Times New Roman"/>
          <w:b/>
          <w:bCs/>
        </w:rPr>
      </w:pPr>
      <w:r>
        <w:rPr>
          <w:rFonts w:ascii="Times New Roman" w:hAnsi="Times New Roman" w:cs="Times New Roman"/>
          <w:b/>
          <w:bCs/>
          <w:noProof/>
        </w:rPr>
        <w:drawing>
          <wp:inline distT="0" distB="0" distL="0" distR="0" wp14:anchorId="67C1E8B1" wp14:editId="1508CDC2">
            <wp:extent cx="3768132" cy="2691638"/>
            <wp:effectExtent l="0" t="0" r="3810" b="1270"/>
            <wp:docPr id="20812281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228190" name="Picture 2081228190"/>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99677" cy="2714171"/>
                    </a:xfrm>
                    <a:prstGeom prst="rect">
                      <a:avLst/>
                    </a:prstGeom>
                  </pic:spPr>
                </pic:pic>
              </a:graphicData>
            </a:graphic>
          </wp:inline>
        </w:drawing>
      </w:r>
    </w:p>
    <w:p w14:paraId="66CEB764" w14:textId="77777777" w:rsidR="00B81EDE" w:rsidRPr="00AC71CC" w:rsidRDefault="00B81EDE" w:rsidP="00B81EDE">
      <w:pPr>
        <w:spacing w:line="480" w:lineRule="auto"/>
        <w:rPr>
          <w:rFonts w:ascii="Times New Roman" w:hAnsi="Times New Roman" w:cs="Times New Roman"/>
          <w:b/>
          <w:bCs/>
        </w:rPr>
      </w:pPr>
      <w:r>
        <w:rPr>
          <w:rFonts w:ascii="Times New Roman" w:hAnsi="Times New Roman" w:cs="Times New Roman"/>
          <w:b/>
          <w:bCs/>
        </w:rPr>
        <w:t>Supplementary Figure 3: Endogenous and exogenous sex hormone concentrations across different hormonal groups.</w:t>
      </w:r>
    </w:p>
    <w:p w14:paraId="235E5D4F" w14:textId="77777777" w:rsidR="00B81EDE" w:rsidRDefault="00B81EDE" w:rsidP="00B81EDE">
      <w:pPr>
        <w:spacing w:line="480" w:lineRule="auto"/>
        <w:rPr>
          <w:rFonts w:ascii="Times New Roman" w:hAnsi="Times New Roman" w:cs="Times New Roman"/>
        </w:rPr>
      </w:pPr>
      <w:r>
        <w:rPr>
          <w:rFonts w:ascii="Times New Roman" w:hAnsi="Times New Roman" w:cs="Times New Roman"/>
        </w:rPr>
        <w:t>I</w:t>
      </w:r>
      <w:r w:rsidRPr="00CF235D">
        <w:rPr>
          <w:rFonts w:ascii="Times New Roman" w:hAnsi="Times New Roman" w:cs="Times New Roman"/>
        </w:rPr>
        <w:t xml:space="preserve">ndividual hormone concentrations are shown at </w:t>
      </w:r>
      <w:r>
        <w:rPr>
          <w:rFonts w:ascii="Times New Roman" w:hAnsi="Times New Roman" w:cs="Times New Roman"/>
        </w:rPr>
        <w:t>baseline (T0)</w:t>
      </w:r>
      <w:r w:rsidRPr="00CF235D">
        <w:rPr>
          <w:rFonts w:ascii="Times New Roman" w:hAnsi="Times New Roman" w:cs="Times New Roman"/>
        </w:rPr>
        <w:t xml:space="preserve"> and </w:t>
      </w:r>
      <w:r>
        <w:rPr>
          <w:rFonts w:ascii="Times New Roman" w:hAnsi="Times New Roman" w:cs="Times New Roman"/>
        </w:rPr>
        <w:t>follow-up (</w:t>
      </w:r>
      <w:r w:rsidRPr="00CF235D">
        <w:rPr>
          <w:rFonts w:ascii="Times New Roman" w:hAnsi="Times New Roman" w:cs="Times New Roman"/>
        </w:rPr>
        <w:t>T1</w:t>
      </w:r>
      <w:r>
        <w:rPr>
          <w:rFonts w:ascii="Times New Roman" w:hAnsi="Times New Roman" w:cs="Times New Roman"/>
        </w:rPr>
        <w:t>)</w:t>
      </w:r>
      <w:r w:rsidRPr="00CF235D">
        <w:rPr>
          <w:rFonts w:ascii="Times New Roman" w:hAnsi="Times New Roman" w:cs="Times New Roman"/>
        </w:rPr>
        <w:t xml:space="preserve"> across five hormonal profile groups: periovulatory, </w:t>
      </w:r>
      <w:r>
        <w:rPr>
          <w:rFonts w:ascii="Times New Roman" w:hAnsi="Times New Roman" w:cs="Times New Roman"/>
        </w:rPr>
        <w:t xml:space="preserve">early </w:t>
      </w:r>
      <w:r w:rsidRPr="00CF235D">
        <w:rPr>
          <w:rFonts w:ascii="Times New Roman" w:hAnsi="Times New Roman" w:cs="Times New Roman"/>
        </w:rPr>
        <w:t xml:space="preserve">follicular, combined </w:t>
      </w:r>
      <w:r>
        <w:rPr>
          <w:rFonts w:ascii="Times New Roman" w:hAnsi="Times New Roman" w:cs="Times New Roman"/>
        </w:rPr>
        <w:t xml:space="preserve">hormonal </w:t>
      </w:r>
      <w:r w:rsidRPr="00CF235D">
        <w:rPr>
          <w:rFonts w:ascii="Times New Roman" w:hAnsi="Times New Roman" w:cs="Times New Roman"/>
        </w:rPr>
        <w:t>contraceptive users (C</w:t>
      </w:r>
      <w:r>
        <w:rPr>
          <w:rFonts w:ascii="Times New Roman" w:hAnsi="Times New Roman" w:cs="Times New Roman"/>
        </w:rPr>
        <w:t>H</w:t>
      </w:r>
      <w:r w:rsidRPr="00CF235D">
        <w:rPr>
          <w:rFonts w:ascii="Times New Roman" w:hAnsi="Times New Roman" w:cs="Times New Roman"/>
        </w:rPr>
        <w:t xml:space="preserve">C), discontinuers, and starters. Each point represents one participant at a given time point, and thin grey lines connect repeated measurements within participants. Large black points and lines indicate group means over time. Point fill indicates CHC intake status at the respective time point. Dashed horizontal lines denote axis breaks introduced for </w:t>
      </w:r>
      <w:r>
        <w:rPr>
          <w:rFonts w:ascii="Times New Roman" w:hAnsi="Times New Roman" w:cs="Times New Roman"/>
        </w:rPr>
        <w:t xml:space="preserve">the </w:t>
      </w:r>
      <w:r w:rsidRPr="00CF235D">
        <w:rPr>
          <w:rFonts w:ascii="Times New Roman" w:hAnsi="Times New Roman" w:cs="Times New Roman"/>
        </w:rPr>
        <w:t>visualization of panels with extreme values. E2 = estradiol; EE = ethinyl estradiol; P = progestin; P4 = progesterone; CHC = combined hormonal contraceptive.</w:t>
      </w:r>
    </w:p>
    <w:p w14:paraId="762E5B57" w14:textId="77777777" w:rsidR="00B81EDE" w:rsidRDefault="00B81EDE" w:rsidP="00B81EDE">
      <w:pPr>
        <w:rPr>
          <w:rFonts w:ascii="Times New Roman" w:hAnsi="Times New Roman" w:cs="Times New Roman"/>
        </w:rPr>
      </w:pPr>
      <w:r>
        <w:rPr>
          <w:rFonts w:ascii="Times New Roman" w:hAnsi="Times New Roman" w:cs="Times New Roman"/>
        </w:rPr>
        <w:br w:type="page"/>
      </w:r>
    </w:p>
    <w:p w14:paraId="6B7308EC" w14:textId="77777777" w:rsidR="00B81EDE" w:rsidRDefault="00B81EDE" w:rsidP="00B81EDE">
      <w:pPr>
        <w:spacing w:line="48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0DCA3DD5" wp14:editId="22B2CA41">
            <wp:extent cx="4052455" cy="1937905"/>
            <wp:effectExtent l="0" t="0" r="0" b="5715"/>
            <wp:docPr id="16670027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002706" name="Picture 1667002706"/>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82107" cy="1952085"/>
                    </a:xfrm>
                    <a:prstGeom prst="rect">
                      <a:avLst/>
                    </a:prstGeom>
                  </pic:spPr>
                </pic:pic>
              </a:graphicData>
            </a:graphic>
          </wp:inline>
        </w:drawing>
      </w:r>
    </w:p>
    <w:p w14:paraId="372A2A5D" w14:textId="77777777" w:rsidR="00B81EDE" w:rsidRPr="00F06AA9" w:rsidRDefault="00B81EDE" w:rsidP="00B81EDE">
      <w:pPr>
        <w:spacing w:line="480" w:lineRule="auto"/>
        <w:rPr>
          <w:rFonts w:ascii="Times New Roman" w:hAnsi="Times New Roman" w:cs="Times New Roman"/>
          <w:b/>
          <w:bCs/>
        </w:rPr>
      </w:pPr>
      <w:r w:rsidRPr="00F06AA9">
        <w:rPr>
          <w:rFonts w:ascii="Times New Roman" w:hAnsi="Times New Roman" w:cs="Times New Roman"/>
          <w:b/>
          <w:bCs/>
        </w:rPr>
        <w:t xml:space="preserve">Supplementary Figure </w:t>
      </w:r>
      <w:r>
        <w:rPr>
          <w:rFonts w:ascii="Times New Roman" w:hAnsi="Times New Roman" w:cs="Times New Roman"/>
          <w:b/>
          <w:bCs/>
        </w:rPr>
        <w:t>4</w:t>
      </w:r>
      <w:r w:rsidRPr="00F06AA9">
        <w:rPr>
          <w:rFonts w:ascii="Times New Roman" w:hAnsi="Times New Roman" w:cs="Times New Roman"/>
          <w:b/>
          <w:bCs/>
        </w:rPr>
        <w:t>: Quantile-quantile plot of genomic inflation in epigenome-wide DNA methylation</w:t>
      </w:r>
      <w:r>
        <w:rPr>
          <w:rFonts w:ascii="Times New Roman" w:hAnsi="Times New Roman" w:cs="Times New Roman"/>
          <w:b/>
          <w:bCs/>
        </w:rPr>
        <w:t xml:space="preserve"> related to current CHC-use</w:t>
      </w:r>
    </w:p>
    <w:p w14:paraId="67A80986" w14:textId="77777777" w:rsidR="00B81EDE" w:rsidRDefault="00B81EDE" w:rsidP="00B81EDE">
      <w:pPr>
        <w:spacing w:line="480" w:lineRule="auto"/>
        <w:rPr>
          <w:rFonts w:ascii="Times New Roman" w:hAnsi="Times New Roman" w:cs="Times New Roman"/>
        </w:rPr>
      </w:pPr>
      <w:r w:rsidRPr="00A66985">
        <w:rPr>
          <w:rFonts w:ascii="Times New Roman" w:hAnsi="Times New Roman" w:cs="Times New Roman"/>
        </w:rPr>
        <w:t xml:space="preserve">Quantile-quantile plot showing a deviation in the tail </w:t>
      </w:r>
      <w:r>
        <w:rPr>
          <w:rFonts w:ascii="Times New Roman" w:hAnsi="Times New Roman" w:cs="Times New Roman"/>
        </w:rPr>
        <w:t>A. before (</w:t>
      </w:r>
      <w:r w:rsidRPr="00A66985">
        <w:rPr>
          <w:rFonts w:ascii="Times New Roman" w:hAnsi="Times New Roman" w:cs="Times New Roman"/>
        </w:rPr>
        <w:t>λ = 1.</w:t>
      </w:r>
      <w:r>
        <w:rPr>
          <w:rFonts w:ascii="Times New Roman" w:hAnsi="Times New Roman" w:cs="Times New Roman"/>
        </w:rPr>
        <w:t xml:space="preserve">11) and B. </w:t>
      </w:r>
      <w:r w:rsidRPr="00A66985">
        <w:rPr>
          <w:rFonts w:ascii="Times New Roman" w:hAnsi="Times New Roman" w:cs="Times New Roman"/>
        </w:rPr>
        <w:t>after Bacon correction (λ = 1.02)</w:t>
      </w:r>
      <w:r>
        <w:rPr>
          <w:rFonts w:ascii="Times New Roman" w:hAnsi="Times New Roman" w:cs="Times New Roman"/>
        </w:rPr>
        <w:t xml:space="preserve"> with acceptable genomic inflation</w:t>
      </w:r>
      <w:r w:rsidRPr="00A66985">
        <w:rPr>
          <w:rFonts w:ascii="Times New Roman" w:hAnsi="Times New Roman" w:cs="Times New Roman"/>
        </w:rPr>
        <w:t>.</w:t>
      </w:r>
    </w:p>
    <w:p w14:paraId="34824E6B" w14:textId="77777777" w:rsidR="00B81EDE" w:rsidRDefault="00B81EDE" w:rsidP="00B81EDE">
      <w:pPr>
        <w:spacing w:line="480" w:lineRule="auto"/>
        <w:rPr>
          <w:rFonts w:ascii="Times New Roman" w:hAnsi="Times New Roman" w:cs="Times New Roman"/>
        </w:rPr>
      </w:pPr>
    </w:p>
    <w:p w14:paraId="06073890" w14:textId="77777777" w:rsidR="00B81EDE" w:rsidRDefault="00B81EDE" w:rsidP="00B81EDE">
      <w:pPr>
        <w:rPr>
          <w:rFonts w:ascii="Times New Roman" w:hAnsi="Times New Roman" w:cs="Times New Roman"/>
        </w:rPr>
      </w:pPr>
      <w:r>
        <w:rPr>
          <w:rFonts w:ascii="Times New Roman" w:hAnsi="Times New Roman" w:cs="Times New Roman"/>
        </w:rPr>
        <w:br w:type="page"/>
      </w:r>
    </w:p>
    <w:p w14:paraId="5E11B00C" w14:textId="77777777" w:rsidR="00B81EDE" w:rsidRDefault="00B81EDE" w:rsidP="00B81EDE"/>
    <w:p w14:paraId="679B9DFD" w14:textId="77777777" w:rsidR="00B81EDE" w:rsidRDefault="00B81EDE" w:rsidP="00B81EDE">
      <w:pPr>
        <w:jc w:val="center"/>
      </w:pPr>
      <w:r>
        <w:rPr>
          <w:noProof/>
        </w:rPr>
        <w:drawing>
          <wp:inline distT="0" distB="0" distL="0" distR="0" wp14:anchorId="4005EA18" wp14:editId="3DF26353">
            <wp:extent cx="5056094" cy="3616512"/>
            <wp:effectExtent l="0" t="0" r="0" b="3175"/>
            <wp:docPr id="169861518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615188" name="Picture 169861518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65578" cy="3623295"/>
                    </a:xfrm>
                    <a:prstGeom prst="rect">
                      <a:avLst/>
                    </a:prstGeom>
                  </pic:spPr>
                </pic:pic>
              </a:graphicData>
            </a:graphic>
          </wp:inline>
        </w:drawing>
      </w:r>
    </w:p>
    <w:p w14:paraId="5808E6C0" w14:textId="77777777" w:rsidR="00B81EDE" w:rsidRDefault="00B81EDE" w:rsidP="00B81EDE"/>
    <w:p w14:paraId="6889268B" w14:textId="77777777" w:rsidR="00B81EDE" w:rsidRDefault="00B81EDE" w:rsidP="00B81EDE">
      <w:pPr>
        <w:rPr>
          <w:b/>
          <w:bCs/>
        </w:rPr>
      </w:pPr>
      <w:r w:rsidRPr="00BB5D57">
        <w:rPr>
          <w:b/>
          <w:bCs/>
        </w:rPr>
        <w:t>Supplementary Figure</w:t>
      </w:r>
      <w:r>
        <w:rPr>
          <w:b/>
          <w:bCs/>
        </w:rPr>
        <w:t xml:space="preserve"> 5</w:t>
      </w:r>
      <w:r w:rsidRPr="00BB5D57">
        <w:rPr>
          <w:b/>
          <w:bCs/>
        </w:rPr>
        <w:t>: Differentially methylated probes associated with hormonal group trajectories</w:t>
      </w:r>
      <w:r>
        <w:rPr>
          <w:b/>
          <w:bCs/>
        </w:rPr>
        <w:t>.</w:t>
      </w:r>
    </w:p>
    <w:p w14:paraId="709897AE" w14:textId="77777777" w:rsidR="00B81EDE" w:rsidRDefault="00B81EDE" w:rsidP="00B81EDE">
      <w:pPr>
        <w:rPr>
          <w:b/>
          <w:bCs/>
        </w:rPr>
      </w:pPr>
    </w:p>
    <w:p w14:paraId="28FFF1B6" w14:textId="77777777" w:rsidR="00B81EDE" w:rsidRDefault="00B81EDE" w:rsidP="00B81EDE">
      <w:pPr>
        <w:spacing w:line="360" w:lineRule="auto"/>
        <w:rPr>
          <w:rFonts w:ascii="Times New Roman" w:hAnsi="Times New Roman" w:cs="Times New Roman"/>
          <w:sz w:val="21"/>
          <w:szCs w:val="21"/>
        </w:rPr>
      </w:pPr>
      <w:r w:rsidRPr="001A4270">
        <w:rPr>
          <w:rFonts w:ascii="Times New Roman" w:hAnsi="Times New Roman" w:cs="Times New Roman"/>
          <w:sz w:val="21"/>
          <w:szCs w:val="21"/>
        </w:rPr>
        <w:t>Boxplots show the distribution of methylation levels within each group at baseline and follow-up</w:t>
      </w:r>
      <w:r>
        <w:rPr>
          <w:rFonts w:ascii="Times New Roman" w:hAnsi="Times New Roman" w:cs="Times New Roman"/>
          <w:sz w:val="21"/>
          <w:szCs w:val="21"/>
        </w:rPr>
        <w:t xml:space="preserve"> for 8 other DMPs associated with hormonal group and time interaction</w:t>
      </w:r>
      <w:r w:rsidRPr="001A4270">
        <w:rPr>
          <w:rFonts w:ascii="Times New Roman" w:hAnsi="Times New Roman" w:cs="Times New Roman"/>
          <w:sz w:val="21"/>
          <w:szCs w:val="21"/>
        </w:rPr>
        <w:t xml:space="preserve">. </w:t>
      </w:r>
      <w:r>
        <w:rPr>
          <w:rFonts w:ascii="Times New Roman" w:hAnsi="Times New Roman" w:cs="Times New Roman"/>
          <w:sz w:val="21"/>
          <w:szCs w:val="21"/>
        </w:rPr>
        <w:t>x</w:t>
      </w:r>
      <w:r w:rsidRPr="001A4270">
        <w:rPr>
          <w:rFonts w:ascii="Times New Roman" w:hAnsi="Times New Roman" w:cs="Times New Roman"/>
          <w:sz w:val="21"/>
          <w:szCs w:val="21"/>
        </w:rPr>
        <w:t xml:space="preserve"> indicates a significant baseline difference compared with the follicular-phase naturally cycling (</w:t>
      </w:r>
      <w:proofErr w:type="spellStart"/>
      <w:r w:rsidRPr="001A4270">
        <w:rPr>
          <w:rFonts w:ascii="Times New Roman" w:hAnsi="Times New Roman" w:cs="Times New Roman"/>
          <w:sz w:val="21"/>
          <w:szCs w:val="21"/>
        </w:rPr>
        <w:t>fNC</w:t>
      </w:r>
      <w:proofErr w:type="spellEnd"/>
      <w:r w:rsidRPr="001A4270">
        <w:rPr>
          <w:rFonts w:ascii="Times New Roman" w:hAnsi="Times New Roman" w:cs="Times New Roman"/>
          <w:sz w:val="21"/>
          <w:szCs w:val="21"/>
        </w:rPr>
        <w:t xml:space="preserve">) group, whereas * indicates a significant difference in the change in methylation levels over time relative to the </w:t>
      </w:r>
      <w:proofErr w:type="spellStart"/>
      <w:r w:rsidRPr="001A4270">
        <w:rPr>
          <w:rFonts w:ascii="Times New Roman" w:hAnsi="Times New Roman" w:cs="Times New Roman"/>
          <w:sz w:val="21"/>
          <w:szCs w:val="21"/>
        </w:rPr>
        <w:t>fNC</w:t>
      </w:r>
      <w:proofErr w:type="spellEnd"/>
      <w:r w:rsidRPr="001A4270">
        <w:rPr>
          <w:rFonts w:ascii="Times New Roman" w:hAnsi="Times New Roman" w:cs="Times New Roman"/>
          <w:sz w:val="21"/>
          <w:szCs w:val="21"/>
        </w:rPr>
        <w:t xml:space="preserve"> group. </w:t>
      </w:r>
      <w:proofErr w:type="spellStart"/>
      <w:r w:rsidRPr="006503C9">
        <w:rPr>
          <w:rFonts w:ascii="Times New Roman" w:hAnsi="Times New Roman" w:cs="Times New Roman"/>
          <w:sz w:val="21"/>
          <w:szCs w:val="21"/>
          <w:vertAlign w:val="superscript"/>
        </w:rPr>
        <w:t>x</w:t>
      </w:r>
      <w:r>
        <w:rPr>
          <w:rFonts w:ascii="Times New Roman" w:hAnsi="Times New Roman" w:cs="Times New Roman"/>
          <w:sz w:val="21"/>
          <w:szCs w:val="21"/>
        </w:rPr>
        <w:t>p</w:t>
      </w:r>
      <w:proofErr w:type="spellEnd"/>
      <w:r>
        <w:rPr>
          <w:rFonts w:ascii="Times New Roman" w:hAnsi="Times New Roman" w:cs="Times New Roman"/>
          <w:sz w:val="21"/>
          <w:szCs w:val="21"/>
        </w:rPr>
        <w:t xml:space="preserve"> &lt; 0.05, </w:t>
      </w:r>
      <w:proofErr w:type="spellStart"/>
      <w:r w:rsidRPr="006503C9">
        <w:rPr>
          <w:rFonts w:ascii="Times New Roman" w:hAnsi="Times New Roman" w:cs="Times New Roman"/>
          <w:sz w:val="21"/>
          <w:szCs w:val="21"/>
          <w:vertAlign w:val="superscript"/>
        </w:rPr>
        <w:t>x</w:t>
      </w:r>
      <w:r>
        <w:rPr>
          <w:rFonts w:ascii="Times New Roman" w:hAnsi="Times New Roman" w:cs="Times New Roman"/>
          <w:sz w:val="21"/>
          <w:szCs w:val="21"/>
          <w:vertAlign w:val="superscript"/>
        </w:rPr>
        <w:t>x</w:t>
      </w:r>
      <w:r>
        <w:rPr>
          <w:rFonts w:ascii="Times New Roman" w:hAnsi="Times New Roman" w:cs="Times New Roman"/>
          <w:sz w:val="21"/>
          <w:szCs w:val="21"/>
        </w:rPr>
        <w:t>p</w:t>
      </w:r>
      <w:proofErr w:type="spellEnd"/>
      <w:r>
        <w:rPr>
          <w:rFonts w:ascii="Times New Roman" w:hAnsi="Times New Roman" w:cs="Times New Roman"/>
          <w:sz w:val="21"/>
          <w:szCs w:val="21"/>
        </w:rPr>
        <w:t xml:space="preserve"> &lt; 0.01,</w:t>
      </w:r>
      <w:r w:rsidRPr="00BB5D57">
        <w:rPr>
          <w:rFonts w:ascii="Times New Roman" w:hAnsi="Times New Roman" w:cs="Times New Roman"/>
          <w:sz w:val="21"/>
          <w:szCs w:val="21"/>
          <w:vertAlign w:val="superscript"/>
        </w:rPr>
        <w:t xml:space="preserve"> </w:t>
      </w:r>
      <w:proofErr w:type="spellStart"/>
      <w:r w:rsidRPr="006503C9">
        <w:rPr>
          <w:rFonts w:ascii="Times New Roman" w:hAnsi="Times New Roman" w:cs="Times New Roman"/>
          <w:sz w:val="21"/>
          <w:szCs w:val="21"/>
          <w:vertAlign w:val="superscript"/>
        </w:rPr>
        <w:t>x</w:t>
      </w:r>
      <w:r>
        <w:rPr>
          <w:rFonts w:ascii="Times New Roman" w:hAnsi="Times New Roman" w:cs="Times New Roman"/>
          <w:sz w:val="21"/>
          <w:szCs w:val="21"/>
          <w:vertAlign w:val="superscript"/>
        </w:rPr>
        <w:t>xx</w:t>
      </w:r>
      <w:r>
        <w:rPr>
          <w:rFonts w:ascii="Times New Roman" w:hAnsi="Times New Roman" w:cs="Times New Roman"/>
          <w:sz w:val="21"/>
          <w:szCs w:val="21"/>
        </w:rPr>
        <w:t>p</w:t>
      </w:r>
      <w:proofErr w:type="spellEnd"/>
      <w:r>
        <w:rPr>
          <w:rFonts w:ascii="Times New Roman" w:hAnsi="Times New Roman" w:cs="Times New Roman"/>
          <w:sz w:val="21"/>
          <w:szCs w:val="21"/>
        </w:rPr>
        <w:t xml:space="preserve"> &lt; 0.001</w:t>
      </w:r>
      <w:proofErr w:type="gramStart"/>
      <w:r>
        <w:rPr>
          <w:rFonts w:ascii="Times New Roman" w:hAnsi="Times New Roman" w:cs="Times New Roman"/>
          <w:sz w:val="21"/>
          <w:szCs w:val="21"/>
        </w:rPr>
        <w:t>,  *</w:t>
      </w:r>
      <w:proofErr w:type="gramEnd"/>
      <w:r>
        <w:rPr>
          <w:rFonts w:ascii="Times New Roman" w:hAnsi="Times New Roman" w:cs="Times New Roman"/>
          <w:sz w:val="21"/>
          <w:szCs w:val="21"/>
        </w:rPr>
        <w:t>p &lt; 005, **p &lt; 0.01, ***p &lt; 0.001</w:t>
      </w:r>
    </w:p>
    <w:p w14:paraId="7DE8A490" w14:textId="77777777" w:rsidR="00B81EDE" w:rsidRPr="00BB5D57" w:rsidRDefault="00B81EDE" w:rsidP="00B81EDE">
      <w:pPr>
        <w:rPr>
          <w:b/>
          <w:bCs/>
        </w:rPr>
      </w:pPr>
    </w:p>
    <w:p w14:paraId="60FE1329" w14:textId="77777777" w:rsidR="00B81EDE" w:rsidRDefault="00B81EDE" w:rsidP="00B81EDE"/>
    <w:p w14:paraId="0E31E67C" w14:textId="77777777" w:rsidR="00B81EDE" w:rsidRDefault="00B81EDE" w:rsidP="00B81EDE"/>
    <w:p w14:paraId="2B63EDAD" w14:textId="77777777" w:rsidR="00B81EDE" w:rsidRDefault="00B81EDE" w:rsidP="00B81EDE">
      <w:pPr>
        <w:rPr>
          <w:rFonts w:ascii="Times New Roman" w:hAnsi="Times New Roman" w:cs="Times New Roman"/>
        </w:rPr>
      </w:pPr>
      <w:r>
        <w:rPr>
          <w:rFonts w:ascii="Times New Roman" w:hAnsi="Times New Roman" w:cs="Times New Roman"/>
        </w:rPr>
        <w:br w:type="page"/>
      </w:r>
    </w:p>
    <w:p w14:paraId="33A1DC64" w14:textId="77777777" w:rsidR="00B81EDE" w:rsidRDefault="00B81EDE" w:rsidP="00B81EDE">
      <w:pPr>
        <w:spacing w:line="480" w:lineRule="auto"/>
        <w:jc w:val="center"/>
        <w:rPr>
          <w:rFonts w:ascii="Times New Roman" w:hAnsi="Times New Roman" w:cs="Times New Roman"/>
        </w:rPr>
      </w:pPr>
    </w:p>
    <w:p w14:paraId="6390BA4C" w14:textId="77777777" w:rsidR="00B81EDE" w:rsidRDefault="00B81EDE" w:rsidP="00B81EDE">
      <w:pPr>
        <w:spacing w:line="480" w:lineRule="auto"/>
        <w:jc w:val="center"/>
        <w:rPr>
          <w:rFonts w:ascii="Times New Roman" w:hAnsi="Times New Roman" w:cs="Times New Roman"/>
        </w:rPr>
      </w:pPr>
      <w:r w:rsidRPr="00AA2869">
        <w:rPr>
          <w:rFonts w:ascii="Times New Roman" w:hAnsi="Times New Roman" w:cs="Times New Roman"/>
          <w:noProof/>
        </w:rPr>
        <w:drawing>
          <wp:inline distT="0" distB="0" distL="0" distR="0" wp14:anchorId="16D9415E" wp14:editId="27AD814D">
            <wp:extent cx="3432412" cy="2284608"/>
            <wp:effectExtent l="0" t="0" r="0" b="1905"/>
            <wp:docPr id="10953623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362341" name=""/>
                    <pic:cNvPicPr/>
                  </pic:nvPicPr>
                  <pic:blipFill>
                    <a:blip r:embed="rId11"/>
                    <a:stretch>
                      <a:fillRect/>
                    </a:stretch>
                  </pic:blipFill>
                  <pic:spPr>
                    <a:xfrm>
                      <a:off x="0" y="0"/>
                      <a:ext cx="3456495" cy="2300638"/>
                    </a:xfrm>
                    <a:prstGeom prst="rect">
                      <a:avLst/>
                    </a:prstGeom>
                  </pic:spPr>
                </pic:pic>
              </a:graphicData>
            </a:graphic>
          </wp:inline>
        </w:drawing>
      </w:r>
    </w:p>
    <w:p w14:paraId="4247EADF" w14:textId="77777777" w:rsidR="00B81EDE" w:rsidRPr="00D90BF4" w:rsidRDefault="00B81EDE" w:rsidP="00B81EDE">
      <w:pPr>
        <w:spacing w:line="480" w:lineRule="auto"/>
        <w:rPr>
          <w:rFonts w:ascii="Times New Roman" w:hAnsi="Times New Roman" w:cs="Times New Roman"/>
          <w:b/>
          <w:bCs/>
        </w:rPr>
      </w:pPr>
      <w:r w:rsidRPr="00D90BF4">
        <w:rPr>
          <w:rFonts w:ascii="Times New Roman" w:hAnsi="Times New Roman" w:cs="Times New Roman"/>
          <w:b/>
          <w:bCs/>
        </w:rPr>
        <w:t xml:space="preserve">Supplementary Figure </w:t>
      </w:r>
      <w:r>
        <w:rPr>
          <w:rFonts w:ascii="Times New Roman" w:hAnsi="Times New Roman" w:cs="Times New Roman"/>
          <w:b/>
          <w:bCs/>
        </w:rPr>
        <w:t>6</w:t>
      </w:r>
      <w:r w:rsidRPr="00D90BF4">
        <w:rPr>
          <w:rFonts w:ascii="Times New Roman" w:hAnsi="Times New Roman" w:cs="Times New Roman"/>
          <w:b/>
          <w:bCs/>
        </w:rPr>
        <w:t xml:space="preserve">: Baseline differentially methylated regions across </w:t>
      </w:r>
      <w:proofErr w:type="spellStart"/>
      <w:r w:rsidRPr="00D90BF4">
        <w:rPr>
          <w:rFonts w:ascii="Times New Roman" w:hAnsi="Times New Roman" w:cs="Times New Roman"/>
          <w:b/>
          <w:bCs/>
        </w:rPr>
        <w:t>fNC</w:t>
      </w:r>
      <w:proofErr w:type="spellEnd"/>
      <w:r w:rsidRPr="00D90BF4">
        <w:rPr>
          <w:rFonts w:ascii="Times New Roman" w:hAnsi="Times New Roman" w:cs="Times New Roman"/>
          <w:b/>
          <w:bCs/>
        </w:rPr>
        <w:t xml:space="preserve">, </w:t>
      </w:r>
      <w:proofErr w:type="spellStart"/>
      <w:r w:rsidRPr="00D90BF4">
        <w:rPr>
          <w:rFonts w:ascii="Times New Roman" w:hAnsi="Times New Roman" w:cs="Times New Roman"/>
          <w:b/>
          <w:bCs/>
        </w:rPr>
        <w:t>oNC</w:t>
      </w:r>
      <w:proofErr w:type="spellEnd"/>
      <w:r w:rsidRPr="00D90BF4">
        <w:rPr>
          <w:rFonts w:ascii="Times New Roman" w:hAnsi="Times New Roman" w:cs="Times New Roman"/>
          <w:b/>
          <w:bCs/>
        </w:rPr>
        <w:t xml:space="preserve"> and HC.</w:t>
      </w:r>
    </w:p>
    <w:p w14:paraId="5C0A511D" w14:textId="77777777" w:rsidR="00B81EDE" w:rsidRPr="00D90BF4" w:rsidRDefault="00B81EDE" w:rsidP="00B81EDE">
      <w:pPr>
        <w:spacing w:line="480" w:lineRule="auto"/>
        <w:rPr>
          <w:rFonts w:ascii="Times New Roman" w:hAnsi="Times New Roman" w:cs="Times New Roman"/>
        </w:rPr>
      </w:pPr>
      <w:r w:rsidRPr="00D90BF4">
        <w:rPr>
          <w:rFonts w:ascii="Times New Roman" w:hAnsi="Times New Roman" w:cs="Times New Roman"/>
        </w:rPr>
        <w:t xml:space="preserve">The baseline group differences were associated with 10 DMRs. </w:t>
      </w:r>
      <w:r>
        <w:rPr>
          <w:rFonts w:ascii="Times New Roman" w:hAnsi="Times New Roman" w:cs="Times New Roman"/>
        </w:rPr>
        <w:t>Green lines outline t</w:t>
      </w:r>
      <w:r w:rsidRPr="00D90BF4">
        <w:rPr>
          <w:rFonts w:ascii="Times New Roman" w:hAnsi="Times New Roman" w:cs="Times New Roman"/>
        </w:rPr>
        <w:t xml:space="preserve">he neighboring probes constituting each DMR (after filtering), and annotated genes are indicated. </w:t>
      </w:r>
      <w:r w:rsidRPr="008331F6">
        <w:rPr>
          <w:rFonts w:ascii="Times New Roman" w:hAnsi="Times New Roman" w:cs="Times New Roman"/>
          <w:i/>
          <w:iCs/>
        </w:rPr>
        <w:t>ALDH1L2</w:t>
      </w:r>
      <w:r w:rsidRPr="008331F6">
        <w:rPr>
          <w:rFonts w:ascii="Times New Roman" w:hAnsi="Times New Roman" w:cs="Times New Roman"/>
        </w:rPr>
        <w:t xml:space="preserve">: </w:t>
      </w:r>
      <w:r>
        <w:rPr>
          <w:rFonts w:ascii="Times New Roman" w:hAnsi="Times New Roman" w:cs="Times New Roman"/>
        </w:rPr>
        <w:t>A</w:t>
      </w:r>
      <w:r w:rsidRPr="008331F6">
        <w:rPr>
          <w:rFonts w:ascii="Times New Roman" w:hAnsi="Times New Roman" w:cs="Times New Roman"/>
        </w:rPr>
        <w:t>ldehyde dehydrogenase 1 family member L2</w:t>
      </w:r>
      <w:r>
        <w:rPr>
          <w:rFonts w:ascii="Times New Roman" w:hAnsi="Times New Roman" w:cs="Times New Roman"/>
        </w:rPr>
        <w:t xml:space="preserve">. </w:t>
      </w:r>
      <w:r w:rsidRPr="008331F6">
        <w:rPr>
          <w:rFonts w:ascii="Times New Roman" w:hAnsi="Times New Roman" w:cs="Times New Roman"/>
          <w:i/>
          <w:iCs/>
        </w:rPr>
        <w:t>ATP11A</w:t>
      </w:r>
      <w:r w:rsidRPr="008331F6">
        <w:rPr>
          <w:rFonts w:ascii="Times New Roman" w:hAnsi="Times New Roman" w:cs="Times New Roman"/>
        </w:rPr>
        <w:t>: ATPase phospholipid transporting 11A</w:t>
      </w:r>
      <w:r>
        <w:rPr>
          <w:rFonts w:ascii="Times New Roman" w:hAnsi="Times New Roman" w:cs="Times New Roman"/>
        </w:rPr>
        <w:t xml:space="preserve">. </w:t>
      </w:r>
      <w:r w:rsidRPr="004B21F0">
        <w:rPr>
          <w:rFonts w:ascii="Times New Roman" w:hAnsi="Times New Roman" w:cs="Times New Roman"/>
          <w:i/>
          <w:iCs/>
        </w:rPr>
        <w:t>CABYR</w:t>
      </w:r>
      <w:r w:rsidRPr="004B21F0">
        <w:rPr>
          <w:rFonts w:ascii="Times New Roman" w:hAnsi="Times New Roman" w:cs="Times New Roman"/>
        </w:rPr>
        <w:t xml:space="preserve">: </w:t>
      </w:r>
      <w:r>
        <w:rPr>
          <w:rFonts w:ascii="Times New Roman" w:hAnsi="Times New Roman" w:cs="Times New Roman"/>
        </w:rPr>
        <w:t>C</w:t>
      </w:r>
      <w:r w:rsidRPr="004B21F0">
        <w:rPr>
          <w:rFonts w:ascii="Times New Roman" w:hAnsi="Times New Roman" w:cs="Times New Roman"/>
        </w:rPr>
        <w:t>alcium binding tyrosine phosphorylation regulated</w:t>
      </w:r>
      <w:r>
        <w:rPr>
          <w:rFonts w:ascii="Times New Roman" w:hAnsi="Times New Roman" w:cs="Times New Roman"/>
        </w:rPr>
        <w:t xml:space="preserve">. </w:t>
      </w:r>
      <w:r w:rsidRPr="00FD1141">
        <w:rPr>
          <w:rFonts w:ascii="Times New Roman" w:hAnsi="Times New Roman" w:cs="Times New Roman"/>
          <w:i/>
          <w:iCs/>
        </w:rPr>
        <w:t>GFER</w:t>
      </w:r>
      <w:r w:rsidRPr="00FD1141">
        <w:rPr>
          <w:rFonts w:ascii="Times New Roman" w:hAnsi="Times New Roman" w:cs="Times New Roman"/>
        </w:rPr>
        <w:t xml:space="preserve">: </w:t>
      </w:r>
      <w:r>
        <w:rPr>
          <w:rFonts w:ascii="Times New Roman" w:hAnsi="Times New Roman" w:cs="Times New Roman"/>
        </w:rPr>
        <w:t>G</w:t>
      </w:r>
      <w:r w:rsidRPr="00FD1141">
        <w:rPr>
          <w:rFonts w:ascii="Times New Roman" w:hAnsi="Times New Roman" w:cs="Times New Roman"/>
        </w:rPr>
        <w:t>rowth factor</w:t>
      </w:r>
      <w:r>
        <w:rPr>
          <w:rFonts w:ascii="Times New Roman" w:hAnsi="Times New Roman" w:cs="Times New Roman"/>
        </w:rPr>
        <w:t xml:space="preserve">, </w:t>
      </w:r>
      <w:r w:rsidRPr="00947053">
        <w:rPr>
          <w:rFonts w:ascii="Times New Roman" w:hAnsi="Times New Roman" w:cs="Times New Roman"/>
        </w:rPr>
        <w:t>augmenter of liver regeneration</w:t>
      </w:r>
      <w:r>
        <w:rPr>
          <w:rFonts w:ascii="Times New Roman" w:hAnsi="Times New Roman" w:cs="Times New Roman"/>
        </w:rPr>
        <w:t xml:space="preserve">. </w:t>
      </w:r>
      <w:r>
        <w:rPr>
          <w:rFonts w:ascii="Times New Roman" w:hAnsi="Times New Roman" w:cs="Times New Roman"/>
          <w:i/>
          <w:iCs/>
        </w:rPr>
        <w:t>GNMT</w:t>
      </w:r>
      <w:r w:rsidRPr="00253204">
        <w:rPr>
          <w:rFonts w:ascii="Times New Roman" w:hAnsi="Times New Roman" w:cs="Times New Roman"/>
        </w:rPr>
        <w:t xml:space="preserve">: </w:t>
      </w:r>
      <w:r>
        <w:rPr>
          <w:rFonts w:ascii="Times New Roman" w:hAnsi="Times New Roman" w:cs="Times New Roman"/>
        </w:rPr>
        <w:t>G</w:t>
      </w:r>
      <w:r w:rsidRPr="00253204">
        <w:rPr>
          <w:rFonts w:ascii="Times New Roman" w:hAnsi="Times New Roman" w:cs="Times New Roman"/>
        </w:rPr>
        <w:t>lycine N-methyltransferase.</w:t>
      </w:r>
      <w:r>
        <w:rPr>
          <w:rFonts w:ascii="Times New Roman" w:hAnsi="Times New Roman" w:cs="Times New Roman"/>
          <w:i/>
          <w:iCs/>
        </w:rPr>
        <w:t xml:space="preserve"> </w:t>
      </w:r>
      <w:r w:rsidRPr="000B6ABE">
        <w:rPr>
          <w:rFonts w:ascii="Times New Roman" w:hAnsi="Times New Roman" w:cs="Times New Roman"/>
          <w:i/>
          <w:iCs/>
        </w:rPr>
        <w:t>PIWIL2</w:t>
      </w:r>
      <w:r w:rsidRPr="000B6ABE">
        <w:rPr>
          <w:rFonts w:ascii="Times New Roman" w:hAnsi="Times New Roman" w:cs="Times New Roman"/>
        </w:rPr>
        <w:t xml:space="preserve">: </w:t>
      </w:r>
      <w:r>
        <w:rPr>
          <w:rFonts w:ascii="Times New Roman" w:hAnsi="Times New Roman" w:cs="Times New Roman"/>
        </w:rPr>
        <w:t>P</w:t>
      </w:r>
      <w:r w:rsidRPr="000B6ABE">
        <w:rPr>
          <w:rFonts w:ascii="Times New Roman" w:hAnsi="Times New Roman" w:cs="Times New Roman"/>
        </w:rPr>
        <w:t>iwi</w:t>
      </w:r>
      <w:r>
        <w:rPr>
          <w:rFonts w:ascii="Times New Roman" w:hAnsi="Times New Roman" w:cs="Times New Roman"/>
        </w:rPr>
        <w:t>-</w:t>
      </w:r>
      <w:r w:rsidRPr="000B6ABE">
        <w:rPr>
          <w:rFonts w:ascii="Times New Roman" w:hAnsi="Times New Roman" w:cs="Times New Roman"/>
        </w:rPr>
        <w:t>like RNA-mediated gene silencing 2</w:t>
      </w:r>
      <w:r>
        <w:rPr>
          <w:rFonts w:ascii="Times New Roman" w:hAnsi="Times New Roman" w:cs="Times New Roman"/>
        </w:rPr>
        <w:t xml:space="preserve">. </w:t>
      </w:r>
      <w:r w:rsidRPr="00F6509F">
        <w:rPr>
          <w:rFonts w:ascii="Times New Roman" w:hAnsi="Times New Roman" w:cs="Times New Roman"/>
          <w:i/>
          <w:iCs/>
        </w:rPr>
        <w:t>SRPRB</w:t>
      </w:r>
      <w:r w:rsidRPr="00F6509F">
        <w:rPr>
          <w:rFonts w:ascii="Times New Roman" w:hAnsi="Times New Roman" w:cs="Times New Roman"/>
        </w:rPr>
        <w:t>: SRP receptor subunit beta</w:t>
      </w:r>
      <w:r>
        <w:rPr>
          <w:rFonts w:ascii="Times New Roman" w:hAnsi="Times New Roman" w:cs="Times New Roman"/>
        </w:rPr>
        <w:t xml:space="preserve">. </w:t>
      </w:r>
      <w:r w:rsidRPr="00F6509F">
        <w:rPr>
          <w:rFonts w:ascii="Times New Roman" w:hAnsi="Times New Roman" w:cs="Times New Roman"/>
          <w:i/>
          <w:iCs/>
        </w:rPr>
        <w:t>TEX26</w:t>
      </w:r>
      <w:r w:rsidRPr="00F6509F">
        <w:rPr>
          <w:rFonts w:ascii="Times New Roman" w:hAnsi="Times New Roman" w:cs="Times New Roman"/>
        </w:rPr>
        <w:t>: Testis-Expressed Protein 26</w:t>
      </w:r>
      <w:r>
        <w:rPr>
          <w:rFonts w:ascii="Times New Roman" w:hAnsi="Times New Roman" w:cs="Times New Roman"/>
        </w:rPr>
        <w:t xml:space="preserve">. </w:t>
      </w:r>
      <w:r w:rsidRPr="006764F5">
        <w:rPr>
          <w:rFonts w:ascii="Times New Roman" w:hAnsi="Times New Roman" w:cs="Times New Roman"/>
          <w:i/>
          <w:iCs/>
        </w:rPr>
        <w:t>TF</w:t>
      </w:r>
      <w:r w:rsidRPr="006764F5">
        <w:rPr>
          <w:rFonts w:ascii="Times New Roman" w:hAnsi="Times New Roman" w:cs="Times New Roman"/>
        </w:rPr>
        <w:t xml:space="preserve">: </w:t>
      </w:r>
      <w:r>
        <w:rPr>
          <w:rFonts w:ascii="Times New Roman" w:hAnsi="Times New Roman" w:cs="Times New Roman"/>
        </w:rPr>
        <w:t>T</w:t>
      </w:r>
      <w:r w:rsidRPr="006764F5">
        <w:rPr>
          <w:rFonts w:ascii="Times New Roman" w:hAnsi="Times New Roman" w:cs="Times New Roman"/>
        </w:rPr>
        <w:t>ransferrin</w:t>
      </w:r>
      <w:r>
        <w:rPr>
          <w:rFonts w:ascii="Times New Roman" w:hAnsi="Times New Roman" w:cs="Times New Roman"/>
        </w:rPr>
        <w:t xml:space="preserve">. </w:t>
      </w:r>
      <w:r w:rsidRPr="006764F5">
        <w:rPr>
          <w:rFonts w:ascii="Times New Roman" w:hAnsi="Times New Roman" w:cs="Times New Roman"/>
          <w:i/>
          <w:iCs/>
        </w:rPr>
        <w:t>TMEM102</w:t>
      </w:r>
      <w:r w:rsidRPr="006764F5">
        <w:rPr>
          <w:rFonts w:ascii="Times New Roman" w:hAnsi="Times New Roman" w:cs="Times New Roman"/>
        </w:rPr>
        <w:t xml:space="preserve">: </w:t>
      </w:r>
      <w:r>
        <w:rPr>
          <w:rFonts w:ascii="Times New Roman" w:hAnsi="Times New Roman" w:cs="Times New Roman"/>
        </w:rPr>
        <w:t>T</w:t>
      </w:r>
      <w:r w:rsidRPr="006764F5">
        <w:rPr>
          <w:rFonts w:ascii="Times New Roman" w:hAnsi="Times New Roman" w:cs="Times New Roman"/>
        </w:rPr>
        <w:t>ransmembrane protein 102</w:t>
      </w:r>
      <w:r>
        <w:rPr>
          <w:rFonts w:ascii="Times New Roman" w:hAnsi="Times New Roman" w:cs="Times New Roman"/>
        </w:rPr>
        <w:t>.</w:t>
      </w:r>
    </w:p>
    <w:p w14:paraId="12D6B927" w14:textId="77777777" w:rsidR="00B81EDE" w:rsidRPr="00A66985" w:rsidRDefault="00B81EDE" w:rsidP="00B81EDE">
      <w:pPr>
        <w:spacing w:line="480" w:lineRule="auto"/>
        <w:rPr>
          <w:rFonts w:ascii="Times New Roman" w:hAnsi="Times New Roman" w:cs="Times New Roman"/>
        </w:rPr>
      </w:pPr>
    </w:p>
    <w:p w14:paraId="3F6C4D19" w14:textId="77777777" w:rsidR="00A605FA" w:rsidRDefault="00A605FA"/>
    <w:sectPr w:rsidR="00A605FA" w:rsidSect="00B81EDE">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6909C03" w14:textId="77777777" w:rsidR="008271BF" w:rsidRDefault="008271BF" w:rsidP="00B81EDE">
      <w:r>
        <w:separator/>
      </w:r>
    </w:p>
  </w:endnote>
  <w:endnote w:type="continuationSeparator" w:id="0">
    <w:p w14:paraId="669EF8A8" w14:textId="77777777" w:rsidR="008271BF" w:rsidRDefault="008271BF" w:rsidP="00B81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E132429" w14:textId="77777777" w:rsidR="008271BF" w:rsidRDefault="008271BF" w:rsidP="00B81EDE">
      <w:r>
        <w:separator/>
      </w:r>
    </w:p>
  </w:footnote>
  <w:footnote w:type="continuationSeparator" w:id="0">
    <w:p w14:paraId="440FBAF7" w14:textId="77777777" w:rsidR="008271BF" w:rsidRDefault="008271BF" w:rsidP="00B81EDE">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EDE"/>
    <w:rsid w:val="00003087"/>
    <w:rsid w:val="000250FA"/>
    <w:rsid w:val="000265DE"/>
    <w:rsid w:val="0003405D"/>
    <w:rsid w:val="00034AED"/>
    <w:rsid w:val="00044A85"/>
    <w:rsid w:val="0005720B"/>
    <w:rsid w:val="00063116"/>
    <w:rsid w:val="00065094"/>
    <w:rsid w:val="000808CB"/>
    <w:rsid w:val="00085345"/>
    <w:rsid w:val="00087F2D"/>
    <w:rsid w:val="0009431E"/>
    <w:rsid w:val="000B1269"/>
    <w:rsid w:val="000B139C"/>
    <w:rsid w:val="000B6C9E"/>
    <w:rsid w:val="000C4C50"/>
    <w:rsid w:val="000D23B5"/>
    <w:rsid w:val="000E0D2B"/>
    <w:rsid w:val="000E15BF"/>
    <w:rsid w:val="000E19FE"/>
    <w:rsid w:val="000E57C0"/>
    <w:rsid w:val="000E5B2C"/>
    <w:rsid w:val="000F6E68"/>
    <w:rsid w:val="001004D8"/>
    <w:rsid w:val="00104A8B"/>
    <w:rsid w:val="00106865"/>
    <w:rsid w:val="00107780"/>
    <w:rsid w:val="00121143"/>
    <w:rsid w:val="00132057"/>
    <w:rsid w:val="0013725A"/>
    <w:rsid w:val="00137A42"/>
    <w:rsid w:val="00144B75"/>
    <w:rsid w:val="00157015"/>
    <w:rsid w:val="00183F1B"/>
    <w:rsid w:val="0019799C"/>
    <w:rsid w:val="001B65E8"/>
    <w:rsid w:val="001C3365"/>
    <w:rsid w:val="001C4528"/>
    <w:rsid w:val="001D1A68"/>
    <w:rsid w:val="001D2228"/>
    <w:rsid w:val="001D7609"/>
    <w:rsid w:val="001E33AE"/>
    <w:rsid w:val="001E52AC"/>
    <w:rsid w:val="00200779"/>
    <w:rsid w:val="002224F4"/>
    <w:rsid w:val="002324A9"/>
    <w:rsid w:val="00232F8C"/>
    <w:rsid w:val="00236A95"/>
    <w:rsid w:val="0024634B"/>
    <w:rsid w:val="00247D27"/>
    <w:rsid w:val="00253D25"/>
    <w:rsid w:val="00270035"/>
    <w:rsid w:val="00277541"/>
    <w:rsid w:val="00281B6A"/>
    <w:rsid w:val="002841C7"/>
    <w:rsid w:val="00286AB3"/>
    <w:rsid w:val="002964EE"/>
    <w:rsid w:val="002A0D9C"/>
    <w:rsid w:val="002A587B"/>
    <w:rsid w:val="002C483A"/>
    <w:rsid w:val="002C7B94"/>
    <w:rsid w:val="002D6E35"/>
    <w:rsid w:val="002F2C57"/>
    <w:rsid w:val="002F4FE7"/>
    <w:rsid w:val="00300D4A"/>
    <w:rsid w:val="00300DEF"/>
    <w:rsid w:val="003107FC"/>
    <w:rsid w:val="00320E5D"/>
    <w:rsid w:val="00321A1B"/>
    <w:rsid w:val="003264BF"/>
    <w:rsid w:val="00334F3D"/>
    <w:rsid w:val="00345438"/>
    <w:rsid w:val="00347C38"/>
    <w:rsid w:val="00351656"/>
    <w:rsid w:val="00353C40"/>
    <w:rsid w:val="0036007A"/>
    <w:rsid w:val="0037158F"/>
    <w:rsid w:val="003715D6"/>
    <w:rsid w:val="0039565C"/>
    <w:rsid w:val="00395EAF"/>
    <w:rsid w:val="003A62F1"/>
    <w:rsid w:val="003C1632"/>
    <w:rsid w:val="003D0F43"/>
    <w:rsid w:val="003D0F8A"/>
    <w:rsid w:val="003D1F36"/>
    <w:rsid w:val="003E05D2"/>
    <w:rsid w:val="003E3C3D"/>
    <w:rsid w:val="004012EC"/>
    <w:rsid w:val="00402C4E"/>
    <w:rsid w:val="0042141F"/>
    <w:rsid w:val="0043486B"/>
    <w:rsid w:val="0043710A"/>
    <w:rsid w:val="00442527"/>
    <w:rsid w:val="00452334"/>
    <w:rsid w:val="00460796"/>
    <w:rsid w:val="00460D2E"/>
    <w:rsid w:val="00467D65"/>
    <w:rsid w:val="00472608"/>
    <w:rsid w:val="004841D2"/>
    <w:rsid w:val="00485067"/>
    <w:rsid w:val="00493960"/>
    <w:rsid w:val="004C063B"/>
    <w:rsid w:val="004C24C6"/>
    <w:rsid w:val="004C650C"/>
    <w:rsid w:val="004E00C6"/>
    <w:rsid w:val="004E2464"/>
    <w:rsid w:val="004E64C3"/>
    <w:rsid w:val="004F3FBA"/>
    <w:rsid w:val="00504ED8"/>
    <w:rsid w:val="00512DDA"/>
    <w:rsid w:val="00521991"/>
    <w:rsid w:val="0053194C"/>
    <w:rsid w:val="00531EC1"/>
    <w:rsid w:val="00536B66"/>
    <w:rsid w:val="00545506"/>
    <w:rsid w:val="005601E9"/>
    <w:rsid w:val="00562A17"/>
    <w:rsid w:val="0056726D"/>
    <w:rsid w:val="0057415C"/>
    <w:rsid w:val="0058111E"/>
    <w:rsid w:val="005969B3"/>
    <w:rsid w:val="005B1E95"/>
    <w:rsid w:val="005C23FC"/>
    <w:rsid w:val="005C631A"/>
    <w:rsid w:val="005D18F9"/>
    <w:rsid w:val="005D2C1A"/>
    <w:rsid w:val="005D4202"/>
    <w:rsid w:val="005D43EF"/>
    <w:rsid w:val="005F4A8E"/>
    <w:rsid w:val="005F5DD1"/>
    <w:rsid w:val="00602EE8"/>
    <w:rsid w:val="00612D50"/>
    <w:rsid w:val="00613B44"/>
    <w:rsid w:val="00621331"/>
    <w:rsid w:val="00621F0D"/>
    <w:rsid w:val="006368DE"/>
    <w:rsid w:val="0065570D"/>
    <w:rsid w:val="00656360"/>
    <w:rsid w:val="00674D2F"/>
    <w:rsid w:val="00686DF0"/>
    <w:rsid w:val="0069249A"/>
    <w:rsid w:val="0069423E"/>
    <w:rsid w:val="00696C07"/>
    <w:rsid w:val="006A0E7E"/>
    <w:rsid w:val="006A7E19"/>
    <w:rsid w:val="006B2D49"/>
    <w:rsid w:val="006B3693"/>
    <w:rsid w:val="006B4797"/>
    <w:rsid w:val="006B560F"/>
    <w:rsid w:val="006D179C"/>
    <w:rsid w:val="006D3434"/>
    <w:rsid w:val="006D477B"/>
    <w:rsid w:val="006D6DDE"/>
    <w:rsid w:val="006E1A55"/>
    <w:rsid w:val="006E359F"/>
    <w:rsid w:val="006E56CE"/>
    <w:rsid w:val="006F711D"/>
    <w:rsid w:val="00701BC1"/>
    <w:rsid w:val="00704DE0"/>
    <w:rsid w:val="00706DA9"/>
    <w:rsid w:val="00714AC6"/>
    <w:rsid w:val="0073423A"/>
    <w:rsid w:val="00755AA1"/>
    <w:rsid w:val="0077322B"/>
    <w:rsid w:val="00784F18"/>
    <w:rsid w:val="007854FA"/>
    <w:rsid w:val="007936B6"/>
    <w:rsid w:val="007A6F1C"/>
    <w:rsid w:val="007A7EC3"/>
    <w:rsid w:val="007B68BB"/>
    <w:rsid w:val="007C2146"/>
    <w:rsid w:val="007D123F"/>
    <w:rsid w:val="007E4B8E"/>
    <w:rsid w:val="007F479C"/>
    <w:rsid w:val="008003E6"/>
    <w:rsid w:val="00801AA3"/>
    <w:rsid w:val="0081473E"/>
    <w:rsid w:val="00821DC6"/>
    <w:rsid w:val="008271BF"/>
    <w:rsid w:val="0083320C"/>
    <w:rsid w:val="008464F8"/>
    <w:rsid w:val="00853009"/>
    <w:rsid w:val="0086032B"/>
    <w:rsid w:val="00866553"/>
    <w:rsid w:val="00884A26"/>
    <w:rsid w:val="00885DFD"/>
    <w:rsid w:val="00887B54"/>
    <w:rsid w:val="008912DE"/>
    <w:rsid w:val="008B3DFC"/>
    <w:rsid w:val="008B6B12"/>
    <w:rsid w:val="008C574E"/>
    <w:rsid w:val="008D0023"/>
    <w:rsid w:val="008D1374"/>
    <w:rsid w:val="008D4C56"/>
    <w:rsid w:val="008D77A0"/>
    <w:rsid w:val="008E0A12"/>
    <w:rsid w:val="00905296"/>
    <w:rsid w:val="00922902"/>
    <w:rsid w:val="00923621"/>
    <w:rsid w:val="0093723D"/>
    <w:rsid w:val="009437FD"/>
    <w:rsid w:val="0095227E"/>
    <w:rsid w:val="0095598F"/>
    <w:rsid w:val="00970B4B"/>
    <w:rsid w:val="00970F45"/>
    <w:rsid w:val="009732E6"/>
    <w:rsid w:val="009B0567"/>
    <w:rsid w:val="009B5DEC"/>
    <w:rsid w:val="009B621A"/>
    <w:rsid w:val="009D31CD"/>
    <w:rsid w:val="009D50EB"/>
    <w:rsid w:val="009E1105"/>
    <w:rsid w:val="009F04B7"/>
    <w:rsid w:val="009F550A"/>
    <w:rsid w:val="009F7830"/>
    <w:rsid w:val="009F79C2"/>
    <w:rsid w:val="00A04840"/>
    <w:rsid w:val="00A050BB"/>
    <w:rsid w:val="00A11588"/>
    <w:rsid w:val="00A156F6"/>
    <w:rsid w:val="00A15E04"/>
    <w:rsid w:val="00A16E6B"/>
    <w:rsid w:val="00A605FA"/>
    <w:rsid w:val="00A638CD"/>
    <w:rsid w:val="00A6675A"/>
    <w:rsid w:val="00A723AB"/>
    <w:rsid w:val="00A72B13"/>
    <w:rsid w:val="00A73C47"/>
    <w:rsid w:val="00A74494"/>
    <w:rsid w:val="00A74C07"/>
    <w:rsid w:val="00A86FA0"/>
    <w:rsid w:val="00AA114F"/>
    <w:rsid w:val="00AA628F"/>
    <w:rsid w:val="00AA707B"/>
    <w:rsid w:val="00AB46E0"/>
    <w:rsid w:val="00AE4973"/>
    <w:rsid w:val="00AE4F8E"/>
    <w:rsid w:val="00AE6384"/>
    <w:rsid w:val="00AE7923"/>
    <w:rsid w:val="00AF49E0"/>
    <w:rsid w:val="00AF59C2"/>
    <w:rsid w:val="00B04468"/>
    <w:rsid w:val="00B1362F"/>
    <w:rsid w:val="00B22977"/>
    <w:rsid w:val="00B23C90"/>
    <w:rsid w:val="00B31418"/>
    <w:rsid w:val="00B47498"/>
    <w:rsid w:val="00B50009"/>
    <w:rsid w:val="00B50DF8"/>
    <w:rsid w:val="00B627A9"/>
    <w:rsid w:val="00B726C0"/>
    <w:rsid w:val="00B81EDE"/>
    <w:rsid w:val="00B876C0"/>
    <w:rsid w:val="00B962D7"/>
    <w:rsid w:val="00BA1A72"/>
    <w:rsid w:val="00BA27E3"/>
    <w:rsid w:val="00BB274C"/>
    <w:rsid w:val="00BB7FFA"/>
    <w:rsid w:val="00BC5DFC"/>
    <w:rsid w:val="00BD2FE7"/>
    <w:rsid w:val="00BD4A96"/>
    <w:rsid w:val="00BF0E46"/>
    <w:rsid w:val="00C04B1E"/>
    <w:rsid w:val="00C071DE"/>
    <w:rsid w:val="00C119E3"/>
    <w:rsid w:val="00C166A0"/>
    <w:rsid w:val="00C2360F"/>
    <w:rsid w:val="00C326C1"/>
    <w:rsid w:val="00C43070"/>
    <w:rsid w:val="00C524FD"/>
    <w:rsid w:val="00C61B54"/>
    <w:rsid w:val="00C62009"/>
    <w:rsid w:val="00C746AC"/>
    <w:rsid w:val="00C77405"/>
    <w:rsid w:val="00C81A83"/>
    <w:rsid w:val="00C877C9"/>
    <w:rsid w:val="00C95C32"/>
    <w:rsid w:val="00CA5067"/>
    <w:rsid w:val="00CA7C7D"/>
    <w:rsid w:val="00CC1EE0"/>
    <w:rsid w:val="00CE1175"/>
    <w:rsid w:val="00CE5C6A"/>
    <w:rsid w:val="00D054B1"/>
    <w:rsid w:val="00D25AEB"/>
    <w:rsid w:val="00D43450"/>
    <w:rsid w:val="00D46733"/>
    <w:rsid w:val="00D61F02"/>
    <w:rsid w:val="00D647F1"/>
    <w:rsid w:val="00D71121"/>
    <w:rsid w:val="00D74928"/>
    <w:rsid w:val="00DA2FD2"/>
    <w:rsid w:val="00DA4944"/>
    <w:rsid w:val="00DA57AF"/>
    <w:rsid w:val="00DB3002"/>
    <w:rsid w:val="00DC44E5"/>
    <w:rsid w:val="00E059B1"/>
    <w:rsid w:val="00E10E24"/>
    <w:rsid w:val="00E13E2E"/>
    <w:rsid w:val="00E31995"/>
    <w:rsid w:val="00E55D95"/>
    <w:rsid w:val="00E607BC"/>
    <w:rsid w:val="00E609BD"/>
    <w:rsid w:val="00E61D62"/>
    <w:rsid w:val="00E62E40"/>
    <w:rsid w:val="00E62E63"/>
    <w:rsid w:val="00E64C63"/>
    <w:rsid w:val="00E72C38"/>
    <w:rsid w:val="00E85571"/>
    <w:rsid w:val="00E94706"/>
    <w:rsid w:val="00E94AE4"/>
    <w:rsid w:val="00EA5064"/>
    <w:rsid w:val="00EA7352"/>
    <w:rsid w:val="00EB5D03"/>
    <w:rsid w:val="00EB6AEB"/>
    <w:rsid w:val="00EC10D9"/>
    <w:rsid w:val="00EC2760"/>
    <w:rsid w:val="00ED3EA5"/>
    <w:rsid w:val="00EE5A51"/>
    <w:rsid w:val="00EF5A4E"/>
    <w:rsid w:val="00F158AD"/>
    <w:rsid w:val="00F15D5C"/>
    <w:rsid w:val="00F1685D"/>
    <w:rsid w:val="00F20F92"/>
    <w:rsid w:val="00F2363C"/>
    <w:rsid w:val="00F35547"/>
    <w:rsid w:val="00F35711"/>
    <w:rsid w:val="00F377E9"/>
    <w:rsid w:val="00F54C4C"/>
    <w:rsid w:val="00F65C32"/>
    <w:rsid w:val="00F72099"/>
    <w:rsid w:val="00F75075"/>
    <w:rsid w:val="00F82201"/>
    <w:rsid w:val="00F91DA7"/>
    <w:rsid w:val="00F954C4"/>
    <w:rsid w:val="00FA4D7C"/>
    <w:rsid w:val="00FA76B5"/>
    <w:rsid w:val="00FC5E6E"/>
    <w:rsid w:val="00FC5FDB"/>
    <w:rsid w:val="00FE3405"/>
    <w:rsid w:val="00FE44BF"/>
    <w:rsid w:val="00FE6337"/>
    <w:rsid w:val="00FE7452"/>
    <w:rsid w:val="00FF63DC"/>
    <w:rsid w:val="00FF6654"/>
  </w:rsids>
  <m:mathPr>
    <m:mathFont m:val="Cambria Math"/>
    <m:brkBin m:val="before"/>
    <m:brkBinSub m:val="--"/>
    <m:smallFrac m:val="0"/>
    <m:dispDef/>
    <m:lMargin m:val="0"/>
    <m:rMargin m:val="0"/>
    <m:defJc m:val="centerGroup"/>
    <m:wrapIndent m:val="1440"/>
    <m:intLim m:val="subSup"/>
    <m:naryLim m:val="undOvr"/>
  </m:mathPr>
  <w:themeFontLang w:val="en-TR"/>
  <w:clrSchemeMapping w:bg1="light1" w:t1="dark1" w:bg2="light2" w:t2="dark2" w:accent1="accent1" w:accent2="accent2" w:accent3="accent3" w:accent4="accent4" w:accent5="accent5" w:accent6="accent6" w:hyperlink="hyperlink" w:followedHyperlink="followedHyperlink"/>
  <w:decimalSymbol w:val=","/>
  <w:listSeparator w:val=","/>
  <w14:docId w14:val="34427620"/>
  <w15:chartTrackingRefBased/>
  <w15:docId w15:val="{54956A29-1B01-5C4E-B23F-8B165715A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1EDE"/>
    <w:rPr>
      <w:lang w:val="en-US"/>
    </w:rPr>
  </w:style>
  <w:style w:type="paragraph" w:styleId="Heading1">
    <w:name w:val="heading 1"/>
    <w:basedOn w:val="Normal"/>
    <w:next w:val="Normal"/>
    <w:link w:val="Heading1Char"/>
    <w:uiPriority w:val="9"/>
    <w:qFormat/>
    <w:rsid w:val="00B81ED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81ED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81ED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81ED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81ED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81ED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1ED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1ED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1ED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1EDE"/>
    <w:rPr>
      <w:rFonts w:asciiTheme="majorHAnsi" w:eastAsiaTheme="majorEastAsia" w:hAnsiTheme="majorHAnsi" w:cstheme="majorBidi"/>
      <w:color w:val="2F5496" w:themeColor="accent1" w:themeShade="BF"/>
      <w:sz w:val="40"/>
      <w:szCs w:val="40"/>
      <w:lang w:val="en-US"/>
    </w:rPr>
  </w:style>
  <w:style w:type="character" w:customStyle="1" w:styleId="Heading2Char">
    <w:name w:val="Heading 2 Char"/>
    <w:basedOn w:val="DefaultParagraphFont"/>
    <w:link w:val="Heading2"/>
    <w:uiPriority w:val="9"/>
    <w:semiHidden/>
    <w:rsid w:val="00B81EDE"/>
    <w:rPr>
      <w:rFonts w:asciiTheme="majorHAnsi" w:eastAsiaTheme="majorEastAsia" w:hAnsiTheme="majorHAnsi" w:cstheme="majorBidi"/>
      <w:color w:val="2F5496" w:themeColor="accent1" w:themeShade="BF"/>
      <w:sz w:val="32"/>
      <w:szCs w:val="32"/>
      <w:lang w:val="en-US"/>
    </w:rPr>
  </w:style>
  <w:style w:type="character" w:customStyle="1" w:styleId="Heading3Char">
    <w:name w:val="Heading 3 Char"/>
    <w:basedOn w:val="DefaultParagraphFont"/>
    <w:link w:val="Heading3"/>
    <w:uiPriority w:val="9"/>
    <w:semiHidden/>
    <w:rsid w:val="00B81EDE"/>
    <w:rPr>
      <w:rFonts w:eastAsiaTheme="majorEastAsia" w:cstheme="majorBidi"/>
      <w:color w:val="2F5496" w:themeColor="accent1" w:themeShade="BF"/>
      <w:sz w:val="28"/>
      <w:szCs w:val="28"/>
      <w:lang w:val="en-US"/>
    </w:rPr>
  </w:style>
  <w:style w:type="character" w:customStyle="1" w:styleId="Heading4Char">
    <w:name w:val="Heading 4 Char"/>
    <w:basedOn w:val="DefaultParagraphFont"/>
    <w:link w:val="Heading4"/>
    <w:uiPriority w:val="9"/>
    <w:semiHidden/>
    <w:rsid w:val="00B81EDE"/>
    <w:rPr>
      <w:rFonts w:eastAsiaTheme="majorEastAsia" w:cstheme="majorBidi"/>
      <w:i/>
      <w:iCs/>
      <w:color w:val="2F5496" w:themeColor="accent1" w:themeShade="BF"/>
      <w:lang w:val="en-US"/>
    </w:rPr>
  </w:style>
  <w:style w:type="character" w:customStyle="1" w:styleId="Heading5Char">
    <w:name w:val="Heading 5 Char"/>
    <w:basedOn w:val="DefaultParagraphFont"/>
    <w:link w:val="Heading5"/>
    <w:uiPriority w:val="9"/>
    <w:semiHidden/>
    <w:rsid w:val="00B81EDE"/>
    <w:rPr>
      <w:rFonts w:eastAsiaTheme="majorEastAsia" w:cstheme="majorBidi"/>
      <w:color w:val="2F5496" w:themeColor="accent1" w:themeShade="BF"/>
      <w:lang w:val="en-US"/>
    </w:rPr>
  </w:style>
  <w:style w:type="character" w:customStyle="1" w:styleId="Heading6Char">
    <w:name w:val="Heading 6 Char"/>
    <w:basedOn w:val="DefaultParagraphFont"/>
    <w:link w:val="Heading6"/>
    <w:uiPriority w:val="9"/>
    <w:semiHidden/>
    <w:rsid w:val="00B81EDE"/>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B81EDE"/>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B81EDE"/>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B81EDE"/>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B81ED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1EDE"/>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B81ED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1EDE"/>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B81ED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81EDE"/>
    <w:rPr>
      <w:i/>
      <w:iCs/>
      <w:color w:val="404040" w:themeColor="text1" w:themeTint="BF"/>
      <w:lang w:val="en-US"/>
    </w:rPr>
  </w:style>
  <w:style w:type="paragraph" w:styleId="ListParagraph">
    <w:name w:val="List Paragraph"/>
    <w:basedOn w:val="Normal"/>
    <w:uiPriority w:val="34"/>
    <w:qFormat/>
    <w:rsid w:val="00B81EDE"/>
    <w:pPr>
      <w:ind w:left="720"/>
      <w:contextualSpacing/>
    </w:pPr>
  </w:style>
  <w:style w:type="character" w:styleId="IntenseEmphasis">
    <w:name w:val="Intense Emphasis"/>
    <w:basedOn w:val="DefaultParagraphFont"/>
    <w:uiPriority w:val="21"/>
    <w:qFormat/>
    <w:rsid w:val="00B81EDE"/>
    <w:rPr>
      <w:i/>
      <w:iCs/>
      <w:color w:val="2F5496" w:themeColor="accent1" w:themeShade="BF"/>
    </w:rPr>
  </w:style>
  <w:style w:type="paragraph" w:styleId="IntenseQuote">
    <w:name w:val="Intense Quote"/>
    <w:basedOn w:val="Normal"/>
    <w:next w:val="Normal"/>
    <w:link w:val="IntenseQuoteChar"/>
    <w:uiPriority w:val="30"/>
    <w:qFormat/>
    <w:rsid w:val="00B81ED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81EDE"/>
    <w:rPr>
      <w:i/>
      <w:iCs/>
      <w:color w:val="2F5496" w:themeColor="accent1" w:themeShade="BF"/>
      <w:lang w:val="en-US"/>
    </w:rPr>
  </w:style>
  <w:style w:type="character" w:styleId="IntenseReference">
    <w:name w:val="Intense Reference"/>
    <w:basedOn w:val="DefaultParagraphFont"/>
    <w:uiPriority w:val="32"/>
    <w:qFormat/>
    <w:rsid w:val="00B81EDE"/>
    <w:rPr>
      <w:b/>
      <w:bCs/>
      <w:smallCaps/>
      <w:color w:val="2F5496" w:themeColor="accent1" w:themeShade="BF"/>
      <w:spacing w:val="5"/>
    </w:rPr>
  </w:style>
  <w:style w:type="paragraph" w:styleId="Header">
    <w:name w:val="header"/>
    <w:basedOn w:val="Normal"/>
    <w:link w:val="HeaderChar"/>
    <w:uiPriority w:val="99"/>
    <w:unhideWhenUsed/>
    <w:rsid w:val="00B81EDE"/>
    <w:pPr>
      <w:tabs>
        <w:tab w:val="center" w:pos="4680"/>
        <w:tab w:val="right" w:pos="9360"/>
      </w:tabs>
    </w:pPr>
  </w:style>
  <w:style w:type="character" w:customStyle="1" w:styleId="HeaderChar">
    <w:name w:val="Header Char"/>
    <w:basedOn w:val="DefaultParagraphFont"/>
    <w:link w:val="Header"/>
    <w:uiPriority w:val="99"/>
    <w:rsid w:val="00B81EDE"/>
    <w:rPr>
      <w:lang w:val="en-US"/>
    </w:rPr>
  </w:style>
  <w:style w:type="paragraph" w:styleId="Footer">
    <w:name w:val="footer"/>
    <w:basedOn w:val="Normal"/>
    <w:link w:val="FooterChar"/>
    <w:uiPriority w:val="99"/>
    <w:unhideWhenUsed/>
    <w:rsid w:val="00B81EDE"/>
    <w:pPr>
      <w:tabs>
        <w:tab w:val="center" w:pos="4680"/>
        <w:tab w:val="right" w:pos="9360"/>
      </w:tabs>
    </w:pPr>
  </w:style>
  <w:style w:type="character" w:customStyle="1" w:styleId="FooterChar">
    <w:name w:val="Footer Char"/>
    <w:basedOn w:val="DefaultParagraphFont"/>
    <w:link w:val="Footer"/>
    <w:uiPriority w:val="99"/>
    <w:rsid w:val="00B81EDE"/>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584</Words>
  <Characters>3330</Characters>
  <Application>Microsoft Office Word</Application>
  <DocSecurity>0</DocSecurity>
  <Lines>27</Lines>
  <Paragraphs>7</Paragraphs>
  <ScaleCrop>false</ScaleCrop>
  <Company/>
  <LinksUpToDate>false</LinksUpToDate>
  <CharactersWithSpaces>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Mirac Nur Musaoglu</dc:creator>
  <cp:keywords/>
  <dc:description/>
  <cp:lastModifiedBy>Mirac Nur Musaoglu</cp:lastModifiedBy>
  <cp:revision>1</cp:revision>
  <dcterms:created xsi:type="dcterms:W3CDTF">2026-08-19T11:57:00Z</dcterms:created>
  <dcterms:modified xsi:type="dcterms:W3CDTF">2026-08-19T12:05:00Z</dcterms:modified>
</cp:coreProperties>
</file>