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29E" w:rsidRPr="00D75644" w:rsidRDefault="00D75644" w:rsidP="008D3F5D">
      <w:pPr>
        <w:spacing w:line="480" w:lineRule="auto"/>
        <w:rPr>
          <w:rFonts w:ascii="Times New Roman" w:hAnsi="Times New Roman" w:cs="Times New Roman"/>
          <w:bCs/>
          <w:sz w:val="24"/>
        </w:rPr>
      </w:pPr>
      <w:r w:rsidRPr="00584C40">
        <w:rPr>
          <w:rFonts w:ascii="Times New Roman" w:hAnsi="Times New Roman" w:cs="Times New Roman"/>
          <w:b/>
          <w:bCs/>
          <w:sz w:val="24"/>
        </w:rPr>
        <w:t>Supplementary Figure S1</w:t>
      </w:r>
      <w:r w:rsidRPr="00584C40">
        <w:rPr>
          <w:rFonts w:ascii="Times New Roman" w:hAnsi="Times New Roman" w:cs="Times New Roman" w:hint="eastAsia"/>
          <w:b/>
          <w:bCs/>
          <w:sz w:val="24"/>
        </w:rPr>
        <w:t>:</w:t>
      </w:r>
      <w:r>
        <w:rPr>
          <w:rFonts w:ascii="Times New Roman" w:hAnsi="Times New Roman" w:cs="Times New Roman" w:hint="eastAsia"/>
          <w:bCs/>
          <w:sz w:val="24"/>
        </w:rPr>
        <w:t xml:space="preserve"> OS</w:t>
      </w:r>
      <w:r>
        <w:rPr>
          <w:rFonts w:ascii="Times New Roman" w:eastAsia="宋体" w:hAnsi="Times New Roman" w:cs="Times New Roman"/>
          <w:sz w:val="24"/>
          <w:lang w:bidi="ar"/>
        </w:rPr>
        <w:t xml:space="preserve"> (A), </w:t>
      </w:r>
      <w:r>
        <w:rPr>
          <w:rFonts w:ascii="Times New Roman" w:eastAsia="宋体" w:hAnsi="Times New Roman" w:cs="Times New Roman" w:hint="eastAsia"/>
          <w:sz w:val="24"/>
          <w:lang w:bidi="ar"/>
        </w:rPr>
        <w:t>LRRFS</w:t>
      </w:r>
      <w:r>
        <w:rPr>
          <w:rFonts w:ascii="Times New Roman" w:eastAsia="宋体" w:hAnsi="Times New Roman" w:cs="Times New Roman"/>
          <w:sz w:val="24"/>
          <w:lang w:bidi="ar"/>
        </w:rPr>
        <w:t xml:space="preserve"> (B), </w:t>
      </w:r>
      <w:r>
        <w:rPr>
          <w:rFonts w:ascii="Times New Roman" w:eastAsia="宋体" w:hAnsi="Times New Roman" w:cs="Times New Roman" w:hint="eastAsia"/>
          <w:sz w:val="24"/>
          <w:lang w:bidi="ar"/>
        </w:rPr>
        <w:t>DMFS</w:t>
      </w:r>
      <w:r>
        <w:rPr>
          <w:rFonts w:ascii="Times New Roman" w:eastAsia="宋体" w:hAnsi="Times New Roman" w:cs="Times New Roman"/>
          <w:sz w:val="24"/>
          <w:lang w:bidi="ar"/>
        </w:rPr>
        <w:t xml:space="preserve"> (C) and </w:t>
      </w:r>
      <w:r>
        <w:rPr>
          <w:rFonts w:ascii="Times New Roman" w:eastAsia="宋体" w:hAnsi="Times New Roman" w:cs="Times New Roman" w:hint="eastAsia"/>
          <w:sz w:val="24"/>
          <w:lang w:bidi="ar"/>
        </w:rPr>
        <w:t>PFS</w:t>
      </w:r>
      <w:r>
        <w:rPr>
          <w:rFonts w:ascii="Times New Roman" w:eastAsia="宋体" w:hAnsi="Times New Roman" w:cs="Times New Roman"/>
          <w:sz w:val="24"/>
          <w:lang w:bidi="ar"/>
        </w:rPr>
        <w:t xml:space="preserve"> (D) Kaplan–Meier’s curves</w:t>
      </w:r>
      <w:r>
        <w:rPr>
          <w:rFonts w:ascii="Times New Roman" w:hAnsi="Times New Roman" w:cs="Times New Roman"/>
          <w:bCs/>
          <w:sz w:val="24"/>
        </w:rPr>
        <w:t xml:space="preserve"> for patients stratified based on the </w:t>
      </w:r>
      <w:proofErr w:type="spellStart"/>
      <w:r>
        <w:rPr>
          <w:rFonts w:ascii="Times New Roman" w:hAnsi="Times New Roman" w:cs="Times New Roman"/>
          <w:bCs/>
          <w:sz w:val="24"/>
        </w:rPr>
        <w:t>nomogram</w:t>
      </w:r>
      <w:proofErr w:type="spellEnd"/>
      <w:r>
        <w:rPr>
          <w:rFonts w:ascii="Times New Roman" w:hAnsi="Times New Roman" w:cs="Times New Roman"/>
          <w:bCs/>
          <w:sz w:val="24"/>
        </w:rPr>
        <w:t xml:space="preserve"> in the </w:t>
      </w:r>
      <w:r>
        <w:rPr>
          <w:rFonts w:ascii="Times New Roman" w:hAnsi="Times New Roman" w:cs="Times New Roman" w:hint="eastAsia"/>
          <w:bCs/>
          <w:sz w:val="24"/>
        </w:rPr>
        <w:t>whole</w:t>
      </w:r>
      <w:r>
        <w:rPr>
          <w:rFonts w:ascii="Times New Roman" w:hAnsi="Times New Roman" w:cs="Times New Roman"/>
          <w:bCs/>
          <w:sz w:val="24"/>
        </w:rPr>
        <w:t xml:space="preserve"> cohort.</w:t>
      </w:r>
    </w:p>
    <w:p w:rsidR="009C029E" w:rsidRDefault="009C029E" w:rsidP="008D3F5D">
      <w:pPr>
        <w:spacing w:line="480" w:lineRule="auto"/>
        <w:rPr>
          <w:rFonts w:ascii="Times New Roman" w:hAnsi="Times New Roman" w:cs="Times New Roman"/>
          <w:sz w:val="24"/>
        </w:rPr>
      </w:pPr>
    </w:p>
    <w:p w:rsidR="009C029E" w:rsidRDefault="00172329" w:rsidP="008D3F5D">
      <w:pPr>
        <w:spacing w:line="480" w:lineRule="auto"/>
        <w:rPr>
          <w:rFonts w:ascii="Times New Roman" w:hAnsi="Times New Roman" w:cs="Times New Roman"/>
          <w:b/>
          <w:bCs/>
          <w:sz w:val="24"/>
        </w:rPr>
      </w:pPr>
      <w:r>
        <w:rPr>
          <w:rFonts w:ascii="Times New Roman" w:hAnsi="Times New Roman" w:cs="Times New Roman"/>
          <w:b/>
          <w:bCs/>
          <w:sz w:val="24"/>
        </w:rPr>
        <w:t>Supplementary materials</w:t>
      </w:r>
      <w:r>
        <w:rPr>
          <w:rFonts w:ascii="Times New Roman" w:hAnsi="Times New Roman" w:cs="Times New Roman" w:hint="eastAsia"/>
          <w:b/>
          <w:bCs/>
          <w:sz w:val="24"/>
        </w:rPr>
        <w:t>:</w:t>
      </w:r>
    </w:p>
    <w:p w:rsidR="009C029E" w:rsidRDefault="00172329" w:rsidP="008D3F5D">
      <w:pPr>
        <w:spacing w:line="480" w:lineRule="auto"/>
        <w:rPr>
          <w:rFonts w:ascii="Times New Roman" w:hAnsi="Times New Roman" w:cs="Times New Roman"/>
          <w:b/>
          <w:bCs/>
          <w:sz w:val="24"/>
        </w:rPr>
      </w:pPr>
      <w:r>
        <w:rPr>
          <w:rFonts w:ascii="Times New Roman" w:hAnsi="Times New Roman" w:cs="Times New Roman" w:hint="eastAsia"/>
          <w:b/>
          <w:bCs/>
          <w:sz w:val="24"/>
        </w:rPr>
        <w:t>Details of chemotherapy and radiotherapy treatment</w:t>
      </w:r>
    </w:p>
    <w:p w:rsidR="009C029E" w:rsidRDefault="00172329" w:rsidP="008D3F5D">
      <w:pPr>
        <w:spacing w:line="480" w:lineRule="auto"/>
        <w:ind w:firstLineChars="200" w:firstLine="480"/>
        <w:rPr>
          <w:rFonts w:ascii="Times New Roman" w:hAnsi="Times New Roman" w:cs="Times New Roman"/>
          <w:sz w:val="24"/>
        </w:rPr>
      </w:pPr>
      <w:r>
        <w:rPr>
          <w:rFonts w:ascii="Times New Roman" w:hAnsi="Times New Roman" w:cs="Times New Roman"/>
          <w:sz w:val="24"/>
        </w:rPr>
        <w:t>The regimens of IC included TPF regimen (</w:t>
      </w:r>
      <w:proofErr w:type="spellStart"/>
      <w:r>
        <w:rPr>
          <w:rFonts w:ascii="Times New Roman" w:hAnsi="Times New Roman" w:cs="Times New Roman"/>
          <w:sz w:val="24"/>
        </w:rPr>
        <w:t>docetaxel</w:t>
      </w:r>
      <w:proofErr w:type="spellEnd"/>
      <w:r>
        <w:rPr>
          <w:rFonts w:ascii="Times New Roman" w:hAnsi="Times New Roman" w:cs="Times New Roman"/>
          <w:sz w:val="24"/>
        </w:rPr>
        <w:t xml:space="preserve"> with </w:t>
      </w:r>
      <w:proofErr w:type="spellStart"/>
      <w:r>
        <w:rPr>
          <w:rFonts w:ascii="Times New Roman" w:hAnsi="Times New Roman" w:cs="Times New Roman"/>
          <w:sz w:val="24"/>
        </w:rPr>
        <w:t>cisplatin</w:t>
      </w:r>
      <w:proofErr w:type="spellEnd"/>
      <w:r>
        <w:rPr>
          <w:rFonts w:ascii="Times New Roman" w:hAnsi="Times New Roman" w:cs="Times New Roman"/>
          <w:sz w:val="24"/>
        </w:rPr>
        <w:t xml:space="preserve"> with 5-fluorouracil, 60, 60, and 3,000 mg/m2, respectively), or TP regimen (</w:t>
      </w:r>
      <w:proofErr w:type="spellStart"/>
      <w:r>
        <w:rPr>
          <w:rFonts w:ascii="Times New Roman" w:hAnsi="Times New Roman" w:cs="Times New Roman"/>
          <w:sz w:val="24"/>
        </w:rPr>
        <w:t>docetaxel</w:t>
      </w:r>
      <w:proofErr w:type="spellEnd"/>
      <w:r>
        <w:rPr>
          <w:rFonts w:ascii="Times New Roman" w:hAnsi="Times New Roman" w:cs="Times New Roman"/>
          <w:sz w:val="24"/>
        </w:rPr>
        <w:t xml:space="preserve"> with </w:t>
      </w:r>
      <w:proofErr w:type="spellStart"/>
      <w:r>
        <w:rPr>
          <w:rFonts w:ascii="Times New Roman" w:hAnsi="Times New Roman" w:cs="Times New Roman"/>
          <w:sz w:val="24"/>
        </w:rPr>
        <w:t>cisplatin</w:t>
      </w:r>
      <w:proofErr w:type="spellEnd"/>
      <w:r>
        <w:rPr>
          <w:rFonts w:ascii="Times New Roman" w:hAnsi="Times New Roman" w:cs="Times New Roman"/>
          <w:sz w:val="24"/>
        </w:rPr>
        <w:t xml:space="preserve">, 75 and 75 mg/m2, respectively), or GP regimen (gemcitabine with </w:t>
      </w:r>
      <w:proofErr w:type="spellStart"/>
      <w:r>
        <w:rPr>
          <w:rFonts w:ascii="Times New Roman" w:hAnsi="Times New Roman" w:cs="Times New Roman"/>
          <w:sz w:val="24"/>
        </w:rPr>
        <w:t>cisplatin</w:t>
      </w:r>
      <w:proofErr w:type="spellEnd"/>
      <w:r>
        <w:rPr>
          <w:rFonts w:ascii="Times New Roman" w:hAnsi="Times New Roman" w:cs="Times New Roman"/>
          <w:sz w:val="24"/>
        </w:rPr>
        <w:t>, 1000 and 80 mg/m2, respectively), or PF regimen (</w:t>
      </w:r>
      <w:proofErr w:type="spellStart"/>
      <w:r>
        <w:rPr>
          <w:rFonts w:ascii="Times New Roman" w:hAnsi="Times New Roman" w:cs="Times New Roman"/>
          <w:sz w:val="24"/>
        </w:rPr>
        <w:t>cisplatin</w:t>
      </w:r>
      <w:proofErr w:type="spellEnd"/>
      <w:r>
        <w:rPr>
          <w:rFonts w:ascii="Times New Roman" w:hAnsi="Times New Roman" w:cs="Times New Roman"/>
          <w:sz w:val="24"/>
        </w:rPr>
        <w:t xml:space="preserve"> with 5-fluorouracil, 80 and 4,000 mg/m2, respectively)</w:t>
      </w:r>
      <w:r>
        <w:rPr>
          <w:rFonts w:ascii="Times New Roman" w:hAnsi="Times New Roman" w:cs="Times New Roman" w:hint="eastAsia"/>
          <w:sz w:val="24"/>
        </w:rPr>
        <w:t>.</w:t>
      </w:r>
      <w:r w:rsidR="005A6595">
        <w:rPr>
          <w:rFonts w:ascii="Times New Roman" w:hAnsi="Times New Roman" w:cs="Times New Roman" w:hint="eastAsia"/>
          <w:sz w:val="24"/>
        </w:rPr>
        <w:t xml:space="preserve"> Concurrent chemotherapy</w:t>
      </w:r>
      <w:r w:rsidR="005A6595" w:rsidRPr="005A6595">
        <w:rPr>
          <w:rFonts w:ascii="Times New Roman" w:hAnsi="Times New Roman" w:cs="Times New Roman"/>
          <w:sz w:val="24"/>
        </w:rPr>
        <w:t xml:space="preserve"> </w:t>
      </w:r>
      <w:r w:rsidR="005A6595">
        <w:rPr>
          <w:rFonts w:ascii="Times New Roman" w:hAnsi="Times New Roman" w:cs="Times New Roman" w:hint="eastAsia"/>
          <w:sz w:val="24"/>
        </w:rPr>
        <w:t>is mainly</w:t>
      </w:r>
      <w:r w:rsidR="005A6595" w:rsidRPr="005A6595">
        <w:rPr>
          <w:rFonts w:ascii="Times New Roman" w:hAnsi="Times New Roman" w:cs="Times New Roman"/>
          <w:sz w:val="24"/>
        </w:rPr>
        <w:t xml:space="preserve"> 3-weekly </w:t>
      </w:r>
      <w:proofErr w:type="spellStart"/>
      <w:r w:rsidR="005A6595" w:rsidRPr="005A6595">
        <w:rPr>
          <w:rFonts w:ascii="Times New Roman" w:hAnsi="Times New Roman" w:cs="Times New Roman"/>
          <w:sz w:val="24"/>
        </w:rPr>
        <w:t>cisp</w:t>
      </w:r>
      <w:r w:rsidR="005A6595">
        <w:rPr>
          <w:rFonts w:ascii="Times New Roman" w:hAnsi="Times New Roman" w:cs="Times New Roman"/>
          <w:sz w:val="24"/>
        </w:rPr>
        <w:t>latin</w:t>
      </w:r>
      <w:proofErr w:type="spellEnd"/>
      <w:r w:rsidR="005A6595">
        <w:rPr>
          <w:rFonts w:ascii="Times New Roman" w:hAnsi="Times New Roman" w:cs="Times New Roman"/>
          <w:sz w:val="24"/>
        </w:rPr>
        <w:t xml:space="preserve"> (80–100 mg/m2) </w:t>
      </w:r>
      <w:r w:rsidR="001F45C8">
        <w:rPr>
          <w:rFonts w:ascii="Times New Roman" w:hAnsi="Times New Roman" w:cs="Times New Roman" w:hint="eastAsia"/>
          <w:sz w:val="24"/>
        </w:rPr>
        <w:t xml:space="preserve">regime </w:t>
      </w:r>
      <w:r w:rsidR="005A6595">
        <w:rPr>
          <w:rFonts w:ascii="Times New Roman" w:hAnsi="Times New Roman" w:cs="Times New Roman"/>
          <w:sz w:val="24"/>
        </w:rPr>
        <w:t>for two to</w:t>
      </w:r>
      <w:r w:rsidR="005A6595">
        <w:rPr>
          <w:rFonts w:ascii="Times New Roman" w:hAnsi="Times New Roman" w:cs="Times New Roman" w:hint="eastAsia"/>
          <w:sz w:val="24"/>
        </w:rPr>
        <w:t xml:space="preserve"> </w:t>
      </w:r>
      <w:r w:rsidR="005A6595" w:rsidRPr="005A6595">
        <w:rPr>
          <w:rFonts w:ascii="Times New Roman" w:hAnsi="Times New Roman" w:cs="Times New Roman"/>
          <w:sz w:val="24"/>
        </w:rPr>
        <w:t>three cycles</w:t>
      </w:r>
      <w:r w:rsidR="005A6595">
        <w:rPr>
          <w:rFonts w:ascii="Times New Roman" w:hAnsi="Times New Roman" w:cs="Times New Roman" w:hint="eastAsia"/>
          <w:sz w:val="24"/>
        </w:rPr>
        <w:t>.</w:t>
      </w:r>
    </w:p>
    <w:p w:rsidR="009C029E" w:rsidRPr="008D3F5D" w:rsidRDefault="00172329" w:rsidP="008D3F5D">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The primary gross tumor volume (</w:t>
      </w:r>
      <w:proofErr w:type="spellStart"/>
      <w:r>
        <w:rPr>
          <w:rFonts w:ascii="Times New Roman" w:hAnsi="Times New Roman" w:cs="Times New Roman" w:hint="eastAsia"/>
          <w:sz w:val="24"/>
        </w:rPr>
        <w:t>GTVnx</w:t>
      </w:r>
      <w:proofErr w:type="spellEnd"/>
      <w:r>
        <w:rPr>
          <w:rFonts w:ascii="Times New Roman" w:hAnsi="Times New Roman" w:cs="Times New Roman" w:hint="eastAsia"/>
          <w:sz w:val="24"/>
        </w:rPr>
        <w:t>) and cervical lymph node tumor volume (</w:t>
      </w:r>
      <w:proofErr w:type="spellStart"/>
      <w:r>
        <w:rPr>
          <w:rFonts w:ascii="Times New Roman" w:hAnsi="Times New Roman" w:cs="Times New Roman" w:hint="eastAsia"/>
          <w:sz w:val="24"/>
        </w:rPr>
        <w:t>GTVnd</w:t>
      </w:r>
      <w:proofErr w:type="spellEnd"/>
      <w:r>
        <w:rPr>
          <w:rFonts w:ascii="Times New Roman" w:hAnsi="Times New Roman" w:cs="Times New Roman" w:hint="eastAsia"/>
          <w:sz w:val="24"/>
        </w:rPr>
        <w:t xml:space="preserve">) included the entire macroscopic tumor defined with the aid of computed tomography (CT), magnetic resonance imaging (MRI) scans, and physical examinations. Two clinical target volumes (CTVs) were delineated according to the tumor invasion pattern. The high-risk clinical target volume (CTV1) included the </w:t>
      </w:r>
      <w:proofErr w:type="spellStart"/>
      <w:r>
        <w:rPr>
          <w:rFonts w:ascii="Times New Roman" w:hAnsi="Times New Roman" w:cs="Times New Roman" w:hint="eastAsia"/>
          <w:sz w:val="24"/>
        </w:rPr>
        <w:t>GTVnx</w:t>
      </w:r>
      <w:proofErr w:type="spellEnd"/>
      <w:r>
        <w:rPr>
          <w:rFonts w:ascii="Times New Roman" w:hAnsi="Times New Roman" w:cs="Times New Roman" w:hint="eastAsia"/>
          <w:sz w:val="24"/>
        </w:rPr>
        <w:t xml:space="preserve"> add a margin of 0.5 to 1 cm (forward, both sides, up and down) and a margin of 0.3 to 0.5 cm (back) to encompass the high-risk sites of microscopic extension and the whole </w:t>
      </w:r>
      <w:proofErr w:type="spellStart"/>
      <w:r>
        <w:rPr>
          <w:rFonts w:ascii="Times New Roman" w:hAnsi="Times New Roman" w:cs="Times New Roman" w:hint="eastAsia"/>
          <w:sz w:val="24"/>
        </w:rPr>
        <w:t>nasopharynx</w:t>
      </w:r>
      <w:proofErr w:type="spellEnd"/>
      <w:r>
        <w:rPr>
          <w:rFonts w:ascii="Times New Roman" w:hAnsi="Times New Roman" w:cs="Times New Roman" w:hint="eastAsia"/>
          <w:sz w:val="24"/>
        </w:rPr>
        <w:t xml:space="preserve">. The low-risk clinical target volume (CTV2) was defined as the CTV1 add a margin of 0.5 to 1 cm (forward, both sides, up and down) and a margin of 0.3 to 0.5 cm (back) to encompass the low-risk sites of microscopic extension, the </w:t>
      </w:r>
      <w:proofErr w:type="spellStart"/>
      <w:r>
        <w:rPr>
          <w:rFonts w:ascii="Times New Roman" w:hAnsi="Times New Roman" w:cs="Times New Roman" w:hint="eastAsia"/>
          <w:sz w:val="24"/>
        </w:rPr>
        <w:t>GTVnd</w:t>
      </w:r>
      <w:proofErr w:type="spellEnd"/>
      <w:r>
        <w:rPr>
          <w:rFonts w:ascii="Times New Roman" w:hAnsi="Times New Roman" w:cs="Times New Roman" w:hint="eastAsia"/>
          <w:sz w:val="24"/>
        </w:rPr>
        <w:t>, and elective neck area from level IB to V.</w:t>
      </w:r>
      <w:bookmarkStart w:id="0" w:name="_GoBack"/>
      <w:bookmarkEnd w:id="0"/>
    </w:p>
    <w:p w:rsidR="009C029E" w:rsidRDefault="009C029E" w:rsidP="008D3F5D">
      <w:pPr>
        <w:spacing w:line="480" w:lineRule="auto"/>
        <w:ind w:firstLineChars="200" w:firstLine="480"/>
        <w:rPr>
          <w:rFonts w:ascii="Times New Roman" w:hAnsi="Times New Roman" w:cs="Times New Roman"/>
          <w:sz w:val="24"/>
        </w:rPr>
      </w:pPr>
    </w:p>
    <w:sectPr w:rsidR="009C02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11" w:rsidRDefault="00072011" w:rsidP="00D75644">
      <w:r>
        <w:separator/>
      </w:r>
    </w:p>
  </w:endnote>
  <w:endnote w:type="continuationSeparator" w:id="0">
    <w:p w:rsidR="00072011" w:rsidRDefault="00072011" w:rsidP="00D75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11" w:rsidRDefault="00072011" w:rsidP="00D75644">
      <w:r>
        <w:separator/>
      </w:r>
    </w:p>
  </w:footnote>
  <w:footnote w:type="continuationSeparator" w:id="0">
    <w:p w:rsidR="00072011" w:rsidRDefault="00072011" w:rsidP="00D75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470E5"/>
    <w:rsid w:val="00072011"/>
    <w:rsid w:val="00172329"/>
    <w:rsid w:val="001F45C8"/>
    <w:rsid w:val="00236B2C"/>
    <w:rsid w:val="005A6595"/>
    <w:rsid w:val="006F0705"/>
    <w:rsid w:val="008D3F5D"/>
    <w:rsid w:val="009C029E"/>
    <w:rsid w:val="00C904DB"/>
    <w:rsid w:val="00C92331"/>
    <w:rsid w:val="00D75644"/>
    <w:rsid w:val="04634A70"/>
    <w:rsid w:val="08864FAE"/>
    <w:rsid w:val="0AC9107D"/>
    <w:rsid w:val="0AEF7414"/>
    <w:rsid w:val="17B81AD3"/>
    <w:rsid w:val="1EA3154D"/>
    <w:rsid w:val="20F81ADA"/>
    <w:rsid w:val="24584080"/>
    <w:rsid w:val="30C90C80"/>
    <w:rsid w:val="3C735EE1"/>
    <w:rsid w:val="431879E5"/>
    <w:rsid w:val="483F3CAA"/>
    <w:rsid w:val="4B04668C"/>
    <w:rsid w:val="537C0B81"/>
    <w:rsid w:val="5F7470E5"/>
    <w:rsid w:val="676B2F38"/>
    <w:rsid w:val="6A0724EC"/>
    <w:rsid w:val="77293C9B"/>
    <w:rsid w:val="7DE91D06"/>
    <w:rsid w:val="7E8E2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1317</Characters>
  <Application>Microsoft Office Word</Application>
  <DocSecurity>0</DocSecurity>
  <Lines>10</Lines>
  <Paragraphs>3</Paragraphs>
  <ScaleCrop>false</ScaleCrop>
  <Company>Organization</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2021-07-15T11:10:00Z</dcterms:created>
  <dcterms:modified xsi:type="dcterms:W3CDTF">2021-11-13T01:27:00Z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E78EBD62F910453D97F9559125E24205</vt:lpwstr>
  </property>
</Properties>
</file>