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276" w:lineRule="auto"/>
        <w:jc w:val="center"/>
      </w:pPr>
      <w:r>
        <w:rPr>
          <w:rFonts w:ascii="Times New Roman" w:hAnsi="Times New Roman" w:eastAsia="Times New Roman"/>
          <w:b/>
          <w:sz w:val="32"/>
        </w:rPr>
        <w:t>Supplementary Information: Visually similar prints expose a benchmark validity gap in computational art history</w:t>
      </w:r>
    </w:p>
    <w:p>
      <w:pPr>
        <w:pStyle w:val="Heading1"/>
      </w:pPr>
      <w:r>
        <w:t>S1. Scope and evidential boundary</w:t>
      </w:r>
    </w:p>
    <w:p>
      <w:pPr>
        <w:spacing w:line="480" w:lineRule="auto"/>
        <w:ind w:firstLine="720"/>
      </w:pPr>
      <w:r>
        <w:rPr>
          <w:rFonts w:ascii="Times New Roman" w:hAnsi="Times New Roman" w:eastAsia="Times New Roman"/>
          <w:sz w:val="24"/>
        </w:rPr>
        <w:t>This Supplementary Information supports the Article and documents the exact operational task. The experiment ranks Metropolitan Museum of Art catalogue records. Its labels are unary classes derived from displayed catalogue fields. They do not establish pairwise matrix identity, original status, copying direction, attribution or authenticity. Working same-design groups record checked compositional correspondence only. An error means that a procedure failed to select the designated target-class record under the declared rule; it is not a connoisseurial judgement about the physical objects.</w:t>
      </w:r>
    </w:p>
    <w:p>
      <w:pPr>
        <w:spacing w:line="480" w:lineRule="auto"/>
        <w:ind w:firstLine="720"/>
      </w:pPr>
      <w:r>
        <w:rPr>
          <w:rFonts w:ascii="Times New Roman" w:hAnsi="Times New Roman" w:eastAsia="Times New Roman"/>
          <w:sz w:val="24"/>
        </w:rPr>
        <w:t>The accompanying data-and-code archive is the machine-readable record. This document identifies the files and explains the calculations most directly connected to the manuscript. All paths below are relative to the root of the extracted archive.</w:t>
      </w:r>
    </w:p>
    <w:p>
      <w:pPr>
        <w:pStyle w:val="Heading1"/>
      </w:pPr>
      <w:r>
        <w:t>S2. Corpus and operational classes</w:t>
      </w:r>
    </w:p>
    <w:p>
      <w:pPr>
        <w:spacing w:line="480" w:lineRule="auto"/>
        <w:ind w:firstLine="720"/>
      </w:pPr>
      <w:r>
        <w:rPr>
          <w:rFonts w:ascii="Times New Roman" w:hAnsi="Times New Roman" w:eastAsia="Times New Roman"/>
          <w:sz w:val="24"/>
        </w:rPr>
        <w:t>The Met corpus contains 39 records in 12 working same-design groups. Two groups belong to the development split and ten to the challenge split. Each challenge design contains two target-class records and one explicit-copy-class record. The 20 target-class records act as query parents, and the identical parent object is excluded from every candidate pool. The other target-class record in the same working design group is the intended target.</w:t>
      </w:r>
    </w:p>
    <w:p>
      <w:pPr>
        <w:spacing w:line="480" w:lineRule="auto"/>
        <w:ind w:firstLine="720"/>
      </w:pPr>
      <w:r>
        <w:rPr>
          <w:rFonts w:ascii="Times New Roman" w:hAnsi="Times New Roman" w:eastAsia="Times New Roman"/>
          <w:sz w:val="24"/>
        </w:rPr>
        <w:t xml:space="preserve">The explicit-copy class requires both of the following displayed fields: the title contains the string "copy" and the artist prefix is "After". The target class requires the displayed artist to contain Dürer, the title not to contain "copy", and the prefix not to be "After". Exact values, object identifiers, object URLs, image URLs, public-domain fields, design assignments, split assignments and file hashes appear in </w:t>
      </w:r>
      <w:r>
        <w:rPr>
          <w:rFonts w:ascii="Courier New" w:hAnsi="Courier New" w:eastAsia="Times New Roman"/>
          <w:sz w:val="23"/>
        </w:rPr>
        <w:t>data/metadata_snapshot.csv</w:t>
      </w:r>
      <w:r>
        <w:rPr>
          <w:rFonts w:ascii="Times New Roman" w:hAnsi="Times New Roman" w:eastAsia="Times New Roman"/>
          <w:sz w:val="24"/>
        </w:rPr>
        <w:t xml:space="preserve"> and </w:t>
      </w:r>
      <w:r>
        <w:rPr>
          <w:rFonts w:ascii="Courier New" w:hAnsi="Courier New" w:eastAsia="Times New Roman"/>
          <w:sz w:val="23"/>
        </w:rPr>
        <w:t>data/gallery_manifest.csv</w:t>
      </w:r>
      <w:r>
        <w:rPr>
          <w:rFonts w:ascii="Times New Roman" w:hAnsi="Times New Roman" w:eastAsia="Times New Roman"/>
          <w:sz w:val="24"/>
        </w:rPr>
        <w:t>.</w:t>
      </w:r>
    </w:p>
    <w:p>
      <w:pPr>
        <w:spacing w:line="480" w:lineRule="auto"/>
        <w:ind w:firstLine="720"/>
      </w:pPr>
      <w:r>
        <w:rPr>
          <w:rFonts w:ascii="Times New Roman" w:hAnsi="Times New Roman" w:eastAsia="Times New Roman"/>
          <w:sz w:val="24"/>
        </w:rPr>
        <w:t xml:space="preserve">The Art Institute of Chicago diagnostic contains 46 public-domain records in 20 working design groups. Its metadata and image checksums appear in </w:t>
      </w:r>
      <w:r>
        <w:rPr>
          <w:rFonts w:ascii="Courier New" w:hAnsi="Courier New" w:eastAsia="Times New Roman"/>
          <w:sz w:val="23"/>
        </w:rPr>
        <w:t>data/aic_metadata_snapshot.csv</w:t>
      </w:r>
      <w:r>
        <w:rPr>
          <w:rFonts w:ascii="Times New Roman" w:hAnsi="Times New Roman" w:eastAsia="Times New Roman"/>
          <w:sz w:val="24"/>
        </w:rPr>
        <w:t xml:space="preserve"> and </w:t>
      </w:r>
      <w:r>
        <w:rPr>
          <w:rFonts w:ascii="Courier New" w:hAnsi="Courier New" w:eastAsia="Times New Roman"/>
          <w:sz w:val="23"/>
        </w:rPr>
        <w:t>results/results_easy_aic_source_image_checksums.csv</w:t>
      </w:r>
      <w:r>
        <w:rPr>
          <w:rFonts w:ascii="Times New Roman" w:hAnsi="Times New Roman" w:eastAsia="Times New Roman"/>
          <w:sz w:val="24"/>
        </w:rPr>
        <w:t>. Its negative candidates depict other compositions; it does not contain the controlled target-versus-copy relation intervention used for the Met analysis.</w:t>
      </w:r>
    </w:p>
    <w:p>
      <w:pPr>
        <w:pStyle w:val="Heading1"/>
      </w:pPr>
      <w:r>
        <w:t>S3. Queries and candidate pools</w:t>
      </w:r>
    </w:p>
    <w:p>
      <w:pPr>
        <w:spacing w:line="480" w:lineRule="auto"/>
        <w:ind w:firstLine="720"/>
      </w:pPr>
      <w:r>
        <w:rPr>
          <w:rFonts w:ascii="Times New Roman" w:hAnsi="Times New Roman" w:eastAsia="Times New Roman"/>
          <w:sz w:val="24"/>
        </w:rPr>
        <w:t>Each Met query parent supplies one clean query and transformed queries generated from declared contact, paper, digitisation and composite stress families. The main Article analyses 240 composite queries: four severity levels multiplied by three fixed-seed replicates for each of 20 parents. Only the query is transformed. Gallery candidates remain canonical and unperturbed. The severity values are stress-test settings rather than estimates of real-world prevalence.</w:t>
      </w:r>
    </w:p>
    <w:p>
      <w:pPr>
        <w:spacing w:line="480" w:lineRule="auto"/>
        <w:ind w:firstLine="720"/>
      </w:pPr>
      <w:r>
        <w:rPr>
          <w:rFonts w:ascii="Times New Roman" w:hAnsi="Times New Roman" w:eastAsia="Times New Roman"/>
          <w:sz w:val="24"/>
        </w:rPr>
        <w:t xml:space="preserve">Pool A contains the intended same-design target and 27 records from other challenge designs. It excludes the same-design explicit copy. Pool C contains every Pool A candidate plus that copy. Pool B contains only the intended target and copy. </w:t>
      </w:r>
      <w:r>
        <w:rPr>
          <w:rFonts w:ascii="Courier New" w:hAnsi="Courier New" w:eastAsia="Times New Roman"/>
          <w:sz w:val="23"/>
        </w:rPr>
        <w:t>data/query_manifest.csv</w:t>
      </w:r>
      <w:r>
        <w:rPr>
          <w:rFonts w:ascii="Times New Roman" w:hAnsi="Times New Roman" w:eastAsia="Times New Roman"/>
          <w:sz w:val="24"/>
        </w:rPr>
        <w:t xml:space="preserve"> records the query, parent, design, family, severity, replicate, seed and hashes. </w:t>
      </w:r>
      <w:r>
        <w:rPr>
          <w:rFonts w:ascii="Courier New" w:hAnsi="Courier New" w:eastAsia="Times New Roman"/>
          <w:sz w:val="23"/>
        </w:rPr>
        <w:t>data/candidate_pool_manifest.csv</w:t>
      </w:r>
      <w:r>
        <w:rPr>
          <w:rFonts w:ascii="Times New Roman" w:hAnsi="Times New Roman" w:eastAsia="Times New Roman"/>
          <w:sz w:val="24"/>
        </w:rPr>
        <w:t xml:space="preserve"> records every query-candidate membership and the intended-target, explicit-copy and same-design indicators.</w:t>
      </w:r>
    </w:p>
    <w:p>
      <w:pPr>
        <w:spacing w:line="480" w:lineRule="auto"/>
        <w:ind w:firstLine="720"/>
      </w:pPr>
      <w:r>
        <w:rPr>
          <w:rFonts w:ascii="Times New Roman" w:hAnsi="Times New Roman" w:eastAsia="Times New Roman"/>
          <w:sz w:val="24"/>
        </w:rPr>
        <w:t>The intended-target R@1 outcome equals one only when the designated target is the unique top result. A top copy, other design, tie or ambiguity equals zero. A strict copy intrusion requires an intended-target success in Pool A followed by the added copy as the unique top result in Pool C. Ties use an absolute tolerance of 1e-12 and are not broken by identifier or file order.</w:t>
      </w:r>
    </w:p>
    <w:p>
      <w:pPr>
        <w:pStyle w:val="Heading1"/>
      </w:pPr>
      <w:r>
        <w:t>S4. Visual methods and status</w:t>
      </w:r>
    </w:p>
    <w:p>
      <w:pPr>
        <w:spacing w:line="480" w:lineRule="auto"/>
        <w:ind w:firstLine="720"/>
      </w:pPr>
      <w:r>
        <w:rPr>
          <w:rFonts w:ascii="Times New Roman" w:hAnsi="Times New Roman" w:eastAsia="Times New Roman"/>
          <w:sz w:val="24"/>
        </w:rPr>
        <w:t>The classical methods are mean-centred raw pixels, perceptual hash, grey HOG, ORB with RANSAC similarity-transform verification, InkTrace and component-average rank fusion. Pairwise scores for raw pixels, pHash, HOG, ORB and InkTrace are invariant between Pools A and C. Component-average rank fusion recomputes component ranks inside each candidate set and is explicitly marked as pool dependent.</w:t>
      </w:r>
    </w:p>
    <w:p>
      <w:pPr>
        <w:spacing w:line="480" w:lineRule="auto"/>
        <w:ind w:firstLine="720"/>
      </w:pPr>
      <w:r>
        <w:rPr>
          <w:rFonts w:ascii="Times New Roman" w:hAnsi="Times New Roman" w:eastAsia="Times New Roman"/>
          <w:sz w:val="24"/>
        </w:rPr>
        <w:t>DINOv2 and SuperPoint-LightGlue are exploratory baselines. DINOv2 is available for Pools A, B and C on regenerated common inputs. SuperPoint-LightGlue is available for Pool B only and therefore cannot contribute to the controlled A-to-C intervention. Both were run after the challenge designs had been examined.</w:t>
      </w:r>
    </w:p>
    <w:p>
      <w:pPr>
        <w:spacing w:line="480" w:lineRule="auto"/>
        <w:ind w:firstLine="720"/>
      </w:pPr>
      <w:r>
        <w:rPr>
          <w:rFonts w:ascii="Times New Roman" w:hAnsi="Times New Roman" w:eastAsia="Times New Roman"/>
          <w:sz w:val="24"/>
        </w:rPr>
        <w:t>The frozen ORB/HOG gate accepts the ORB top object when ORB and HOG select the same object; otherwise it routes the query to review. Coverage is accepted queries divided by all queries. Selective risk is accepted copy-class selections divided by accepted queries. Agreement does not constitute independent historical evidence because both descriptors analyse the same digital surrogate.</w:t>
      </w:r>
    </w:p>
    <w:p>
      <w:pPr>
        <w:pStyle w:val="Heading1"/>
      </w:pPr>
      <w:r>
        <w:t>S5. Principal numerical results</w:t>
      </w:r>
    </w:p>
    <w:p>
      <w:pPr>
        <w:spacing w:line="480" w:lineRule="auto"/>
        <w:ind w:firstLine="720"/>
      </w:pPr>
      <w:r>
        <w:rPr>
          <w:rFonts w:ascii="Times New Roman" w:hAnsi="Times New Roman" w:eastAsia="Times New Roman"/>
          <w:sz w:val="24"/>
        </w:rPr>
        <w:t>On 552 AIC composite queries, design R@1 is 1.000 for HOG, ORB, InkTrace and component-average rank fusion, 0.998 for raw pixels and 0.984 for pHash. This is the easier repeated-design diagnostic.</w:t>
      </w:r>
    </w:p>
    <w:p>
      <w:pPr>
        <w:spacing w:line="480" w:lineRule="auto"/>
        <w:ind w:firstLine="720"/>
      </w:pPr>
      <w:r>
        <w:rPr>
          <w:rFonts w:ascii="Times New Roman" w:hAnsi="Times New Roman" w:eastAsia="Times New Roman"/>
          <w:sz w:val="24"/>
        </w:rPr>
        <w:t>For the 240 Met composite queries, Pool A-to-C intended-target counts and strict copy intrusions are as follows. Raw pixels change from 240 to 187, with 53 strict intrusions. pHash changes from 236 to 181, with 28 strict intrusions and 27 A-success-to-C-tie transitions. HOG changes from 240 to 177, with 63 strict intrusions. ORB changes from 240 to 237, with 3 strict intrusions. InkTrace changes from 237 to 177, with 60 strict intrusions. Component-average rank fusion changes from 240 to 178, with 1 strict intrusion and 61 ties. Exploratory DINOv2 changes from 239 to 160, with 79 strict intrusions.</w:t>
      </w:r>
    </w:p>
    <w:p>
      <w:pPr>
        <w:spacing w:line="480" w:lineRule="auto"/>
        <w:ind w:firstLine="720"/>
      </w:pPr>
      <w:r>
        <w:rPr>
          <w:rFonts w:ascii="Times New Roman" w:hAnsi="Times New Roman" w:eastAsia="Times New Roman"/>
          <w:sz w:val="24"/>
        </w:rPr>
        <w:t>Pool B target/copy/tie counts are: raw pixels 187/53/0; pHash 181/29/30; HOG 177/63/0; ORB 237/3/0; InkTrace 180/60/0; component-average rank fusion 178/1/61; DINOv2 160/80/0; and exploratory SuperPoint-LightGlue 240/0/0. Design R@1 is 1.000 for every row because both Pool B candidates share the working design.</w:t>
      </w:r>
    </w:p>
    <w:p>
      <w:pPr>
        <w:spacing w:line="480" w:lineRule="auto"/>
        <w:ind w:firstLine="720"/>
      </w:pPr>
      <w:r>
        <w:rPr>
          <w:rFonts w:ascii="Times New Roman" w:hAnsi="Times New Roman" w:eastAsia="Times New Roman"/>
          <w:sz w:val="24"/>
        </w:rPr>
        <w:t xml:space="preserve">Query-level A-to-C transitions appear in </w:t>
      </w:r>
      <w:r>
        <w:rPr>
          <w:rFonts w:ascii="Courier New" w:hAnsi="Courier New" w:eastAsia="Times New Roman"/>
          <w:sz w:val="23"/>
        </w:rPr>
        <w:t>results/POOL_A_C_PAIRED_RESULTS.csv</w:t>
      </w:r>
      <w:r>
        <w:rPr>
          <w:rFonts w:ascii="Times New Roman" w:hAnsi="Times New Roman" w:eastAsia="Times New Roman"/>
          <w:sz w:val="24"/>
        </w:rPr>
        <w:t xml:space="preserve">; overall and design-level intrusion summaries appear in </w:t>
      </w:r>
      <w:r>
        <w:rPr>
          <w:rFonts w:ascii="Courier New" w:hAnsi="Courier New" w:eastAsia="Times New Roman"/>
          <w:sz w:val="23"/>
        </w:rPr>
        <w:t>results/COPY_INTRUSION_RESULTS.csv</w:t>
      </w:r>
      <w:r>
        <w:rPr>
          <w:rFonts w:ascii="Times New Roman" w:hAnsi="Times New Roman" w:eastAsia="Times New Roman"/>
          <w:sz w:val="24"/>
        </w:rPr>
        <w:t xml:space="preserve">; complete pool outcomes appear in </w:t>
      </w:r>
      <w:r>
        <w:rPr>
          <w:rFonts w:ascii="Courier New" w:hAnsi="Courier New" w:eastAsia="Times New Roman"/>
          <w:sz w:val="23"/>
        </w:rPr>
        <w:t>results/results_candidate_pool_comparison.csv</w:t>
      </w:r>
      <w:r>
        <w:rPr>
          <w:rFonts w:ascii="Times New Roman" w:hAnsi="Times New Roman" w:eastAsia="Times New Roman"/>
          <w:sz w:val="24"/>
        </w:rPr>
        <w:t xml:space="preserve">; and exploratory common-input summaries appear in </w:t>
      </w:r>
      <w:r>
        <w:rPr>
          <w:rFonts w:ascii="Courier New" w:hAnsi="Courier New" w:eastAsia="Times New Roman"/>
          <w:sz w:val="23"/>
        </w:rPr>
        <w:t>results/COMMON_INPUT_EXPLORATORY_RESULTS.csv</w:t>
      </w:r>
      <w:r>
        <w:rPr>
          <w:rFonts w:ascii="Times New Roman" w:hAnsi="Times New Roman" w:eastAsia="Times New Roman"/>
          <w:sz w:val="24"/>
        </w:rPr>
        <w:t>.</w:t>
      </w:r>
    </w:p>
    <w:p>
      <w:pPr>
        <w:pStyle w:val="Heading1"/>
      </w:pPr>
      <w:r>
        <w:t>S6. Accepted-copy error records</w:t>
      </w:r>
    </w:p>
    <w:p>
      <w:pPr>
        <w:spacing w:line="480" w:lineRule="auto"/>
        <w:ind w:firstLine="720"/>
      </w:pPr>
      <w:r>
        <w:rPr>
          <w:rFonts w:ascii="Times New Roman" w:hAnsi="Times New Roman" w:eastAsia="Times New Roman"/>
          <w:sz w:val="24"/>
        </w:rPr>
        <w:t xml:space="preserve">The frozen ORB/HOG gate accepts 178 of the 240 composite queries and routes 62 to review. It accepts two copy-class selections, for selective risk 2/178 = 0.011236. Both arise at severity 4 from query parent Met 388040 in the </w:t>
      </w:r>
      <w:r>
        <w:rPr>
          <w:rFonts w:ascii="Courier New" w:hAnsi="Courier New" w:eastAsia="Times New Roman"/>
          <w:sz w:val="23"/>
        </w:rPr>
        <w:t>nativity_small_passion</w:t>
      </w:r>
      <w:r>
        <w:rPr>
          <w:rFonts w:ascii="Times New Roman" w:hAnsi="Times New Roman" w:eastAsia="Times New Roman"/>
          <w:sz w:val="24"/>
        </w:rPr>
        <w:t xml:space="preserve"> working design, for replicates 2 and 3.</w:t>
      </w:r>
    </w:p>
    <w:p>
      <w:pPr>
        <w:spacing w:line="480" w:lineRule="auto"/>
        <w:ind w:firstLine="720"/>
      </w:pPr>
      <w:r>
        <w:rPr>
          <w:rFonts w:ascii="Times New Roman" w:hAnsi="Times New Roman" w:eastAsia="Times New Roman"/>
          <w:sz w:val="24"/>
        </w:rPr>
        <w:t xml:space="preserve">For </w:t>
      </w:r>
      <w:r>
        <w:rPr>
          <w:rFonts w:ascii="Courier New" w:hAnsi="Courier New" w:eastAsia="Times New Roman"/>
          <w:sz w:val="23"/>
        </w:rPr>
        <w:t>composite-388040-r2-s4</w:t>
      </w:r>
      <w:r>
        <w:rPr>
          <w:rFonts w:ascii="Times New Roman" w:hAnsi="Times New Roman" w:eastAsia="Times New Roman"/>
          <w:sz w:val="24"/>
        </w:rPr>
        <w:t xml:space="preserve">, the selected copy is Met 387744, </w:t>
      </w:r>
      <w:r>
        <w:rPr>
          <w:rFonts w:ascii="Times New Roman" w:hAnsi="Times New Roman" w:eastAsia="Times New Roman"/>
          <w:i/>
          <w:sz w:val="24"/>
        </w:rPr>
        <w:t>The Nativity (copy)</w:t>
      </w:r>
      <w:r>
        <w:rPr>
          <w:rFonts w:ascii="Times New Roman" w:hAnsi="Times New Roman" w:eastAsia="Times New Roman"/>
          <w:sz w:val="24"/>
        </w:rPr>
        <w:t xml:space="preserve">, with artist prefix "After". The intended target is Met 387391. Frozen copy/target scores are 0.0799999982/0.0690909103 for ORB and 0.8851802945/0.8832844496 for HOG. For </w:t>
      </w:r>
      <w:r>
        <w:rPr>
          <w:rFonts w:ascii="Courier New" w:hAnsi="Courier New" w:eastAsia="Times New Roman"/>
          <w:sz w:val="23"/>
        </w:rPr>
        <w:t>composite-388040-r3-s4</w:t>
      </w:r>
      <w:r>
        <w:rPr>
          <w:rFonts w:ascii="Times New Roman" w:hAnsi="Times New Roman" w:eastAsia="Times New Roman"/>
          <w:sz w:val="24"/>
        </w:rPr>
        <w:t>, frozen copy/target scores are 0.0927272737/0.0818181783 for ORB and 0.9026349783/0.8982023001 for HOG.</w:t>
      </w:r>
    </w:p>
    <w:p>
      <w:pPr>
        <w:spacing w:line="480" w:lineRule="auto"/>
        <w:ind w:firstLine="720"/>
      </w:pPr>
      <w:r>
        <w:rPr>
          <w:rFonts w:ascii="Times New Roman" w:hAnsi="Times New Roman" w:eastAsia="Times New Roman"/>
          <w:sz w:val="24"/>
        </w:rPr>
        <w:t xml:space="preserve">The two complete rows, including seeds, reconstructed-query hashes and the explicit statement that original query bytes are unavailable, appear in </w:t>
      </w:r>
      <w:r>
        <w:rPr>
          <w:rFonts w:ascii="Courier New" w:hAnsi="Courier New" w:eastAsia="Times New Roman"/>
          <w:sz w:val="23"/>
        </w:rPr>
        <w:t>results/results_error_cases.csv</w:t>
      </w:r>
      <w:r>
        <w:rPr>
          <w:rFonts w:ascii="Times New Roman" w:hAnsi="Times New Roman" w:eastAsia="Times New Roman"/>
          <w:sz w:val="24"/>
        </w:rPr>
        <w:t xml:space="preserve">. Gate-level outcomes appear in </w:t>
      </w:r>
      <w:r>
        <w:rPr>
          <w:rFonts w:ascii="Courier New" w:hAnsi="Courier New" w:eastAsia="Times New Roman"/>
          <w:sz w:val="23"/>
        </w:rPr>
        <w:t>results/results_gate_query_level.csv</w:t>
      </w:r>
      <w:r>
        <w:rPr>
          <w:rFonts w:ascii="Times New Roman" w:hAnsi="Times New Roman" w:eastAsia="Times New Roman"/>
          <w:sz w:val="24"/>
        </w:rPr>
        <w:t xml:space="preserve"> and </w:t>
      </w:r>
      <w:r>
        <w:rPr>
          <w:rFonts w:ascii="Courier New" w:hAnsi="Courier New" w:eastAsia="Times New Roman"/>
          <w:sz w:val="23"/>
        </w:rPr>
        <w:t>results/results_gate_selective_risk.csv</w:t>
      </w:r>
      <w:r>
        <w:rPr>
          <w:rFonts w:ascii="Times New Roman" w:hAnsi="Times New Roman" w:eastAsia="Times New Roman"/>
          <w:sz w:val="24"/>
        </w:rPr>
        <w:t>.</w:t>
      </w:r>
    </w:p>
    <w:p>
      <w:pPr>
        <w:pStyle w:val="Heading1"/>
      </w:pPr>
      <w:r>
        <w:t>S7. Descriptive sensitivity and reproducibility</w:t>
      </w:r>
    </w:p>
    <w:p>
      <w:pPr>
        <w:spacing w:line="480" w:lineRule="auto"/>
        <w:ind w:firstLine="720"/>
      </w:pPr>
      <w:r>
        <w:rPr>
          <w:rFonts w:ascii="Times New Roman" w:hAnsi="Times New Roman" w:eastAsia="Times New Roman"/>
          <w:sz w:val="24"/>
        </w:rPr>
        <w:t>No null-hypothesis test is used. The ten challenge designs are the resampling unit. Descriptive percentile intervals use 10,000 design-cluster resamples with bootstrap seed 20260801. For accepted copy-class selection, the frozen estimate is 2/178 = 0.011236 and the current design-cluster sensitivity interval is 0.000000 to 0.038462. With only ten constructed designs, this interval is a dependence-aware sensitivity summary and not a population precision claim.</w:t>
      </w:r>
    </w:p>
    <w:p>
      <w:pPr>
        <w:spacing w:line="480" w:lineRule="auto"/>
        <w:ind w:firstLine="720"/>
      </w:pPr>
      <w:r>
        <w:rPr>
          <w:rFonts w:ascii="Times New Roman" w:hAnsi="Times New Roman" w:eastAsia="Times New Roman"/>
          <w:sz w:val="24"/>
        </w:rPr>
        <w:t>The surviving archive preserves the clean and composite score matrices and decisions. Current execution reproduces gate accept/review status for 260 clean and composite queries, reproduces accepted-copy status for all 260, and reproduces both accepted-copy events. The original generated query bytes, feature correspondences and masks from the earliest run are unavailable. Regenerated queries are deterministic under the declared source, configuration and seed but are not represented as byte-identical recovery of every historical intermediate.</w:t>
      </w:r>
    </w:p>
    <w:p>
      <w:pPr>
        <w:spacing w:line="480" w:lineRule="auto"/>
        <w:ind w:firstLine="720"/>
      </w:pPr>
      <w:r>
        <w:rPr>
          <w:rFonts w:ascii="Times New Roman" w:hAnsi="Times New Roman" w:eastAsia="Times New Roman"/>
          <w:sz w:val="24"/>
        </w:rPr>
        <w:t xml:space="preserve">The main validation files are </w:t>
      </w:r>
      <w:r>
        <w:rPr>
          <w:rFonts w:ascii="Courier New" w:hAnsi="Courier New" w:eastAsia="Times New Roman"/>
          <w:sz w:val="23"/>
        </w:rPr>
        <w:t>results/DECISION_REPRODUCIBILITY_AUDIT.csv</w:t>
      </w:r>
      <w:r>
        <w:rPr>
          <w:rFonts w:ascii="Times New Roman" w:hAnsi="Times New Roman" w:eastAsia="Times New Roman"/>
          <w:sz w:val="24"/>
        </w:rPr>
        <w:t xml:space="preserve">, </w:t>
      </w:r>
      <w:r>
        <w:rPr>
          <w:rFonts w:ascii="Courier New" w:hAnsi="Courier New" w:eastAsia="Times New Roman"/>
          <w:sz w:val="23"/>
        </w:rPr>
        <w:t>results/DECISION_REPRODUCIBILITY_MISMATCHES.csv</w:t>
      </w:r>
      <w:r>
        <w:rPr>
          <w:rFonts w:ascii="Times New Roman" w:hAnsi="Times New Roman" w:eastAsia="Times New Roman"/>
          <w:sz w:val="24"/>
        </w:rPr>
        <w:t xml:space="preserve">, </w:t>
      </w:r>
      <w:r>
        <w:rPr>
          <w:rFonts w:ascii="Courier New" w:hAnsi="Courier New" w:eastAsia="Times New Roman"/>
          <w:sz w:val="23"/>
        </w:rPr>
        <w:t>results/results_bootstrap_intervals.csv</w:t>
      </w:r>
      <w:r>
        <w:rPr>
          <w:rFonts w:ascii="Times New Roman" w:hAnsi="Times New Roman" w:eastAsia="Times New Roman"/>
          <w:sz w:val="24"/>
        </w:rPr>
        <w:t xml:space="preserve">, </w:t>
      </w:r>
      <w:r>
        <w:rPr>
          <w:rFonts w:ascii="Courier New" w:hAnsi="Courier New" w:eastAsia="Times New Roman"/>
          <w:sz w:val="23"/>
        </w:rPr>
        <w:t>results/results_gate_leave_one_design_out.csv</w:t>
      </w:r>
      <w:r>
        <w:rPr>
          <w:rFonts w:ascii="Times New Roman" w:hAnsi="Times New Roman" w:eastAsia="Times New Roman"/>
          <w:sz w:val="24"/>
        </w:rPr>
        <w:t xml:space="preserve">, </w:t>
      </w:r>
      <w:r>
        <w:rPr>
          <w:rFonts w:ascii="Courier New" w:hAnsi="Courier New" w:eastAsia="Times New Roman"/>
          <w:sz w:val="23"/>
        </w:rPr>
        <w:t>validation/FINAL_NUMERICAL_VALIDATION.md</w:t>
      </w:r>
      <w:r>
        <w:rPr>
          <w:rFonts w:ascii="Times New Roman" w:hAnsi="Times New Roman" w:eastAsia="Times New Roman"/>
          <w:sz w:val="24"/>
        </w:rPr>
        <w:t xml:space="preserve"> and </w:t>
      </w:r>
      <w:r>
        <w:rPr>
          <w:rFonts w:ascii="Courier New" w:hAnsi="Courier New" w:eastAsia="Times New Roman"/>
          <w:sz w:val="23"/>
        </w:rPr>
        <w:t>validation/STATISTICAL_VALIDATION.md</w:t>
      </w:r>
      <w:r>
        <w:rPr>
          <w:rFonts w:ascii="Times New Roman" w:hAnsi="Times New Roman" w:eastAsia="Times New Roman"/>
          <w:sz w:val="24"/>
        </w:rPr>
        <w:t>.</w:t>
      </w:r>
    </w:p>
    <w:p>
      <w:pPr>
        <w:pStyle w:val="Heading1"/>
      </w:pPr>
      <w:r>
        <w:t>S8. Relation-aware evidence records</w:t>
      </w:r>
    </w:p>
    <w:p>
      <w:pPr>
        <w:spacing w:line="480" w:lineRule="auto"/>
        <w:ind w:firstLine="720"/>
      </w:pPr>
      <w:r>
        <w:rPr>
          <w:rFonts w:ascii="Times New Roman" w:hAnsi="Times New Roman" w:eastAsia="Times New Roman"/>
          <w:sz w:val="24"/>
        </w:rPr>
        <w:t xml:space="preserve">The </w:t>
      </w:r>
      <w:r>
        <w:rPr>
          <w:rFonts w:ascii="Courier New" w:hAnsi="Courier New" w:eastAsia="Times New Roman"/>
          <w:sz w:val="23"/>
        </w:rPr>
        <w:t>schema/</w:t>
      </w:r>
      <w:r>
        <w:rPr>
          <w:rFonts w:ascii="Times New Roman" w:hAnsi="Times New Roman" w:eastAsia="Times New Roman"/>
          <w:sz w:val="24"/>
        </w:rPr>
        <w:t xml:space="preserve"> directory contains a lightweight implementation of the three-layer proposal. </w:t>
      </w:r>
      <w:r>
        <w:rPr>
          <w:rFonts w:ascii="Courier New" w:hAnsi="Courier New" w:eastAsia="Times New Roman"/>
          <w:sz w:val="23"/>
        </w:rPr>
        <w:t>entity_model.csv</w:t>
      </w:r>
      <w:r>
        <w:rPr>
          <w:rFonts w:ascii="Times New Roman" w:hAnsi="Times New Roman" w:eastAsia="Times New Roman"/>
          <w:sz w:val="24"/>
        </w:rPr>
        <w:t xml:space="preserve"> distinguishes visual matches, design judgements, model relation hypotheses, documented relation assertions and evidential assessments. </w:t>
      </w:r>
      <w:r>
        <w:rPr>
          <w:rFonts w:ascii="Courier New" w:hAnsi="Courier New" w:eastAsia="Times New Roman"/>
          <w:sz w:val="23"/>
        </w:rPr>
        <w:t>relation_type_schema.csv</w:t>
      </w:r>
      <w:r>
        <w:rPr>
          <w:rFonts w:ascii="Times New Roman" w:hAnsi="Times New Roman" w:eastAsia="Times New Roman"/>
          <w:sz w:val="24"/>
        </w:rPr>
        <w:t xml:space="preserve"> and </w:t>
      </w:r>
      <w:r>
        <w:rPr>
          <w:rFonts w:ascii="Courier New" w:hAnsi="Courier New" w:eastAsia="Times New Roman"/>
          <w:sz w:val="23"/>
        </w:rPr>
        <w:t>relation_assertion_schema.csv</w:t>
      </w:r>
      <w:r>
        <w:rPr>
          <w:rFonts w:ascii="Times New Roman" w:hAnsi="Times New Roman" w:eastAsia="Times New Roman"/>
          <w:sz w:val="24"/>
        </w:rPr>
        <w:t xml:space="preserve"> separate relation definitions from source-bearing instances. </w:t>
      </w:r>
      <w:r>
        <w:rPr>
          <w:rFonts w:ascii="Courier New" w:hAnsi="Courier New" w:eastAsia="Times New Roman"/>
          <w:sz w:val="23"/>
        </w:rPr>
        <w:t>ontology_mapping.csv</w:t>
      </w:r>
      <w:r>
        <w:rPr>
          <w:rFonts w:ascii="Times New Roman" w:hAnsi="Times New Roman" w:eastAsia="Times New Roman"/>
          <w:sz w:val="24"/>
        </w:rPr>
        <w:t xml:space="preserve"> records bounded mappings to established concepts and explicitly marks close, broad, local or unmapped correspondences. </w:t>
      </w:r>
      <w:r>
        <w:rPr>
          <w:rFonts w:ascii="Courier New" w:hAnsi="Courier New" w:eastAsia="Times New Roman"/>
          <w:sz w:val="23"/>
        </w:rPr>
        <w:t>provenance_example.yaml</w:t>
      </w:r>
      <w:r>
        <w:rPr>
          <w:rFonts w:ascii="Times New Roman" w:hAnsi="Times New Roman" w:eastAsia="Times New Roman"/>
          <w:sz w:val="24"/>
        </w:rPr>
        <w:t xml:space="preserve"> follows one accepted-copy decision across the visual, evaluation and assertion boundary.</w:t>
      </w:r>
    </w:p>
    <w:p>
      <w:pPr>
        <w:spacing w:line="480" w:lineRule="auto"/>
        <w:ind w:firstLine="720"/>
      </w:pPr>
      <w:r>
        <w:rPr>
          <w:rFonts w:ascii="Times New Roman" w:hAnsi="Times New Roman" w:eastAsia="Times New Roman"/>
          <w:sz w:val="24"/>
        </w:rPr>
        <w:t>These files are design examples, not a claim that the present catalogue labels form historical ground truth. Empty, unknown and unresolved fields are retained as epistemic states. A missing source-bearing assertion does not prove that a physical relation is false.</w:t>
      </w:r>
    </w:p>
    <w:p>
      <w:pPr>
        <w:pStyle w:val="Heading1"/>
      </w:pPr>
      <w:r>
        <w:t>S9. Rights and public release</w:t>
      </w:r>
    </w:p>
    <w:p>
      <w:pPr>
        <w:spacing w:line="480" w:lineRule="auto"/>
        <w:ind w:firstLine="720"/>
      </w:pPr>
      <w:r>
        <w:rPr>
          <w:rFonts w:ascii="Times New Roman" w:hAnsi="Times New Roman" w:eastAsia="Times New Roman"/>
          <w:sz w:val="24"/>
        </w:rPr>
        <w:t xml:space="preserve">The Met images included in the review package were returned as public-domain or Open Access records. Object-level status, URLs and hashes appear in the manifests, and the image audit appears in </w:t>
      </w:r>
      <w:r>
        <w:rPr>
          <w:rFonts w:ascii="Courier New" w:hAnsi="Courier New" w:eastAsia="Times New Roman"/>
          <w:sz w:val="23"/>
        </w:rPr>
        <w:t>validation/FINAL_RIGHTS_AUDIT.md</w:t>
      </w:r>
      <w:r>
        <w:rPr>
          <w:rFonts w:ascii="Times New Roman" w:hAnsi="Times New Roman" w:eastAsia="Times New Roman"/>
          <w:sz w:val="24"/>
        </w:rPr>
        <w:t>. Figure 3 identifies its Met sources as CC0. Figures 1 and 2 are analytical graphics created for the study. The query in Figure 3 is a deterministic programmatic reconstruction. No generative AI was used to create or alter figure imagery.</w:t>
      </w:r>
    </w:p>
    <w:p>
      <w:pPr>
        <w:spacing w:line="480" w:lineRule="auto"/>
        <w:ind w:firstLine="720"/>
      </w:pPr>
      <w:r>
        <w:rPr>
          <w:rFonts w:ascii="Times New Roman" w:hAnsi="Times New Roman" w:eastAsia="Times New Roman"/>
          <w:sz w:val="24"/>
        </w:rPr>
        <w:t>The supplementary package contains no email address or local absolute path. At first submission, the exact reviewed archive is supplied as Supplementary Information rather than through a repository DOI. It will be published with the Article as Supplementary Information; if the journal instead requires repository deposition, a persistent identifier will be added to the final Data availability statement.</w:t>
      </w:r>
    </w:p>
    <w:p>
      <w:pPr>
        <w:pStyle w:val="Heading1"/>
      </w:pPr>
      <w:r>
        <w:t>S10. Reproduction entry points</w:t>
      </w:r>
    </w:p>
    <w:p>
      <w:pPr>
        <w:spacing w:line="480" w:lineRule="auto"/>
        <w:ind w:firstLine="720"/>
      </w:pPr>
      <w:r>
        <w:rPr>
          <w:rFonts w:ascii="Courier New" w:hAnsi="Courier New" w:eastAsia="Times New Roman"/>
          <w:sz w:val="23"/>
        </w:rPr>
        <w:t>REPRODUCE.md</w:t>
      </w:r>
      <w:r>
        <w:rPr>
          <w:rFonts w:ascii="Times New Roman" w:hAnsi="Times New Roman" w:eastAsia="Times New Roman"/>
          <w:sz w:val="24"/>
        </w:rPr>
        <w:t xml:space="preserve"> gives environment and execution instructions. </w:t>
      </w:r>
      <w:r>
        <w:rPr>
          <w:rFonts w:ascii="Courier New" w:hAnsi="Courier New" w:eastAsia="Times New Roman"/>
          <w:sz w:val="23"/>
        </w:rPr>
        <w:t>environment/environment-classical.yml</w:t>
      </w:r>
      <w:r>
        <w:rPr>
          <w:rFonts w:ascii="Times New Roman" w:hAnsi="Times New Roman" w:eastAsia="Times New Roman"/>
          <w:sz w:val="24"/>
        </w:rPr>
        <w:t xml:space="preserve"> and the pinned requirements files record software dependencies. </w:t>
      </w:r>
      <w:r>
        <w:rPr>
          <w:rFonts w:ascii="Courier New" w:hAnsi="Courier New" w:eastAsia="Times New Roman"/>
          <w:sz w:val="23"/>
        </w:rPr>
        <w:t>src/run_analysis.py</w:t>
      </w:r>
      <w:r>
        <w:rPr>
          <w:rFonts w:ascii="Times New Roman" w:hAnsi="Times New Roman" w:eastAsia="Times New Roman"/>
          <w:sz w:val="24"/>
        </w:rPr>
        <w:t xml:space="preserve"> rebuilds the classical and frozen-decision outputs; </w:t>
      </w:r>
      <w:r>
        <w:rPr>
          <w:rFonts w:ascii="Courier New" w:hAnsi="Courier New" w:eastAsia="Times New Roman"/>
          <w:sz w:val="23"/>
        </w:rPr>
        <w:t>src/run_round2_analysis.py</w:t>
      </w:r>
      <w:r>
        <w:rPr>
          <w:rFonts w:ascii="Times New Roman" w:hAnsi="Times New Roman" w:eastAsia="Times New Roman"/>
          <w:sz w:val="24"/>
        </w:rPr>
        <w:t xml:space="preserve"> rebuilds relation-confusable analyses; </w:t>
      </w:r>
      <w:r>
        <w:rPr>
          <w:rFonts w:ascii="Courier New" w:hAnsi="Courier New" w:eastAsia="Times New Roman"/>
          <w:sz w:val="23"/>
        </w:rPr>
        <w:t>src/run_modern_baselines.py</w:t>
      </w:r>
      <w:r>
        <w:rPr>
          <w:rFonts w:ascii="Times New Roman" w:hAnsi="Times New Roman" w:eastAsia="Times New Roman"/>
          <w:sz w:val="24"/>
        </w:rPr>
        <w:t xml:space="preserve"> rebuilds exploratory modern results; and </w:t>
      </w:r>
      <w:r>
        <w:rPr>
          <w:rFonts w:ascii="Courier New" w:hAnsi="Courier New" w:eastAsia="Times New Roman"/>
          <w:sz w:val="23"/>
        </w:rPr>
        <w:t>src/verify_met_records.py</w:t>
      </w:r>
      <w:r>
        <w:rPr>
          <w:rFonts w:ascii="Times New Roman" w:hAnsi="Times New Roman" w:eastAsia="Times New Roman"/>
          <w:sz w:val="24"/>
        </w:rPr>
        <w:t xml:space="preserve"> optionally checks live public catalogue endpoints. </w:t>
      </w:r>
      <w:r>
        <w:rPr>
          <w:rFonts w:ascii="Courier New" w:hAnsi="Courier New" w:eastAsia="Times New Roman"/>
          <w:sz w:val="23"/>
        </w:rPr>
        <w:t>SHA256SUMS.txt</w:t>
      </w:r>
      <w:r>
        <w:rPr>
          <w:rFonts w:ascii="Times New Roman" w:hAnsi="Times New Roman" w:eastAsia="Times New Roman"/>
          <w:sz w:val="24"/>
        </w:rPr>
        <w:t xml:space="preserve"> records the archive inventory after final packaging.</w:t>
      </w:r>
    </w:p>
    <w:sectPr w:rsidR="00FC693F" w:rsidRPr="0006063C" w:rsidSect="00034616">
      <w:footerReference w:type="default" r:id="rId9"/>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sz w:val="20"/>
      </w:rPr>
      <w:fldChar w:fldCharType="begin"/>
      <w:instrText xml:space="preserve"> PAGE </w:instrText>
      <w:fldChar w:fldCharType="separate"/>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0" w:line="480" w:lineRule="auto"/>
    </w:pPr>
    <w:rPr>
      <w:rFonts w:ascii="Times New Roman" w:hAnsi="Times New Roman" w:eastAsia="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60" w:line="480" w:lineRule="auto"/>
      <w:outlineLvl w:val="0"/>
    </w:pPr>
    <w:rPr>
      <w:rFonts w:asciiTheme="majorHAnsi" w:eastAsiaTheme="majorEastAsia" w:hAnsiTheme="majorHAnsi" w:cstheme="majorBidi" w:ascii="Times New Roman" w:hAnsi="Times New Roman" w:eastAsia="Times New Roman"/>
      <w:b/>
      <w:bCs/>
      <w:i w:val="0"/>
      <w:color w:val="000000"/>
      <w:sz w:val="28"/>
      <w:szCs w:val="28"/>
    </w:rPr>
  </w:style>
  <w:style w:type="paragraph" w:styleId="Heading2">
    <w:name w:val="heading 2"/>
    <w:basedOn w:val="Normal"/>
    <w:next w:val="Normal"/>
    <w:link w:val="Heading2Char"/>
    <w:uiPriority w:val="9"/>
    <w:unhideWhenUsed/>
    <w:qFormat/>
    <w:rsid w:val="00FC693F"/>
    <w:pPr>
      <w:keepNext/>
      <w:keepLines/>
      <w:spacing w:before="180" w:after="60" w:line="480" w:lineRule="auto"/>
      <w:outlineLvl w:val="1"/>
    </w:pPr>
    <w:rPr>
      <w:rFonts w:asciiTheme="majorHAnsi" w:eastAsiaTheme="majorEastAsia" w:hAnsiTheme="majorHAnsi" w:cstheme="majorBidi" w:ascii="Times New Roman" w:hAnsi="Times New Roman" w:eastAsia="Times New Roman"/>
      <w:b/>
      <w:bCs/>
      <w:i w:val="0"/>
      <w:color w:val="000000"/>
      <w:sz w:val="24"/>
      <w:szCs w:val="26"/>
    </w:rPr>
  </w:style>
  <w:style w:type="paragraph" w:styleId="Heading3">
    <w:name w:val="heading 3"/>
    <w:basedOn w:val="Normal"/>
    <w:next w:val="Normal"/>
    <w:link w:val="Heading3Char"/>
    <w:uiPriority w:val="9"/>
    <w:unhideWhenUsed/>
    <w:qFormat/>
    <w:rsid w:val="00FC693F"/>
    <w:pPr>
      <w:keepNext/>
      <w:keepLines/>
      <w:spacing w:before="120" w:after="60" w:line="480" w:lineRule="auto"/>
      <w:outlineLvl w:val="2"/>
    </w:pPr>
    <w:rPr>
      <w:rFonts w:asciiTheme="majorHAnsi" w:eastAsiaTheme="majorEastAsia" w:hAnsiTheme="majorHAnsi" w:cstheme="majorBidi" w:ascii="Times New Roman" w:hAnsi="Times New Roman" w:eastAsia="Times New Roman"/>
      <w:b/>
      <w:bCs/>
      <w:i w:val="0"/>
      <w:color w:val="000000"/>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Visually similar prints expose a benchmark validity gap in computational art history</dc:title>
  <dc:subject>HSSC Supplementary Information</dc:subject>
  <dc:creator/>
  <cp:keywords/>
  <dc:description>Prepared for double-anonymised peer review; author-identifying details omitted.</dc:description>
  <cp:lastModifiedBy/>
  <cp:revision>1</cp:revision>
  <dcterms:created xsi:type="dcterms:W3CDTF">2013-12-23T23:15:00Z</dcterms:created>
  <dcterms:modified xsi:type="dcterms:W3CDTF">2013-12-23T23:15:00Z</dcterms:modified>
  <cp:category/>
</cp:coreProperties>
</file>