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jc w:val="center"/>
      </w:pPr>
      <w:r>
        <w:rPr>
          <w:rFonts w:ascii="Times New Roman" w:hAnsi="Times New Roman" w:eastAsia="Times New Roman" w:cs="Times New Roman"/>
          <w:color w:val="000000"/>
          <w:sz w:val="32"/>
        </w:rPr>
        <w:t>Supporting Information</w:t>
      </w:r>
    </w:p>
    <w:p>
      <w:pPr>
        <w:pStyle w:val="3"/>
        <w:pageBreakBefore w:val="0"/>
        <w:bidi w:val="0"/>
        <w:spacing w:before="280" w:after="120" w:line="276" w:lineRule="auto"/>
        <w:rPr>
          <w:color w:val="000000"/>
          <w:sz w:val="32"/>
          <w:szCs w:val="36"/>
        </w:rPr>
      </w:pPr>
      <w:r>
        <w:rPr>
          <w:rFonts w:hint="eastAsia"/>
          <w:color w:val="000000"/>
          <w:sz w:val="32"/>
          <w:szCs w:val="36"/>
        </w:rPr>
        <w:t>Single-cell-guided apoptotic-mimetic mineralized nanovesicles deliver siPLIN2 to reprogram macrophage lipotoxicity and promote diabetic bone repair</w:t>
      </w:r>
      <w:bookmarkStart w:id="0" w:name="_GoBack"/>
      <w:bookmarkEnd w:id="0"/>
    </w:p>
    <w:p>
      <w:pPr>
        <w:spacing w:after="80"/>
        <w:jc w:val="center"/>
      </w:pPr>
      <w:r>
        <w:rPr>
          <w:rFonts w:ascii="Times New Roman" w:hAnsi="Times New Roman" w:eastAsia="Times New Roman" w:cs="Times New Roman"/>
          <w:b/>
          <w:color w:val="000000"/>
          <w:sz w:val="24"/>
        </w:rPr>
        <w:t>Kai Wang</w:t>
      </w:r>
      <w:r>
        <w:rPr>
          <w:rFonts w:hint="eastAsia" w:eastAsia="宋体" w:cs="Times New Roman"/>
          <w:b/>
          <w:color w:val="000000"/>
          <w:sz w:val="24"/>
          <w:lang w:val="en-US" w:eastAsia="zh-CN"/>
        </w:rPr>
        <w:t xml:space="preserve"> </w:t>
      </w:r>
      <w:r>
        <w:rPr>
          <w:rFonts w:hint="eastAsia" w:eastAsia="宋体" w:cs="Times New Roman"/>
          <w:b/>
          <w:color w:val="000000"/>
          <w:sz w:val="24"/>
          <w:vertAlign w:val="superscript"/>
          <w:lang w:val="en-US" w:eastAsia="zh-CN"/>
        </w:rPr>
        <w:t>a,</w:t>
      </w:r>
      <w:r>
        <w:rPr>
          <w:rFonts w:hint="eastAsia" w:ascii="Times New Roman" w:hAnsi="Times New Roman" w:eastAsia="Times New Roman" w:cs="Times New Roman"/>
          <w:b/>
          <w:color w:val="000000"/>
          <w:sz w:val="24"/>
          <w:vertAlign w:val="superscript"/>
          <w:lang w:val="en-US" w:eastAsia="zh-CN"/>
        </w:rPr>
        <w:t>b</w:t>
      </w:r>
      <w:r>
        <w:rPr>
          <w:rFonts w:hint="eastAsia" w:cs="Times New Roman"/>
          <w:b/>
          <w:color w:val="000000"/>
          <w:sz w:val="24"/>
          <w:vertAlign w:val="superscript"/>
          <w:lang w:val="en-US" w:eastAsia="zh-CN"/>
        </w:rPr>
        <w:t>,</w:t>
      </w:r>
      <w:r>
        <w:rPr>
          <w:rFonts w:ascii="Times New Roman" w:hAnsi="Times New Roman" w:eastAsia="Times New Roman" w:cs="Times New Roman"/>
          <w:b w:val="0"/>
          <w:i w:val="0"/>
          <w:color w:val="000000"/>
          <w:sz w:val="21"/>
        </w:rPr>
        <w:t>*</w:t>
      </w:r>
      <w:r>
        <w:rPr>
          <w:rFonts w:ascii="Times New Roman" w:hAnsi="Times New Roman" w:eastAsia="Times New Roman" w:cs="Times New Roman"/>
          <w:b/>
          <w:color w:val="000000"/>
          <w:sz w:val="24"/>
        </w:rPr>
        <w:t xml:space="preserve">, </w:t>
      </w:r>
      <w:r>
        <w:rPr>
          <w:rFonts w:hint="eastAsia" w:eastAsia="宋体" w:cs="Times New Roman"/>
          <w:b/>
          <w:color w:val="000000"/>
          <w:sz w:val="24"/>
          <w:lang w:val="en-US" w:eastAsia="zh-CN"/>
        </w:rPr>
        <w:t>Bin Gui</w:t>
      </w:r>
      <w:r>
        <w:rPr>
          <w:rFonts w:hint="eastAsia" w:eastAsia="宋体" w:cs="Times New Roman"/>
          <w:b/>
          <w:color w:val="000000"/>
          <w:sz w:val="24"/>
          <w:vertAlign w:val="superscript"/>
          <w:lang w:val="en-US" w:eastAsia="zh-CN"/>
        </w:rPr>
        <w:t>a,</w:t>
      </w:r>
      <w:r>
        <w:rPr>
          <w:rFonts w:ascii="Times New Roman" w:hAnsi="Times New Roman" w:eastAsia="Times New Roman" w:cs="Times New Roman"/>
          <w:b w:val="0"/>
          <w:i w:val="0"/>
          <w:color w:val="000000"/>
          <w:sz w:val="21"/>
        </w:rPr>
        <w:t>*</w:t>
      </w:r>
      <w:r>
        <w:rPr>
          <w:rFonts w:ascii="Times New Roman" w:hAnsi="Times New Roman" w:eastAsia="Times New Roman" w:cs="Times New Roman"/>
          <w:b/>
          <w:color w:val="000000"/>
          <w:sz w:val="24"/>
        </w:rPr>
        <w:t>,</w:t>
      </w:r>
      <w:r>
        <w:rPr>
          <w:rFonts w:hint="eastAsia" w:eastAsia="宋体" w:cs="Times New Roman"/>
          <w:b/>
          <w:color w:val="000000"/>
          <w:sz w:val="24"/>
          <w:lang w:val="en-US" w:eastAsia="zh-CN"/>
        </w:rPr>
        <w:t>Ning Sheng</w:t>
      </w:r>
      <w:r>
        <w:rPr>
          <w:rFonts w:hint="eastAsia" w:eastAsia="宋体" w:cs="Times New Roman"/>
          <w:b/>
          <w:color w:val="000000"/>
          <w:sz w:val="24"/>
          <w:vertAlign w:val="superscript"/>
          <w:lang w:val="en-US" w:eastAsia="zh-CN"/>
        </w:rPr>
        <w:t>c</w:t>
      </w:r>
      <w:r>
        <w:rPr>
          <w:rFonts w:ascii="Times New Roman" w:hAnsi="Times New Roman" w:eastAsia="Times New Roman" w:cs="Times New Roman"/>
          <w:b/>
          <w:color w:val="000000"/>
          <w:sz w:val="24"/>
        </w:rPr>
        <w:t>,</w:t>
      </w:r>
      <w:r>
        <w:rPr>
          <w:rFonts w:hint="eastAsia" w:eastAsia="宋体" w:cs="Times New Roman"/>
          <w:b/>
          <w:color w:val="000000"/>
          <w:sz w:val="24"/>
          <w:lang w:val="en-US" w:eastAsia="zh-CN"/>
        </w:rPr>
        <w:t>Huimin Hu</w:t>
      </w:r>
      <w:r>
        <w:rPr>
          <w:rFonts w:hint="eastAsia" w:eastAsia="宋体" w:cs="Times New Roman"/>
          <w:b/>
          <w:color w:val="000000"/>
          <w:sz w:val="24"/>
          <w:vertAlign w:val="superscript"/>
          <w:lang w:val="en-US" w:eastAsia="zh-CN"/>
        </w:rPr>
        <w:t>a,</w:t>
      </w:r>
      <w:r>
        <w:rPr>
          <w:rFonts w:hint="eastAsia" w:ascii="Times New Roman" w:hAnsi="Times New Roman" w:eastAsia="Times New Roman" w:cs="Times New Roman"/>
          <w:b/>
          <w:color w:val="000000"/>
          <w:sz w:val="24"/>
          <w:vertAlign w:val="superscript"/>
        </w:rPr>
        <w:t>&amp;</w:t>
      </w:r>
      <w:r>
        <w:rPr>
          <w:rFonts w:ascii="Times New Roman" w:hAnsi="Times New Roman" w:eastAsia="Times New Roman" w:cs="Times New Roman"/>
          <w:b/>
          <w:color w:val="000000"/>
          <w:sz w:val="24"/>
        </w:rPr>
        <w:t>,Liang Yan</w:t>
      </w:r>
      <w:r>
        <w:rPr>
          <w:rFonts w:hint="eastAsia" w:eastAsia="宋体" w:cs="Times New Roman"/>
          <w:b/>
          <w:color w:val="000000"/>
          <w:sz w:val="24"/>
          <w:vertAlign w:val="superscript"/>
          <w:lang w:val="en-US" w:eastAsia="zh-CN"/>
        </w:rPr>
        <w:t>a,</w:t>
      </w:r>
      <w:r>
        <w:rPr>
          <w:rFonts w:hint="eastAsia" w:ascii="Times New Roman" w:hAnsi="Times New Roman" w:eastAsia="Times New Roman" w:cs="Times New Roman"/>
          <w:b/>
          <w:color w:val="000000"/>
          <w:sz w:val="24"/>
          <w:vertAlign w:val="superscript"/>
        </w:rPr>
        <w:t>&amp;</w:t>
      </w:r>
    </w:p>
    <w:p>
      <w:pPr>
        <w:spacing w:after="80"/>
        <w:jc w:val="left"/>
        <w:rPr>
          <w:rFonts w:ascii="Times New Roman" w:hAnsi="Times New Roman" w:eastAsia="Times New Roman" w:cs="Times New Roman"/>
          <w:i/>
          <w:color w:val="000000"/>
          <w:sz w:val="21"/>
        </w:rPr>
      </w:pPr>
      <w:r>
        <w:rPr>
          <w:rFonts w:ascii="Times New Roman" w:hAnsi="Times New Roman" w:eastAsia="Times New Roman" w:cs="Times New Roman"/>
          <w:i/>
          <w:color w:val="000000"/>
          <w:sz w:val="21"/>
        </w:rPr>
        <w:t>ᵃ Department of Spine Surgery, Honghui Hospital, Xi'an Jiaotong University, Youyi East Road, Xi'an, Shaanxi 710054, China</w:t>
      </w:r>
    </w:p>
    <w:p>
      <w:pPr>
        <w:spacing w:after="80"/>
        <w:jc w:val="left"/>
        <w:rPr>
          <w:rFonts w:ascii="Times New Roman" w:hAnsi="Times New Roman" w:eastAsia="Times New Roman" w:cs="Times New Roman"/>
          <w:i/>
          <w:color w:val="000000"/>
          <w:sz w:val="21"/>
        </w:rPr>
      </w:pPr>
      <w:r>
        <w:rPr>
          <w:rFonts w:hint="eastAsia" w:eastAsia="宋体" w:cs="Times New Roman"/>
          <w:i/>
          <w:color w:val="000000"/>
          <w:sz w:val="21"/>
          <w:lang w:val="en-US" w:eastAsia="zh-CN"/>
        </w:rPr>
        <w:t>b</w:t>
      </w:r>
      <w:r>
        <w:rPr>
          <w:rFonts w:ascii="Times New Roman" w:hAnsi="Times New Roman" w:eastAsia="Times New Roman" w:cs="Times New Roman"/>
          <w:i/>
          <w:color w:val="000000"/>
          <w:sz w:val="21"/>
        </w:rPr>
        <w:t xml:space="preserve"> </w:t>
      </w:r>
      <w:r>
        <w:rPr>
          <w:rFonts w:hint="eastAsia" w:ascii="Times New Roman" w:hAnsi="Times New Roman" w:eastAsia="Times New Roman" w:cs="Times New Roman"/>
          <w:i/>
          <w:color w:val="000000"/>
          <w:sz w:val="21"/>
        </w:rPr>
        <w:t>Xi'an Jiaotong University</w:t>
      </w:r>
      <w:r>
        <w:rPr>
          <w:rFonts w:ascii="Times New Roman" w:hAnsi="Times New Roman" w:eastAsia="Times New Roman" w:cs="Times New Roman"/>
          <w:i/>
          <w:color w:val="000000"/>
          <w:sz w:val="21"/>
        </w:rPr>
        <w:t>,</w:t>
      </w:r>
      <w:r>
        <w:rPr>
          <w:rFonts w:hint="eastAsia" w:ascii="Times New Roman" w:hAnsi="Times New Roman" w:eastAsia="Times New Roman" w:cs="Times New Roman"/>
          <w:i/>
          <w:color w:val="000000"/>
          <w:sz w:val="21"/>
        </w:rPr>
        <w:t xml:space="preserve"> No.28, Xianning West Road, </w:t>
      </w:r>
      <w:r>
        <w:rPr>
          <w:rFonts w:ascii="Times New Roman" w:hAnsi="Times New Roman" w:eastAsia="Times New Roman" w:cs="Times New Roman"/>
          <w:i/>
          <w:color w:val="000000"/>
          <w:sz w:val="21"/>
        </w:rPr>
        <w:t>Xi'an, Shaanxi 7100</w:t>
      </w:r>
      <w:r>
        <w:rPr>
          <w:rFonts w:hint="eastAsia" w:eastAsia="宋体" w:cs="Times New Roman"/>
          <w:i/>
          <w:color w:val="000000"/>
          <w:sz w:val="21"/>
          <w:lang w:val="en-US" w:eastAsia="zh-CN"/>
        </w:rPr>
        <w:t>49</w:t>
      </w:r>
      <w:r>
        <w:rPr>
          <w:rFonts w:ascii="Times New Roman" w:hAnsi="Times New Roman" w:eastAsia="Times New Roman" w:cs="Times New Roman"/>
          <w:i/>
          <w:color w:val="000000"/>
          <w:sz w:val="21"/>
        </w:rPr>
        <w:t>, China</w:t>
      </w:r>
    </w:p>
    <w:p>
      <w:pPr>
        <w:spacing w:after="80"/>
        <w:jc w:val="left"/>
        <w:rPr>
          <w:rFonts w:hint="eastAsia" w:eastAsia="宋体" w:cs="Times New Roman"/>
          <w:i/>
          <w:color w:val="000000"/>
          <w:sz w:val="21"/>
          <w:lang w:val="en-US" w:eastAsia="zh-CN"/>
        </w:rPr>
      </w:pPr>
      <w:r>
        <w:rPr>
          <w:rFonts w:hint="eastAsia" w:eastAsia="宋体" w:cs="Times New Roman"/>
          <w:i/>
          <w:color w:val="000000"/>
          <w:sz w:val="21"/>
          <w:lang w:val="en-US" w:eastAsia="zh-CN"/>
        </w:rPr>
        <w:t>c Department of Orthopedics, Guizhou Provincial People’s Hospital, Guiyang, China.</w:t>
      </w:r>
    </w:p>
    <w:p>
      <w:pPr>
        <w:spacing w:after="80"/>
        <w:jc w:val="left"/>
        <w:rPr>
          <w:rFonts w:hint="eastAsia" w:ascii="Times New Roman" w:hAnsi="Times New Roman" w:eastAsia="Times New Roman" w:cs="Times New Roman"/>
          <w:i/>
          <w:color w:val="000000"/>
          <w:sz w:val="21"/>
        </w:rPr>
      </w:pPr>
      <w:r>
        <w:rPr>
          <w:rFonts w:hint="eastAsia" w:ascii="Times New Roman" w:hAnsi="Times New Roman" w:eastAsia="Times New Roman" w:cs="Times New Roman"/>
          <w:i/>
          <w:color w:val="000000"/>
          <w:sz w:val="21"/>
        </w:rPr>
        <w:t xml:space="preserve">* First Authors: Wang Kai and Bin Gui contributed equally to this work. </w:t>
      </w:r>
    </w:p>
    <w:p>
      <w:pPr>
        <w:spacing w:after="80"/>
        <w:jc w:val="left"/>
        <w:rPr>
          <w:rFonts w:hint="eastAsia" w:ascii="Times New Roman" w:hAnsi="Times New Roman" w:eastAsia="Times New Roman" w:cs="Times New Roman"/>
          <w:i/>
          <w:color w:val="000000"/>
          <w:sz w:val="21"/>
        </w:rPr>
      </w:pPr>
      <w:r>
        <w:rPr>
          <w:rFonts w:hint="eastAsia" w:ascii="Times New Roman" w:hAnsi="Times New Roman" w:eastAsia="Times New Roman" w:cs="Times New Roman"/>
          <w:i/>
          <w:color w:val="000000"/>
          <w:sz w:val="21"/>
        </w:rPr>
        <w:t xml:space="preserve">&amp;Corresponding authors: </w:t>
      </w:r>
    </w:p>
    <w:p>
      <w:pPr>
        <w:spacing w:after="80"/>
        <w:jc w:val="left"/>
        <w:rPr>
          <w:rFonts w:hint="eastAsia" w:ascii="Times New Roman" w:hAnsi="Times New Roman" w:eastAsia="Times New Roman" w:cs="Times New Roman"/>
          <w:i/>
          <w:color w:val="000000"/>
          <w:sz w:val="21"/>
        </w:rPr>
      </w:pPr>
      <w:r>
        <w:rPr>
          <w:rFonts w:hint="eastAsia" w:ascii="Times New Roman" w:hAnsi="Times New Roman" w:eastAsia="Times New Roman" w:cs="Times New Roman"/>
          <w:i/>
          <w:color w:val="000000"/>
          <w:sz w:val="21"/>
          <w:lang w:val="en-US" w:eastAsia="zh-CN"/>
        </w:rPr>
        <w:t>Huimin Hu</w:t>
      </w:r>
      <w:r>
        <w:rPr>
          <w:rFonts w:hint="eastAsia" w:ascii="Times New Roman" w:hAnsi="Times New Roman" w:eastAsia="Times New Roman" w:cs="Times New Roman"/>
          <w:i/>
          <w:color w:val="000000"/>
          <w:sz w:val="21"/>
        </w:rPr>
        <w:t xml:space="preserve">; E-mail: </w:t>
      </w:r>
      <w:r>
        <w:rPr>
          <w:rFonts w:hint="eastAsia" w:ascii="Times New Roman" w:hAnsi="Times New Roman" w:eastAsia="Times New Roman" w:cs="Times New Roman"/>
          <w:i/>
          <w:color w:val="000000"/>
          <w:sz w:val="21"/>
          <w:lang w:val="en-US" w:eastAsia="zh-CN"/>
        </w:rPr>
        <w:t>huhuiminxjtu@mail.xjtu.edu.cn</w:t>
      </w:r>
    </w:p>
    <w:p>
      <w:pPr>
        <w:spacing w:after="80"/>
        <w:jc w:val="left"/>
        <w:rPr>
          <w:rFonts w:hint="default" w:ascii="Times New Roman" w:hAnsi="Times New Roman" w:eastAsia="Times New Roman" w:cs="Times New Roman"/>
          <w:i/>
          <w:color w:val="000000"/>
          <w:sz w:val="21"/>
          <w:lang w:val="en-US" w:eastAsia="zh-CN"/>
        </w:rPr>
      </w:pPr>
      <w:r>
        <w:rPr>
          <w:rFonts w:hint="eastAsia" w:ascii="Times New Roman" w:hAnsi="Times New Roman" w:eastAsia="Times New Roman" w:cs="Times New Roman"/>
          <w:i/>
          <w:color w:val="000000"/>
          <w:sz w:val="21"/>
        </w:rPr>
        <w:t xml:space="preserve">Liang Yan; E-mail: </w:t>
      </w:r>
      <w:r>
        <w:rPr>
          <w:rFonts w:hint="eastAsia" w:ascii="Times New Roman" w:hAnsi="Times New Roman" w:eastAsia="Times New Roman" w:cs="Times New Roman"/>
          <w:i/>
          <w:color w:val="000000"/>
          <w:sz w:val="21"/>
          <w:lang w:val="en-US" w:eastAsia="zh-CN"/>
        </w:rPr>
        <w:t>dryanliang5583@163.com</w:t>
      </w:r>
    </w:p>
    <w:p/>
    <w:p/>
    <w:p>
      <w:pPr>
        <w:spacing w:before="200" w:after="80"/>
        <w:jc w:val="center"/>
        <w:rPr>
          <w:sz w:val="22"/>
          <w:szCs w:val="28"/>
        </w:rPr>
      </w:pPr>
      <w:r>
        <w:rPr>
          <w:rFonts w:ascii="Times New Roman" w:hAnsi="Times New Roman" w:eastAsia="Times New Roman" w:cs="Times New Roman"/>
          <w:b/>
          <w:color w:val="000000"/>
          <w:sz w:val="22"/>
          <w:szCs w:val="28"/>
        </w:rPr>
        <w:t>Contents</w:t>
      </w:r>
    </w:p>
    <w:p>
      <w:pPr>
        <w:tabs>
          <w:tab w:val="right" w:leader="dot" w:pos="9576"/>
        </w:tabs>
        <w:spacing w:after="40"/>
        <w:jc w:val="both"/>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S1. Integrated-atlas context for Cd36 expression and macrophage reclustering</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2</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S2. Temporal redistribution of macrophage states during skeletal repair</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3</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S3. State- and condition-resolved Plin2 expression</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4</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S4. Cd36/Plin2 networks and stage-resolved programs</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5</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S5. Condition-resolved macrophage regulon activity</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6</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S6. Colloidal, loading, and vibrational characterization</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7</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S7. High-resolution XPS spectra and protein-profile retention</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8</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S8. Uptake of naked Cy5-siRNA by HG-conditioned macrophages</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9</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S9. PLIN2 depletion and immunometabolic reprogramming</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10</w:t>
      </w:r>
    </w:p>
    <w:p>
      <w:pPr>
        <w:tabs>
          <w:tab w:val="right" w:leader="dot" w:pos="9576"/>
        </w:tabs>
        <w:spacing w:after="40"/>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Figure S10. Complementary GSEA profiles</w:t>
      </w:r>
      <w:r>
        <w:rPr>
          <w:rFonts w:ascii="Times New Roman" w:hAnsi="Times New Roman" w:eastAsia="Times New Roman" w:cs="Times New Roman"/>
          <w:color w:val="000000"/>
          <w:sz w:val="22"/>
          <w:szCs w:val="22"/>
          <w:lang w:val="en-US" w:eastAsia="en-US" w:bidi="ar-SA"/>
        </w:rPr>
        <w:tab/>
      </w:r>
      <w:r>
        <w:rPr>
          <w:rFonts w:ascii="Times New Roman" w:hAnsi="Times New Roman" w:eastAsia="Times New Roman" w:cs="Times New Roman"/>
          <w:color w:val="000000"/>
          <w:sz w:val="22"/>
          <w:szCs w:val="22"/>
          <w:lang w:val="en-US" w:eastAsia="en-US" w:bidi="ar-SA"/>
        </w:rPr>
        <w:t>11</w:t>
      </w:r>
    </w:p>
    <w:p>
      <w:pPr>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Table S1. Key materials, cell lines, reagents, and assay kits</w:t>
      </w:r>
    </w:p>
    <w:p>
      <w:pPr>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Table S2. Antibodies used for immunoblotting, imaging, receptor blockade, and flow cytometry</w:t>
      </w:r>
    </w:p>
    <w:p>
      <w:pPr>
        <w:rPr>
          <w:rFonts w:ascii="Times New Roman" w:hAnsi="Times New Roman" w:eastAsia="Times New Roman" w:cs="Times New Roman"/>
          <w:color w:val="000000"/>
          <w:sz w:val="22"/>
          <w:szCs w:val="22"/>
          <w:lang w:val="en-US" w:eastAsia="en-US" w:bidi="ar-SA"/>
        </w:rPr>
      </w:pPr>
      <w:r>
        <w:rPr>
          <w:rFonts w:ascii="Times New Roman" w:hAnsi="Times New Roman" w:eastAsia="Times New Roman" w:cs="Times New Roman"/>
          <w:color w:val="000000"/>
          <w:sz w:val="22"/>
          <w:szCs w:val="22"/>
          <w:lang w:val="en-US" w:eastAsia="en-US" w:bidi="ar-SA"/>
        </w:rPr>
        <w:t>Table S3. siRNA oligonucleotide sequences and modifications</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669280" cy="5532120"/>
            <wp:effectExtent l="0" t="0" r="762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669280" cy="5532340"/>
                    </a:xfrm>
                    <a:prstGeom prst="rect">
                      <a:avLst/>
                    </a:prstGeom>
                  </pic:spPr>
                </pic:pic>
              </a:graphicData>
            </a:graphic>
          </wp:inline>
        </w:drawing>
      </w:r>
    </w:p>
    <w:p>
      <w:pPr>
        <w:pStyle w:val="15"/>
        <w:jc w:val="both"/>
      </w:pPr>
      <w:r>
        <w:rPr>
          <w:rFonts w:ascii="Times New Roman" w:hAnsi="Times New Roman" w:eastAsia="Times New Roman" w:cs="Times New Roman"/>
          <w:b w:val="0"/>
          <w:color w:val="000000"/>
          <w:sz w:val="18"/>
        </w:rPr>
        <w:t xml:space="preserve">Figure S1. Integrated-atlas context for </w:t>
      </w:r>
      <w:r>
        <w:rPr>
          <w:rFonts w:ascii="Times New Roman" w:hAnsi="Times New Roman" w:eastAsia="Times New Roman" w:cs="Times New Roman"/>
          <w:b w:val="0"/>
          <w:i/>
          <w:iCs/>
          <w:color w:val="000000"/>
          <w:sz w:val="18"/>
        </w:rPr>
        <w:t>Cd36</w:t>
      </w:r>
      <w:r>
        <w:rPr>
          <w:rFonts w:ascii="Times New Roman" w:hAnsi="Times New Roman" w:eastAsia="Times New Roman" w:cs="Times New Roman"/>
          <w:b w:val="0"/>
          <w:color w:val="000000"/>
          <w:sz w:val="18"/>
        </w:rPr>
        <w:t xml:space="preserve"> expression and macrophage reclustering. (A) </w:t>
      </w:r>
      <w:r>
        <w:rPr>
          <w:rFonts w:ascii="Times New Roman" w:hAnsi="Times New Roman" w:eastAsia="Times New Roman" w:cs="Times New Roman"/>
          <w:b w:val="0"/>
          <w:i/>
          <w:iCs/>
          <w:color w:val="000000"/>
          <w:sz w:val="18"/>
        </w:rPr>
        <w:t>Cd36</w:t>
      </w:r>
      <w:r>
        <w:rPr>
          <w:rFonts w:ascii="Times New Roman" w:hAnsi="Times New Roman" w:eastAsia="Times New Roman" w:cs="Times New Roman"/>
          <w:b w:val="0"/>
          <w:color w:val="000000"/>
          <w:sz w:val="18"/>
        </w:rPr>
        <w:t xml:space="preserve"> expression across all cells in the integrated skeletal-repair atlas. (B) Myeloid cells highlighted in the full atlas (2259 of 19,475 cells; 11.6%). (C,D) Macrophage UMAPs colored by the five inferred states and by repair condition, respectively.</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668645" cy="34613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669279" cy="3461978"/>
                    </a:xfrm>
                    <a:prstGeom prst="rect">
                      <a:avLst/>
                    </a:prstGeom>
                  </pic:spPr>
                </pic:pic>
              </a:graphicData>
            </a:graphic>
          </wp:inline>
        </w:drawing>
      </w:r>
    </w:p>
    <w:p>
      <w:pPr>
        <w:pStyle w:val="15"/>
        <w:jc w:val="both"/>
      </w:pPr>
      <w:r>
        <w:rPr>
          <w:rFonts w:ascii="Times New Roman" w:hAnsi="Times New Roman" w:eastAsia="Times New Roman" w:cs="Times New Roman"/>
          <w:b w:val="0"/>
          <w:color w:val="000000"/>
          <w:sz w:val="18"/>
        </w:rPr>
        <w:t>Figure S2. Temporal redistribution of macrophage states during skeletal repair. Stacked areas show the relative abundance of anti-inflammatory, homeostatic, lipid-associated macrophage (LAM), proinflammatory, and proliferating states in intact tissue and on days 1, 3, 5, and 7 after fracture, including separate day-5 normal-repair and trauma conditions.</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669280" cy="5547995"/>
            <wp:effectExtent l="0" t="0" r="7620" b="146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669280" cy="5548141"/>
                    </a:xfrm>
                    <a:prstGeom prst="rect">
                      <a:avLst/>
                    </a:prstGeom>
                  </pic:spPr>
                </pic:pic>
              </a:graphicData>
            </a:graphic>
          </wp:inline>
        </w:drawing>
      </w:r>
    </w:p>
    <w:p>
      <w:pPr>
        <w:pStyle w:val="15"/>
        <w:jc w:val="both"/>
      </w:pPr>
      <w:r>
        <w:rPr>
          <w:rFonts w:ascii="Times New Roman" w:hAnsi="Times New Roman" w:eastAsia="Times New Roman" w:cs="Times New Roman"/>
          <w:b w:val="0"/>
          <w:color w:val="000000"/>
          <w:sz w:val="18"/>
        </w:rPr>
        <w:t xml:space="preserve">Figure S3. State- and condition-resolved </w:t>
      </w:r>
      <w:r>
        <w:rPr>
          <w:rFonts w:ascii="Times New Roman" w:hAnsi="Times New Roman" w:eastAsia="Times New Roman" w:cs="Times New Roman"/>
          <w:b w:val="0"/>
          <w:i/>
          <w:iCs/>
          <w:color w:val="000000"/>
          <w:sz w:val="18"/>
        </w:rPr>
        <w:t>Plin2</w:t>
      </w:r>
      <w:r>
        <w:rPr>
          <w:rFonts w:ascii="Times New Roman" w:hAnsi="Times New Roman" w:eastAsia="Times New Roman" w:cs="Times New Roman"/>
          <w:b w:val="0"/>
          <w:color w:val="000000"/>
          <w:sz w:val="18"/>
        </w:rPr>
        <w:t xml:space="preserve"> expression. (A) Mean </w:t>
      </w:r>
      <w:r>
        <w:rPr>
          <w:rFonts w:ascii="Times New Roman" w:hAnsi="Times New Roman" w:eastAsia="Times New Roman" w:cs="Times New Roman"/>
          <w:b w:val="0"/>
          <w:i/>
          <w:iCs/>
          <w:color w:val="000000"/>
          <w:sz w:val="18"/>
        </w:rPr>
        <w:t>Plin2</w:t>
      </w:r>
      <w:r>
        <w:rPr>
          <w:rFonts w:ascii="Times New Roman" w:hAnsi="Times New Roman" w:eastAsia="Times New Roman" w:cs="Times New Roman"/>
          <w:b w:val="0"/>
          <w:color w:val="000000"/>
          <w:sz w:val="18"/>
        </w:rPr>
        <w:t xml:space="preserve"> expression and (B) percentage of </w:t>
      </w:r>
      <w:r>
        <w:rPr>
          <w:rFonts w:ascii="Times New Roman" w:hAnsi="Times New Roman" w:eastAsia="Times New Roman" w:cs="Times New Roman"/>
          <w:b w:val="0"/>
          <w:i/>
          <w:iCs/>
          <w:color w:val="000000"/>
          <w:sz w:val="18"/>
        </w:rPr>
        <w:t>Plin2</w:t>
      </w:r>
      <w:r>
        <w:rPr>
          <w:rFonts w:ascii="Times New Roman" w:hAnsi="Times New Roman" w:eastAsia="Times New Roman" w:cs="Times New Roman"/>
          <w:b w:val="0"/>
          <w:color w:val="000000"/>
          <w:sz w:val="18"/>
        </w:rPr>
        <w:t>-positive macrophages across five macrophage states and six repair conditions. Gray cells indicate state–condition combinations that were not represented.</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669280" cy="5264150"/>
            <wp:effectExtent l="0" t="0" r="762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5669280" cy="5264331"/>
                    </a:xfrm>
                    <a:prstGeom prst="rect">
                      <a:avLst/>
                    </a:prstGeom>
                  </pic:spPr>
                </pic:pic>
              </a:graphicData>
            </a:graphic>
          </wp:inline>
        </w:drawing>
      </w:r>
    </w:p>
    <w:p>
      <w:pPr>
        <w:pStyle w:val="15"/>
        <w:jc w:val="both"/>
      </w:pPr>
      <w:r>
        <w:rPr>
          <w:rFonts w:ascii="Times New Roman" w:hAnsi="Times New Roman" w:eastAsia="Times New Roman" w:cs="Times New Roman"/>
          <w:b w:val="0"/>
          <w:color w:val="000000"/>
          <w:sz w:val="18"/>
        </w:rPr>
        <w:t xml:space="preserve">Figure S4. </w:t>
      </w:r>
      <w:r>
        <w:rPr>
          <w:rFonts w:ascii="Times New Roman" w:hAnsi="Times New Roman" w:eastAsia="Times New Roman" w:cs="Times New Roman"/>
          <w:b w:val="0"/>
          <w:i/>
          <w:iCs/>
          <w:color w:val="000000"/>
          <w:sz w:val="18"/>
        </w:rPr>
        <w:t>Cd36</w:t>
      </w:r>
      <w:r>
        <w:rPr>
          <w:rFonts w:ascii="Times New Roman" w:hAnsi="Times New Roman" w:eastAsia="Times New Roman" w:cs="Times New Roman"/>
          <w:b w:val="0"/>
          <w:color w:val="000000"/>
          <w:sz w:val="18"/>
        </w:rPr>
        <w:t xml:space="preserve">- and </w:t>
      </w:r>
      <w:r>
        <w:rPr>
          <w:rFonts w:ascii="Times New Roman" w:hAnsi="Times New Roman" w:eastAsia="Times New Roman" w:cs="Times New Roman"/>
          <w:b w:val="0"/>
          <w:i/>
          <w:iCs/>
          <w:color w:val="000000"/>
          <w:sz w:val="18"/>
        </w:rPr>
        <w:t>Plin2</w:t>
      </w:r>
      <w:r>
        <w:rPr>
          <w:rFonts w:ascii="Times New Roman" w:hAnsi="Times New Roman" w:eastAsia="Times New Roman" w:cs="Times New Roman"/>
          <w:b w:val="0"/>
          <w:color w:val="000000"/>
          <w:sz w:val="18"/>
        </w:rPr>
        <w:t xml:space="preserve">-centered gene networks and stage-resolved functional programs. (A,B) Correlation neighborhoods centered on </w:t>
      </w:r>
      <w:r>
        <w:rPr>
          <w:rFonts w:ascii="Times New Roman" w:hAnsi="Times New Roman" w:eastAsia="Times New Roman" w:cs="Times New Roman"/>
          <w:b w:val="0"/>
          <w:i/>
          <w:iCs/>
          <w:color w:val="000000"/>
          <w:sz w:val="18"/>
        </w:rPr>
        <w:t>Cd36</w:t>
      </w:r>
      <w:r>
        <w:rPr>
          <w:rFonts w:ascii="Times New Roman" w:hAnsi="Times New Roman" w:eastAsia="Times New Roman" w:cs="Times New Roman"/>
          <w:b w:val="0"/>
          <w:color w:val="000000"/>
          <w:sz w:val="18"/>
        </w:rPr>
        <w:t xml:space="preserve"> and </w:t>
      </w:r>
      <w:r>
        <w:rPr>
          <w:rFonts w:ascii="Times New Roman" w:hAnsi="Times New Roman" w:eastAsia="Times New Roman" w:cs="Times New Roman"/>
          <w:b w:val="0"/>
          <w:i/>
          <w:iCs/>
          <w:color w:val="000000"/>
          <w:sz w:val="18"/>
        </w:rPr>
        <w:t>Plin2</w:t>
      </w:r>
      <w:r>
        <w:rPr>
          <w:rFonts w:ascii="Times New Roman" w:hAnsi="Times New Roman" w:eastAsia="Times New Roman" w:cs="Times New Roman"/>
          <w:b w:val="0"/>
          <w:color w:val="000000"/>
          <w:sz w:val="18"/>
        </w:rPr>
        <w:t>, respectively. Labeled nodes identify the leading correlated genes, and edges denote retained correlations. (C) Repair condition at which each of 10 predefined functional programs reached its maximum mean score. Bubble color denotes program score, and bubble size denotes the number of genes in the program.</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669280" cy="2834640"/>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5669280" cy="2834640"/>
                    </a:xfrm>
                    <a:prstGeom prst="rect">
                      <a:avLst/>
                    </a:prstGeom>
                  </pic:spPr>
                </pic:pic>
              </a:graphicData>
            </a:graphic>
          </wp:inline>
        </w:drawing>
      </w:r>
    </w:p>
    <w:p>
      <w:pPr>
        <w:pStyle w:val="15"/>
        <w:jc w:val="both"/>
      </w:pPr>
      <w:r>
        <w:rPr>
          <w:rFonts w:ascii="Times New Roman" w:hAnsi="Times New Roman" w:eastAsia="Times New Roman" w:cs="Times New Roman"/>
          <w:b w:val="0"/>
          <w:color w:val="000000"/>
          <w:sz w:val="18"/>
        </w:rPr>
        <w:t>Figure S5. Condition-resolved macrophage regulon activity. Heatmap of inferred TFEB, RXRA, PPARG, MITF, and CEBPA regulon activity in intact tissue and five skeletal-repair conditions. Values are centered activity scores.</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745480" cy="63550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stretch>
                      <a:fillRect/>
                    </a:stretch>
                  </pic:blipFill>
                  <pic:spPr>
                    <a:xfrm>
                      <a:off x="0" y="0"/>
                      <a:ext cx="5745689" cy="6355080"/>
                    </a:xfrm>
                    <a:prstGeom prst="rect">
                      <a:avLst/>
                    </a:prstGeom>
                  </pic:spPr>
                </pic:pic>
              </a:graphicData>
            </a:graphic>
          </wp:inline>
        </w:drawing>
      </w:r>
    </w:p>
    <w:p>
      <w:pPr>
        <w:pStyle w:val="15"/>
        <w:keepLines/>
      </w:pPr>
      <w:r>
        <w:rPr>
          <w:rFonts w:ascii="Times New Roman" w:hAnsi="Times New Roman" w:eastAsia="Times New Roman" w:cs="Times New Roman"/>
          <w:b w:val="0"/>
          <w:color w:val="000000"/>
          <w:sz w:val="18"/>
        </w:rPr>
        <w:t>Figure S6. Additional colloidal, loading, and vibrational characterization of the stepwise vesicle formulations. (A) Polydispersity index (PDI) of NV, ApoM-NV, AMNV, and AMNV-siPLIN2. (B) Encapsulation efficiency (EE; horizontal hatching) and loading capacity (DL; vertical hatching) for the two siRNA-loading conditions; the final AMNV-siPLIN2 condition is shown in cyan. (C) FTIR spectra of NV (G1), ApoM-NV (G2), ApoM-NV@ACP/AMNV (G3), and AMNV-siPLIN2 (G4). Data in panels A and B are mean ± SD (</w:t>
      </w:r>
      <w:r>
        <w:rPr>
          <w:rFonts w:ascii="Times New Roman" w:hAnsi="Times New Roman" w:eastAsia="Times New Roman" w:cs="Times New Roman"/>
          <w:b w:val="0"/>
          <w:i/>
          <w:iCs/>
          <w:color w:val="000000"/>
          <w:sz w:val="18"/>
        </w:rPr>
        <w:t>n</w:t>
      </w:r>
      <w:r>
        <w:rPr>
          <w:rFonts w:ascii="Times New Roman" w:hAnsi="Times New Roman" w:eastAsia="Times New Roman" w:cs="Times New Roman"/>
          <w:b w:val="0"/>
          <w:color w:val="000000"/>
          <w:sz w:val="18"/>
        </w:rPr>
        <w:t xml:space="preserve"> = 3 independent preparations).</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760720" cy="6196965"/>
            <wp:effectExtent l="0" t="0" r="11430" b="133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stretch>
                      <a:fillRect/>
                    </a:stretch>
                  </pic:blipFill>
                  <pic:spPr>
                    <a:xfrm>
                      <a:off x="0" y="0"/>
                      <a:ext cx="5760720" cy="6197138"/>
                    </a:xfrm>
                    <a:prstGeom prst="rect">
                      <a:avLst/>
                    </a:prstGeom>
                  </pic:spPr>
                </pic:pic>
              </a:graphicData>
            </a:graphic>
          </wp:inline>
        </w:drawing>
      </w:r>
    </w:p>
    <w:p>
      <w:pPr>
        <w:pStyle w:val="15"/>
        <w:keepLines/>
      </w:pPr>
      <w:r>
        <w:rPr>
          <w:rFonts w:ascii="Times New Roman" w:hAnsi="Times New Roman" w:eastAsia="Times New Roman" w:cs="Times New Roman"/>
          <w:b w:val="0"/>
          <w:color w:val="000000"/>
          <w:sz w:val="18"/>
        </w:rPr>
        <w:t>Figure S7. High-resolution XPS analysis and retention of the protein profile. (A) High-resolution O 1s spectrum of AMNV-siPLIN2 deconvoluted into C–O/P–OH (approximately 534.1 eV), C=O (approximately 532.9 eV), and Ca–O/P–O (approximately 531.6 eV) components. (B) High-resolution P 2p spectrum showing P 2p₁/₂ and P 2p₃/₂ components at approximately 134.3 and 133.4 eV, respectively. (C) Coomassie-stained SDS–PAGE of three vesicle-containing preparations. The marker lane is shown at left. Comparable multiband profiles across the three sample lanes indicate broad preservation of the vesicle-associated protein pattern during stepwise engineering.</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806440" cy="5260975"/>
            <wp:effectExtent l="0" t="0" r="3810" b="158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tretch>
                      <a:fillRect/>
                    </a:stretch>
                  </pic:blipFill>
                  <pic:spPr>
                    <a:xfrm>
                      <a:off x="0" y="0"/>
                      <a:ext cx="5806440" cy="5261280"/>
                    </a:xfrm>
                    <a:prstGeom prst="rect">
                      <a:avLst/>
                    </a:prstGeom>
                  </pic:spPr>
                </pic:pic>
              </a:graphicData>
            </a:graphic>
          </wp:inline>
        </w:drawing>
      </w:r>
    </w:p>
    <w:p>
      <w:pPr>
        <w:pStyle w:val="15"/>
      </w:pPr>
      <w:r>
        <w:rPr>
          <w:rFonts w:ascii="Times New Roman" w:hAnsi="Times New Roman" w:eastAsia="Times New Roman" w:cs="Times New Roman"/>
          <w:b w:val="0"/>
          <w:color w:val="000000"/>
          <w:sz w:val="18"/>
        </w:rPr>
        <w:t>Figure S8. Limited uptake of naked Cy5-siRNA by HG-conditioned RAW264.7 macrophages. (A) Phalloidin, (B) naked Cy5-siRNA, (C) merged image with DAPI, and (D) background-corrected mean cellular Cy5 intensity. DAPI-positive nuclei were segmented; the edge-truncated nucleus and small fragments were excluded; and uniform cell-centered regions of interest were applied. Dots represent individual cells in one representative field (</w:t>
      </w:r>
      <w:r>
        <w:rPr>
          <w:rFonts w:ascii="Times New Roman" w:hAnsi="Times New Roman" w:eastAsia="Times New Roman" w:cs="Times New Roman"/>
          <w:b w:val="0"/>
          <w:i/>
          <w:iCs/>
          <w:color w:val="000000"/>
          <w:sz w:val="18"/>
        </w:rPr>
        <w:t>n</w:t>
      </w:r>
      <w:r>
        <w:rPr>
          <w:rFonts w:ascii="Times New Roman" w:hAnsi="Times New Roman" w:eastAsia="Times New Roman" w:cs="Times New Roman"/>
          <w:b w:val="0"/>
          <w:color w:val="000000"/>
          <w:sz w:val="18"/>
        </w:rPr>
        <w:t xml:space="preserve"> = 10 cells); the bar and whiskers denote mean ± SD (6.29 ± 2.52 a.u.). This descriptive cell-level analysis does not represent 10 independent biological replicates.</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897880" cy="2686685"/>
            <wp:effectExtent l="0" t="0" r="7620" b="184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
                    <a:stretch>
                      <a:fillRect/>
                    </a:stretch>
                  </pic:blipFill>
                  <pic:spPr>
                    <a:xfrm>
                      <a:off x="0" y="0"/>
                      <a:ext cx="5897880" cy="2686812"/>
                    </a:xfrm>
                    <a:prstGeom prst="rect">
                      <a:avLst/>
                    </a:prstGeom>
                  </pic:spPr>
                </pic:pic>
              </a:graphicData>
            </a:graphic>
          </wp:inline>
        </w:drawing>
      </w:r>
    </w:p>
    <w:p>
      <w:pPr>
        <w:pStyle w:val="15"/>
        <w:keepNext w:val="0"/>
      </w:pPr>
      <w:r>
        <w:rPr>
          <w:rFonts w:ascii="Times New Roman" w:hAnsi="Times New Roman" w:eastAsia="Times New Roman" w:cs="Times New Roman"/>
          <w:b w:val="0"/>
          <w:color w:val="000000"/>
          <w:sz w:val="18"/>
        </w:rPr>
        <w:t>Figure S9. Orthogonal validation of PLIN2 depletion and downstream immunometabolic reprogramming. (A) PLIN2-positive area in Control, HG, HG + AMNV, HG + AMNV-siNC, and HG + AMNV-siPLIN2 macrophages. Data are mean ± SD (</w:t>
      </w:r>
      <w:r>
        <w:rPr>
          <w:rFonts w:ascii="Times New Roman" w:hAnsi="Times New Roman" w:eastAsia="Times New Roman" w:cs="Times New Roman"/>
          <w:b w:val="0"/>
          <w:i/>
          <w:iCs/>
          <w:color w:val="000000"/>
          <w:sz w:val="18"/>
        </w:rPr>
        <w:t>n</w:t>
      </w:r>
      <w:r>
        <w:rPr>
          <w:rFonts w:ascii="Times New Roman" w:hAnsi="Times New Roman" w:eastAsia="Times New Roman" w:cs="Times New Roman"/>
          <w:b w:val="0"/>
          <w:color w:val="000000"/>
          <w:sz w:val="18"/>
        </w:rPr>
        <w:t xml:space="preserve"> = 3 independent cell preparations); exact P values are shown. (B) Radar plot of </w:t>
      </w:r>
      <w:r>
        <w:rPr>
          <w:rFonts w:ascii="Times New Roman" w:hAnsi="Times New Roman" w:eastAsia="Times New Roman" w:cs="Times New Roman"/>
          <w:b w:val="0"/>
          <w:i/>
          <w:iCs/>
          <w:color w:val="000000"/>
          <w:sz w:val="18"/>
        </w:rPr>
        <w:t>Plin2</w:t>
      </w:r>
      <w:r>
        <w:rPr>
          <w:rFonts w:ascii="Times New Roman" w:hAnsi="Times New Roman" w:eastAsia="Times New Roman" w:cs="Times New Roman"/>
          <w:b w:val="0"/>
          <w:color w:val="000000"/>
          <w:sz w:val="18"/>
        </w:rPr>
        <w:t xml:space="preserve">, </w:t>
      </w:r>
      <w:r>
        <w:rPr>
          <w:rFonts w:ascii="Times New Roman" w:hAnsi="Times New Roman" w:eastAsia="Times New Roman" w:cs="Times New Roman"/>
          <w:b w:val="0"/>
          <w:i/>
          <w:iCs/>
          <w:color w:val="000000"/>
          <w:sz w:val="18"/>
        </w:rPr>
        <w:t>Acsl4</w:t>
      </w:r>
      <w:r>
        <w:rPr>
          <w:rFonts w:ascii="Times New Roman" w:hAnsi="Times New Roman" w:eastAsia="Times New Roman" w:cs="Times New Roman"/>
          <w:b w:val="0"/>
          <w:color w:val="000000"/>
          <w:sz w:val="18"/>
        </w:rPr>
        <w:t xml:space="preserve">, </w:t>
      </w:r>
      <w:r>
        <w:rPr>
          <w:rFonts w:ascii="Times New Roman" w:hAnsi="Times New Roman" w:eastAsia="Times New Roman" w:cs="Times New Roman"/>
          <w:b w:val="0"/>
          <w:i/>
          <w:iCs/>
          <w:color w:val="000000"/>
          <w:sz w:val="18"/>
        </w:rPr>
        <w:t>Nos2</w:t>
      </w:r>
      <w:r>
        <w:rPr>
          <w:rFonts w:ascii="Times New Roman" w:hAnsi="Times New Roman" w:eastAsia="Times New Roman" w:cs="Times New Roman"/>
          <w:b w:val="0"/>
          <w:color w:val="000000"/>
          <w:sz w:val="18"/>
        </w:rPr>
        <w:t xml:space="preserve">, </w:t>
      </w:r>
      <w:r>
        <w:rPr>
          <w:rFonts w:ascii="Times New Roman" w:hAnsi="Times New Roman" w:eastAsia="Times New Roman" w:cs="Times New Roman"/>
          <w:b w:val="0"/>
          <w:i/>
          <w:iCs/>
          <w:color w:val="000000"/>
          <w:sz w:val="18"/>
        </w:rPr>
        <w:t>Arg1</w:t>
      </w:r>
      <w:r>
        <w:rPr>
          <w:rFonts w:ascii="Times New Roman" w:hAnsi="Times New Roman" w:eastAsia="Times New Roman" w:cs="Times New Roman"/>
          <w:b w:val="0"/>
          <w:color w:val="000000"/>
          <w:sz w:val="18"/>
        </w:rPr>
        <w:t xml:space="preserve">, and </w:t>
      </w:r>
      <w:r>
        <w:rPr>
          <w:rFonts w:ascii="Times New Roman" w:hAnsi="Times New Roman" w:eastAsia="Times New Roman" w:cs="Times New Roman"/>
          <w:b w:val="0"/>
          <w:i/>
          <w:iCs/>
          <w:color w:val="000000"/>
          <w:sz w:val="18"/>
        </w:rPr>
        <w:t>Il1b</w:t>
      </w:r>
      <w:r>
        <w:rPr>
          <w:rFonts w:ascii="Times New Roman" w:hAnsi="Times New Roman" w:eastAsia="Times New Roman" w:cs="Times New Roman"/>
          <w:b w:val="0"/>
          <w:color w:val="000000"/>
          <w:sz w:val="18"/>
        </w:rPr>
        <w:t xml:space="preserve"> expression measured by quantitative PCR. Control expression was normalized to 1, and radial coordinates show group means from three independent cell preparations.</w:t>
      </w:r>
    </w:p>
    <w:p>
      <w:r>
        <w:rPr>
          <w:rFonts w:ascii="Times New Roman" w:hAnsi="Times New Roman" w:eastAsia="Times New Roman" w:cs="Times New Roman"/>
          <w:color w:val="000000"/>
          <w:sz w:val="20"/>
        </w:rPr>
        <w:br w:type="page"/>
      </w:r>
    </w:p>
    <w:p>
      <w:pPr>
        <w:keepNext/>
        <w:pageBreakBefore/>
        <w:spacing w:after="0"/>
        <w:jc w:val="center"/>
      </w:pPr>
      <w:r>
        <w:rPr>
          <w:rFonts w:ascii="Times New Roman" w:hAnsi="Times New Roman" w:eastAsia="Times New Roman" w:cs="Times New Roman"/>
          <w:color w:val="000000"/>
          <w:sz w:val="20"/>
        </w:rPr>
        <w:drawing>
          <wp:inline distT="0" distB="0" distL="114300" distR="114300">
            <wp:extent cx="5806440" cy="435483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6"/>
                    <a:stretch>
                      <a:fillRect/>
                    </a:stretch>
                  </pic:blipFill>
                  <pic:spPr>
                    <a:xfrm>
                      <a:off x="0" y="0"/>
                      <a:ext cx="5806440" cy="4354830"/>
                    </a:xfrm>
                    <a:prstGeom prst="rect">
                      <a:avLst/>
                    </a:prstGeom>
                  </pic:spPr>
                </pic:pic>
              </a:graphicData>
            </a:graphic>
          </wp:inline>
        </w:drawing>
      </w:r>
    </w:p>
    <w:p>
      <w:pPr>
        <w:pStyle w:val="15"/>
      </w:pPr>
      <w:r>
        <w:rPr>
          <w:rFonts w:ascii="Times New Roman" w:hAnsi="Times New Roman" w:eastAsia="Times New Roman" w:cs="Times New Roman"/>
          <w:b w:val="0"/>
          <w:color w:val="000000"/>
          <w:sz w:val="18"/>
        </w:rPr>
        <w:t>Figure S10. Complementary GSEA profiles linking lipid-interface remodeling to redox and inflammatory outputs. (A) Phospholipid binding (GO:0005543). (B) Oxidoreductase activity, acting on paired donors, with incorporation or reduction of molecular oxygen (GO:0016705). (C) Inflammatory response (GO:0006954). (D) Chemokine activity (GO:0008009). Genes were ranked for HG macrophages (D) versus HG + AMNV-siPLIN2 macrophages (T). These nonredundant terms extend the phospholipid-metabolism and TNF-receptor-binding profiles in Figure 7e by adding lipid-interface, redox, inflammatory, and chemokine context to the proposed PLIN2-centered mechanism.</w:t>
      </w:r>
    </w:p>
    <w:p>
      <w:r>
        <w:br w:type="page"/>
      </w:r>
    </w:p>
    <w:p>
      <w:pPr>
        <w:spacing w:before="80" w:after="100"/>
      </w:pPr>
      <w:r>
        <w:rPr>
          <w:rFonts w:ascii="Times New Roman" w:hAnsi="Times New Roman"/>
          <w:b/>
          <w:sz w:val="20"/>
        </w:rPr>
        <w:t>Table S1. Key materials, cell lines, reagents, and assay kits.</w:t>
      </w:r>
    </w:p>
    <w:tbl>
      <w:tblPr>
        <w:tblStyle w:val="32"/>
        <w:tblW w:w="0" w:type="auto"/>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op w:w="0" w:type="dxa"/>
          <w:left w:w="108" w:type="dxa"/>
          <w:bottom w:w="0" w:type="dxa"/>
          <w:right w:w="108" w:type="dxa"/>
        </w:tblCellMar>
      </w:tblPr>
      <w:tblGrid>
        <w:gridCol w:w="2520"/>
        <w:gridCol w:w="2520"/>
        <w:gridCol w:w="2520"/>
        <w:gridCol w:w="2520"/>
      </w:tblGrid>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tblHeader/>
          <w:jc w:val="center"/>
        </w:trPr>
        <w:tc>
          <w:tcPr>
            <w:tcW w:w="3384" w:type="dxa"/>
            <w:shd w:val="clear" w:color="auto" w:fill="D9EAF7"/>
            <w:vAlign w:val="center"/>
          </w:tcPr>
          <w:p>
            <w:pPr>
              <w:spacing w:before="0" w:after="0" w:line="240" w:lineRule="auto"/>
              <w:jc w:val="center"/>
            </w:pPr>
            <w:r>
              <w:rPr>
                <w:rFonts w:ascii="Times New Roman" w:hAnsi="Times New Roman"/>
                <w:b/>
                <w:sz w:val="15"/>
              </w:rPr>
              <w:t>Material or reagent</w:t>
            </w:r>
          </w:p>
        </w:tc>
        <w:tc>
          <w:tcPr>
            <w:tcW w:w="1944" w:type="dxa"/>
            <w:shd w:val="clear" w:color="auto" w:fill="D9EAF7"/>
            <w:vAlign w:val="center"/>
          </w:tcPr>
          <w:p>
            <w:pPr>
              <w:spacing w:before="0" w:after="0" w:line="240" w:lineRule="auto"/>
              <w:jc w:val="center"/>
            </w:pPr>
            <w:r>
              <w:rPr>
                <w:rFonts w:ascii="Times New Roman" w:hAnsi="Times New Roman"/>
                <w:b/>
                <w:sz w:val="15"/>
              </w:rPr>
              <w:t>Supplier</w:t>
            </w:r>
          </w:p>
        </w:tc>
        <w:tc>
          <w:tcPr>
            <w:tcW w:w="1655" w:type="dxa"/>
            <w:shd w:val="clear" w:color="auto" w:fill="D9EAF7"/>
            <w:vAlign w:val="center"/>
          </w:tcPr>
          <w:p>
            <w:pPr>
              <w:spacing w:before="0" w:after="0" w:line="240" w:lineRule="auto"/>
              <w:jc w:val="center"/>
            </w:pPr>
            <w:r>
              <w:rPr>
                <w:rFonts w:ascii="Times New Roman" w:hAnsi="Times New Roman"/>
                <w:b/>
                <w:sz w:val="15"/>
              </w:rPr>
              <w:t>Catalog no.</w:t>
            </w:r>
          </w:p>
        </w:tc>
        <w:tc>
          <w:tcPr>
            <w:tcW w:w="3096" w:type="dxa"/>
            <w:shd w:val="clear" w:color="auto" w:fill="D9EAF7"/>
            <w:vAlign w:val="center"/>
          </w:tcPr>
          <w:p>
            <w:pPr>
              <w:spacing w:before="0" w:after="0" w:line="240" w:lineRule="auto"/>
              <w:jc w:val="center"/>
            </w:pPr>
            <w:r>
              <w:rPr>
                <w:rFonts w:ascii="Times New Roman" w:hAnsi="Times New Roman"/>
                <w:b/>
                <w:sz w:val="15"/>
              </w:rPr>
              <w:t>Principal use</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RAW264.7 macrophages</w:t>
            </w:r>
          </w:p>
        </w:tc>
        <w:tc>
          <w:tcPr>
            <w:tcW w:w="1944" w:type="dxa"/>
            <w:vAlign w:val="center"/>
          </w:tcPr>
          <w:p>
            <w:pPr>
              <w:spacing w:before="0" w:after="0" w:line="240" w:lineRule="auto"/>
            </w:pPr>
            <w:r>
              <w:rPr>
                <w:rFonts w:ascii="Times New Roman" w:hAnsi="Times New Roman"/>
                <w:sz w:val="15"/>
              </w:rPr>
              <w:t>ATCC</w:t>
            </w:r>
          </w:p>
        </w:tc>
        <w:tc>
          <w:tcPr>
            <w:tcW w:w="1655" w:type="dxa"/>
            <w:vAlign w:val="center"/>
          </w:tcPr>
          <w:p>
            <w:pPr>
              <w:spacing w:before="0" w:after="0" w:line="240" w:lineRule="auto"/>
            </w:pPr>
            <w:r>
              <w:rPr>
                <w:rFonts w:ascii="Times New Roman" w:hAnsi="Times New Roman"/>
                <w:sz w:val="15"/>
              </w:rPr>
              <w:t>TIB-71</w:t>
            </w:r>
          </w:p>
        </w:tc>
        <w:tc>
          <w:tcPr>
            <w:tcW w:w="3096" w:type="dxa"/>
            <w:vAlign w:val="center"/>
          </w:tcPr>
          <w:p>
            <w:pPr>
              <w:spacing w:before="0" w:after="0" w:line="240" w:lineRule="auto"/>
            </w:pPr>
            <w:r>
              <w:rPr>
                <w:rFonts w:ascii="Times New Roman" w:hAnsi="Times New Roman"/>
                <w:sz w:val="15"/>
              </w:rPr>
              <w:t>HG macrophage experiments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PC12 cells</w:t>
            </w:r>
          </w:p>
        </w:tc>
        <w:tc>
          <w:tcPr>
            <w:tcW w:w="1944" w:type="dxa"/>
            <w:vAlign w:val="center"/>
          </w:tcPr>
          <w:p>
            <w:pPr>
              <w:spacing w:before="0" w:after="0" w:line="240" w:lineRule="auto"/>
            </w:pPr>
            <w:r>
              <w:rPr>
                <w:rFonts w:ascii="Times New Roman" w:hAnsi="Times New Roman"/>
                <w:sz w:val="15"/>
              </w:rPr>
              <w:t>ATCC</w:t>
            </w:r>
          </w:p>
        </w:tc>
        <w:tc>
          <w:tcPr>
            <w:tcW w:w="1655" w:type="dxa"/>
            <w:vAlign w:val="center"/>
          </w:tcPr>
          <w:p>
            <w:pPr>
              <w:spacing w:before="0" w:after="0" w:line="240" w:lineRule="auto"/>
            </w:pPr>
            <w:r>
              <w:rPr>
                <w:rFonts w:ascii="Times New Roman" w:hAnsi="Times New Roman"/>
                <w:sz w:val="15"/>
              </w:rPr>
              <w:t>CRL-1721</w:t>
            </w:r>
          </w:p>
        </w:tc>
        <w:tc>
          <w:tcPr>
            <w:tcW w:w="3096" w:type="dxa"/>
            <w:vAlign w:val="center"/>
          </w:tcPr>
          <w:p>
            <w:pPr>
              <w:spacing w:before="0" w:after="0" w:line="240" w:lineRule="auto"/>
            </w:pPr>
            <w:r>
              <w:rPr>
                <w:rFonts w:ascii="Times New Roman" w:hAnsi="Times New Roman"/>
                <w:sz w:val="15"/>
              </w:rPr>
              <w:t>Neuronal differentiation assays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C57BL/6 mouse BMSCs</w:t>
            </w:r>
          </w:p>
        </w:tc>
        <w:tc>
          <w:tcPr>
            <w:tcW w:w="1944" w:type="dxa"/>
            <w:vAlign w:val="center"/>
          </w:tcPr>
          <w:p>
            <w:pPr>
              <w:spacing w:before="0" w:after="0" w:line="240" w:lineRule="auto"/>
            </w:pPr>
            <w:r>
              <w:rPr>
                <w:rFonts w:ascii="Times New Roman" w:hAnsi="Times New Roman"/>
                <w:sz w:val="15"/>
              </w:rPr>
              <w:t>Cyagen Biosciences</w:t>
            </w:r>
          </w:p>
        </w:tc>
        <w:tc>
          <w:tcPr>
            <w:tcW w:w="1655" w:type="dxa"/>
            <w:vAlign w:val="center"/>
          </w:tcPr>
          <w:p>
            <w:pPr>
              <w:spacing w:before="0" w:after="0" w:line="240" w:lineRule="auto"/>
            </w:pPr>
            <w:r>
              <w:rPr>
                <w:rFonts w:ascii="Times New Roman" w:hAnsi="Times New Roman"/>
                <w:sz w:val="15"/>
              </w:rPr>
              <w:t>MUBMX-01001</w:t>
            </w:r>
          </w:p>
        </w:tc>
        <w:tc>
          <w:tcPr>
            <w:tcW w:w="3096" w:type="dxa"/>
            <w:vAlign w:val="center"/>
          </w:tcPr>
          <w:p>
            <w:pPr>
              <w:spacing w:before="0" w:after="0" w:line="240" w:lineRule="auto"/>
            </w:pPr>
            <w:r>
              <w:rPr>
                <w:rFonts w:ascii="Times New Roman" w:hAnsi="Times New Roman"/>
                <w:sz w:val="15"/>
              </w:rPr>
              <w:t>Osteogenic assays; passages 6–8</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Low-glucose DMEM (5.5 mM glucose)</w:t>
            </w:r>
          </w:p>
        </w:tc>
        <w:tc>
          <w:tcPr>
            <w:tcW w:w="1944" w:type="dxa"/>
            <w:vAlign w:val="center"/>
          </w:tcPr>
          <w:p>
            <w:pPr>
              <w:spacing w:before="0" w:after="0" w:line="240" w:lineRule="auto"/>
            </w:pPr>
            <w:r>
              <w:rPr>
                <w:rFonts w:ascii="Times New Roman" w:hAnsi="Times New Roman"/>
                <w:sz w:val="15"/>
              </w:rPr>
              <w:t>Gibco</w:t>
            </w:r>
          </w:p>
        </w:tc>
        <w:tc>
          <w:tcPr>
            <w:tcW w:w="1655" w:type="dxa"/>
            <w:vAlign w:val="center"/>
          </w:tcPr>
          <w:p>
            <w:pPr>
              <w:spacing w:before="0" w:after="0" w:line="240" w:lineRule="auto"/>
            </w:pPr>
            <w:r>
              <w:rPr>
                <w:rFonts w:ascii="Times New Roman" w:hAnsi="Times New Roman"/>
                <w:sz w:val="15"/>
              </w:rPr>
              <w:t>11885084</w:t>
            </w:r>
          </w:p>
        </w:tc>
        <w:tc>
          <w:tcPr>
            <w:tcW w:w="3096" w:type="dxa"/>
            <w:vAlign w:val="center"/>
          </w:tcPr>
          <w:p>
            <w:pPr>
              <w:spacing w:before="0" w:after="0" w:line="240" w:lineRule="auto"/>
            </w:pPr>
            <w:r>
              <w:rPr>
                <w:rFonts w:ascii="Times New Roman" w:hAnsi="Times New Roman"/>
                <w:sz w:val="15"/>
              </w:rPr>
              <w:t>RAW264.7 maintenance and control medium</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Fetal bovine serum</w:t>
            </w:r>
          </w:p>
        </w:tc>
        <w:tc>
          <w:tcPr>
            <w:tcW w:w="1944" w:type="dxa"/>
            <w:vAlign w:val="center"/>
          </w:tcPr>
          <w:p>
            <w:pPr>
              <w:spacing w:before="0" w:after="0" w:line="240" w:lineRule="auto"/>
            </w:pPr>
            <w:r>
              <w:rPr>
                <w:rFonts w:ascii="Times New Roman" w:hAnsi="Times New Roman"/>
                <w:sz w:val="15"/>
              </w:rPr>
              <w:t>Gibco</w:t>
            </w:r>
          </w:p>
        </w:tc>
        <w:tc>
          <w:tcPr>
            <w:tcW w:w="1655" w:type="dxa"/>
            <w:vAlign w:val="center"/>
          </w:tcPr>
          <w:p>
            <w:pPr>
              <w:spacing w:before="0" w:after="0" w:line="240" w:lineRule="auto"/>
            </w:pPr>
            <w:r>
              <w:rPr>
                <w:rFonts w:ascii="Times New Roman" w:hAnsi="Times New Roman"/>
                <w:sz w:val="15"/>
              </w:rPr>
              <w:t>10099141C</w:t>
            </w:r>
          </w:p>
        </w:tc>
        <w:tc>
          <w:tcPr>
            <w:tcW w:w="3096" w:type="dxa"/>
            <w:vAlign w:val="center"/>
          </w:tcPr>
          <w:p>
            <w:pPr>
              <w:spacing w:before="0" w:after="0" w:line="240" w:lineRule="auto"/>
            </w:pPr>
            <w:r>
              <w:rPr>
                <w:rFonts w:ascii="Times New Roman" w:hAnsi="Times New Roman"/>
                <w:sz w:val="15"/>
              </w:rPr>
              <w:t>Cell-culture supplement</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Penicillin–streptomycin</w:t>
            </w:r>
          </w:p>
        </w:tc>
        <w:tc>
          <w:tcPr>
            <w:tcW w:w="1944" w:type="dxa"/>
            <w:vAlign w:val="center"/>
          </w:tcPr>
          <w:p>
            <w:pPr>
              <w:spacing w:before="0" w:after="0" w:line="240" w:lineRule="auto"/>
            </w:pPr>
            <w:r>
              <w:rPr>
                <w:rFonts w:ascii="Times New Roman" w:hAnsi="Times New Roman"/>
                <w:sz w:val="15"/>
              </w:rPr>
              <w:t>Gibco</w:t>
            </w:r>
          </w:p>
        </w:tc>
        <w:tc>
          <w:tcPr>
            <w:tcW w:w="1655" w:type="dxa"/>
            <w:vAlign w:val="center"/>
          </w:tcPr>
          <w:p>
            <w:pPr>
              <w:spacing w:before="0" w:after="0" w:line="240" w:lineRule="auto"/>
            </w:pPr>
            <w:r>
              <w:rPr>
                <w:rFonts w:ascii="Times New Roman" w:hAnsi="Times New Roman"/>
                <w:sz w:val="15"/>
              </w:rPr>
              <w:t>15140122</w:t>
            </w:r>
          </w:p>
        </w:tc>
        <w:tc>
          <w:tcPr>
            <w:tcW w:w="3096" w:type="dxa"/>
            <w:vAlign w:val="center"/>
          </w:tcPr>
          <w:p>
            <w:pPr>
              <w:spacing w:before="0" w:after="0" w:line="240" w:lineRule="auto"/>
            </w:pPr>
            <w:r>
              <w:rPr>
                <w:rFonts w:ascii="Times New Roman" w:hAnsi="Times New Roman"/>
                <w:sz w:val="15"/>
              </w:rPr>
              <w:t>Cell-culture supplement</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Kaighn's modification of Ham's F-12 (F-12K)</w:t>
            </w:r>
          </w:p>
        </w:tc>
        <w:tc>
          <w:tcPr>
            <w:tcW w:w="1944" w:type="dxa"/>
            <w:vAlign w:val="center"/>
          </w:tcPr>
          <w:p>
            <w:pPr>
              <w:spacing w:before="0" w:after="0" w:line="240" w:lineRule="auto"/>
            </w:pPr>
            <w:r>
              <w:rPr>
                <w:rFonts w:ascii="Times New Roman" w:hAnsi="Times New Roman"/>
                <w:sz w:val="15"/>
              </w:rPr>
              <w:t>ATCC</w:t>
            </w:r>
          </w:p>
        </w:tc>
        <w:tc>
          <w:tcPr>
            <w:tcW w:w="1655" w:type="dxa"/>
            <w:vAlign w:val="center"/>
          </w:tcPr>
          <w:p>
            <w:pPr>
              <w:spacing w:before="0" w:after="0" w:line="240" w:lineRule="auto"/>
            </w:pPr>
            <w:r>
              <w:rPr>
                <w:rFonts w:ascii="Times New Roman" w:hAnsi="Times New Roman"/>
                <w:sz w:val="15"/>
              </w:rPr>
              <w:t>30-2004</w:t>
            </w:r>
          </w:p>
        </w:tc>
        <w:tc>
          <w:tcPr>
            <w:tcW w:w="3096" w:type="dxa"/>
            <w:vAlign w:val="center"/>
          </w:tcPr>
          <w:p>
            <w:pPr>
              <w:spacing w:before="0" w:after="0" w:line="240" w:lineRule="auto"/>
            </w:pPr>
            <w:r>
              <w:rPr>
                <w:rFonts w:ascii="Times New Roman" w:hAnsi="Times New Roman"/>
                <w:sz w:val="15"/>
              </w:rPr>
              <w:t>PC12 maintenance</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Heat-inactivated horse serum</w:t>
            </w:r>
          </w:p>
        </w:tc>
        <w:tc>
          <w:tcPr>
            <w:tcW w:w="1944" w:type="dxa"/>
            <w:vAlign w:val="center"/>
          </w:tcPr>
          <w:p>
            <w:pPr>
              <w:spacing w:before="0" w:after="0" w:line="240" w:lineRule="auto"/>
            </w:pPr>
            <w:r>
              <w:rPr>
                <w:rFonts w:ascii="Times New Roman" w:hAnsi="Times New Roman"/>
                <w:sz w:val="15"/>
              </w:rPr>
              <w:t>Gibco</w:t>
            </w:r>
          </w:p>
        </w:tc>
        <w:tc>
          <w:tcPr>
            <w:tcW w:w="1655" w:type="dxa"/>
            <w:vAlign w:val="center"/>
          </w:tcPr>
          <w:p>
            <w:pPr>
              <w:spacing w:before="0" w:after="0" w:line="240" w:lineRule="auto"/>
            </w:pPr>
            <w:r>
              <w:rPr>
                <w:rFonts w:ascii="Times New Roman" w:hAnsi="Times New Roman"/>
                <w:sz w:val="15"/>
              </w:rPr>
              <w:t>26050088</w:t>
            </w:r>
          </w:p>
        </w:tc>
        <w:tc>
          <w:tcPr>
            <w:tcW w:w="3096" w:type="dxa"/>
            <w:vAlign w:val="center"/>
          </w:tcPr>
          <w:p>
            <w:pPr>
              <w:spacing w:before="0" w:after="0" w:line="240" w:lineRule="auto"/>
            </w:pPr>
            <w:r>
              <w:rPr>
                <w:rFonts w:ascii="Times New Roman" w:hAnsi="Times New Roman"/>
                <w:sz w:val="15"/>
              </w:rPr>
              <w:t>PC12 maintenance</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Mouse BMSC complete medium</w:t>
            </w:r>
          </w:p>
        </w:tc>
        <w:tc>
          <w:tcPr>
            <w:tcW w:w="1944" w:type="dxa"/>
            <w:vAlign w:val="center"/>
          </w:tcPr>
          <w:p>
            <w:pPr>
              <w:spacing w:before="0" w:after="0" w:line="240" w:lineRule="auto"/>
            </w:pPr>
            <w:r>
              <w:rPr>
                <w:rFonts w:ascii="Times New Roman" w:hAnsi="Times New Roman"/>
                <w:sz w:val="15"/>
              </w:rPr>
              <w:t>Cyagen Biosciences</w:t>
            </w:r>
          </w:p>
        </w:tc>
        <w:tc>
          <w:tcPr>
            <w:tcW w:w="1655" w:type="dxa"/>
            <w:vAlign w:val="center"/>
          </w:tcPr>
          <w:p>
            <w:pPr>
              <w:spacing w:before="0" w:after="0" w:line="240" w:lineRule="auto"/>
            </w:pPr>
            <w:r>
              <w:rPr>
                <w:rFonts w:ascii="Times New Roman" w:hAnsi="Times New Roman"/>
                <w:sz w:val="15"/>
              </w:rPr>
              <w:t>MUXMX-90011</w:t>
            </w:r>
          </w:p>
        </w:tc>
        <w:tc>
          <w:tcPr>
            <w:tcW w:w="3096" w:type="dxa"/>
            <w:vAlign w:val="center"/>
          </w:tcPr>
          <w:p>
            <w:pPr>
              <w:spacing w:before="0" w:after="0" w:line="240" w:lineRule="auto"/>
            </w:pPr>
            <w:r>
              <w:rPr>
                <w:rFonts w:ascii="Times New Roman" w:hAnsi="Times New Roman"/>
                <w:sz w:val="15"/>
              </w:rPr>
              <w:t>BMSC expansion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Mouse BMSC osteogenic differentiation medium</w:t>
            </w:r>
          </w:p>
        </w:tc>
        <w:tc>
          <w:tcPr>
            <w:tcW w:w="1944" w:type="dxa"/>
            <w:vAlign w:val="center"/>
          </w:tcPr>
          <w:p>
            <w:pPr>
              <w:spacing w:before="0" w:after="0" w:line="240" w:lineRule="auto"/>
            </w:pPr>
            <w:r>
              <w:rPr>
                <w:rFonts w:ascii="Times New Roman" w:hAnsi="Times New Roman"/>
                <w:sz w:val="15"/>
              </w:rPr>
              <w:t>Cyagen Biosciences</w:t>
            </w:r>
          </w:p>
        </w:tc>
        <w:tc>
          <w:tcPr>
            <w:tcW w:w="1655" w:type="dxa"/>
            <w:vAlign w:val="center"/>
          </w:tcPr>
          <w:p>
            <w:pPr>
              <w:spacing w:before="0" w:after="0" w:line="240" w:lineRule="auto"/>
            </w:pPr>
            <w:r>
              <w:rPr>
                <w:rFonts w:ascii="Times New Roman" w:hAnsi="Times New Roman"/>
                <w:sz w:val="15"/>
              </w:rPr>
              <w:t>MUXMX-90021</w:t>
            </w:r>
          </w:p>
        </w:tc>
        <w:tc>
          <w:tcPr>
            <w:tcW w:w="3096" w:type="dxa"/>
            <w:vAlign w:val="center"/>
          </w:tcPr>
          <w:p>
            <w:pPr>
              <w:spacing w:before="0" w:after="0" w:line="240" w:lineRule="auto"/>
            </w:pPr>
            <w:r>
              <w:rPr>
                <w:rFonts w:ascii="Times New Roman" w:hAnsi="Times New Roman"/>
                <w:sz w:val="15"/>
              </w:rPr>
              <w:t>BMSC osteogenic induction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d-Glucose</w:t>
            </w:r>
          </w:p>
        </w:tc>
        <w:tc>
          <w:tcPr>
            <w:tcW w:w="1944" w:type="dxa"/>
            <w:vAlign w:val="center"/>
          </w:tcPr>
          <w:p>
            <w:pPr>
              <w:spacing w:before="0" w:after="0" w:line="240" w:lineRule="auto"/>
            </w:pPr>
            <w:r>
              <w:rPr>
                <w:rFonts w:ascii="Times New Roman" w:hAnsi="Times New Roman"/>
                <w:sz w:val="15"/>
              </w:rPr>
              <w:t>Sigma-Aldrich</w:t>
            </w:r>
          </w:p>
        </w:tc>
        <w:tc>
          <w:tcPr>
            <w:tcW w:w="1655" w:type="dxa"/>
            <w:vAlign w:val="center"/>
          </w:tcPr>
          <w:p>
            <w:pPr>
              <w:spacing w:before="0" w:after="0" w:line="240" w:lineRule="auto"/>
            </w:pPr>
            <w:r>
              <w:rPr>
                <w:rFonts w:ascii="Times New Roman" w:hAnsi="Times New Roman"/>
                <w:sz w:val="15"/>
              </w:rPr>
              <w:t>G7021</w:t>
            </w:r>
          </w:p>
        </w:tc>
        <w:tc>
          <w:tcPr>
            <w:tcW w:w="3096" w:type="dxa"/>
            <w:vAlign w:val="center"/>
          </w:tcPr>
          <w:p>
            <w:pPr>
              <w:spacing w:before="0" w:after="0" w:line="240" w:lineRule="auto"/>
            </w:pPr>
            <w:r>
              <w:rPr>
                <w:rFonts w:ascii="Times New Roman" w:hAnsi="Times New Roman"/>
                <w:sz w:val="15"/>
              </w:rPr>
              <w:t>Adjustment to 25 mM HG</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DOPS</w:t>
            </w:r>
          </w:p>
        </w:tc>
        <w:tc>
          <w:tcPr>
            <w:tcW w:w="1944" w:type="dxa"/>
            <w:vAlign w:val="center"/>
          </w:tcPr>
          <w:p>
            <w:pPr>
              <w:spacing w:before="0" w:after="0" w:line="240" w:lineRule="auto"/>
            </w:pPr>
            <w:r>
              <w:rPr>
                <w:rFonts w:ascii="Times New Roman" w:hAnsi="Times New Roman"/>
                <w:sz w:val="15"/>
              </w:rPr>
              <w:t>Avanti Polar Lipids</w:t>
            </w:r>
          </w:p>
        </w:tc>
        <w:tc>
          <w:tcPr>
            <w:tcW w:w="1655" w:type="dxa"/>
            <w:vAlign w:val="center"/>
          </w:tcPr>
          <w:p>
            <w:pPr>
              <w:spacing w:before="0" w:after="0" w:line="240" w:lineRule="auto"/>
            </w:pPr>
            <w:r>
              <w:rPr>
                <w:rFonts w:ascii="Times New Roman" w:hAnsi="Times New Roman"/>
                <w:sz w:val="15"/>
              </w:rPr>
              <w:t>840035P</w:t>
            </w:r>
          </w:p>
        </w:tc>
        <w:tc>
          <w:tcPr>
            <w:tcW w:w="3096" w:type="dxa"/>
            <w:vAlign w:val="center"/>
          </w:tcPr>
          <w:p>
            <w:pPr>
              <w:spacing w:before="0" w:after="0" w:line="240" w:lineRule="auto"/>
            </w:pPr>
            <w:r>
              <w:rPr>
                <w:rFonts w:ascii="Times New Roman" w:hAnsi="Times New Roman"/>
                <w:sz w:val="15"/>
              </w:rPr>
              <w:t>Apoptotic-mimetic membrane</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Calcium chloride</w:t>
            </w:r>
          </w:p>
        </w:tc>
        <w:tc>
          <w:tcPr>
            <w:tcW w:w="1944" w:type="dxa"/>
            <w:vAlign w:val="center"/>
          </w:tcPr>
          <w:p>
            <w:pPr>
              <w:spacing w:before="0" w:after="0" w:line="240" w:lineRule="auto"/>
            </w:pPr>
            <w:r>
              <w:rPr>
                <w:rFonts w:ascii="Times New Roman" w:hAnsi="Times New Roman"/>
                <w:sz w:val="15"/>
              </w:rPr>
              <w:t>Sigma-Aldrich</w:t>
            </w:r>
          </w:p>
        </w:tc>
        <w:tc>
          <w:tcPr>
            <w:tcW w:w="1655" w:type="dxa"/>
            <w:vAlign w:val="center"/>
          </w:tcPr>
          <w:p>
            <w:pPr>
              <w:spacing w:before="0" w:after="0" w:line="240" w:lineRule="auto"/>
            </w:pPr>
            <w:r>
              <w:rPr>
                <w:rFonts w:ascii="Times New Roman" w:hAnsi="Times New Roman"/>
                <w:sz w:val="15"/>
              </w:rPr>
              <w:t>C1016</w:t>
            </w:r>
          </w:p>
        </w:tc>
        <w:tc>
          <w:tcPr>
            <w:tcW w:w="3096" w:type="dxa"/>
            <w:vAlign w:val="center"/>
          </w:tcPr>
          <w:p>
            <w:pPr>
              <w:spacing w:before="0" w:after="0" w:line="240" w:lineRule="auto"/>
            </w:pPr>
            <w:r>
              <w:rPr>
                <w:rFonts w:ascii="Times New Roman" w:hAnsi="Times New Roman"/>
                <w:sz w:val="15"/>
              </w:rPr>
              <w:t>ACP mineralization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Disodium hydrogen phosphate</w:t>
            </w:r>
          </w:p>
        </w:tc>
        <w:tc>
          <w:tcPr>
            <w:tcW w:w="1944" w:type="dxa"/>
            <w:vAlign w:val="center"/>
          </w:tcPr>
          <w:p>
            <w:pPr>
              <w:spacing w:before="0" w:after="0" w:line="240" w:lineRule="auto"/>
            </w:pPr>
            <w:r>
              <w:rPr>
                <w:rFonts w:ascii="Times New Roman" w:hAnsi="Times New Roman"/>
                <w:sz w:val="15"/>
              </w:rPr>
              <w:t>Sigma-Aldrich</w:t>
            </w:r>
          </w:p>
        </w:tc>
        <w:tc>
          <w:tcPr>
            <w:tcW w:w="1655" w:type="dxa"/>
            <w:vAlign w:val="center"/>
          </w:tcPr>
          <w:p>
            <w:pPr>
              <w:spacing w:before="0" w:after="0" w:line="240" w:lineRule="auto"/>
            </w:pPr>
            <w:r>
              <w:rPr>
                <w:rFonts w:ascii="Times New Roman" w:hAnsi="Times New Roman"/>
                <w:sz w:val="15"/>
              </w:rPr>
              <w:t>S5136</w:t>
            </w:r>
          </w:p>
        </w:tc>
        <w:tc>
          <w:tcPr>
            <w:tcW w:w="3096" w:type="dxa"/>
            <w:vAlign w:val="center"/>
          </w:tcPr>
          <w:p>
            <w:pPr>
              <w:spacing w:before="0" w:after="0" w:line="240" w:lineRule="auto"/>
            </w:pPr>
            <w:r>
              <w:rPr>
                <w:rFonts w:ascii="Times New Roman" w:hAnsi="Times New Roman"/>
                <w:sz w:val="15"/>
              </w:rPr>
              <w:t>ACP mineralization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Annexin V-FITC apoptosis detection reagent</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C1062S</w:t>
            </w:r>
          </w:p>
        </w:tc>
        <w:tc>
          <w:tcPr>
            <w:tcW w:w="3096" w:type="dxa"/>
            <w:vAlign w:val="center"/>
          </w:tcPr>
          <w:p>
            <w:pPr>
              <w:spacing w:before="0" w:after="0" w:line="240" w:lineRule="auto"/>
            </w:pPr>
            <w:r>
              <w:rPr>
                <w:rFonts w:ascii="Times New Roman" w:hAnsi="Times New Roman"/>
                <w:sz w:val="15"/>
              </w:rPr>
              <w:t>Surface-accessible phosphatidylserine</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Quant-iT RiboGreen RNA assay kit</w:t>
            </w:r>
          </w:p>
        </w:tc>
        <w:tc>
          <w:tcPr>
            <w:tcW w:w="1944" w:type="dxa"/>
            <w:vAlign w:val="center"/>
          </w:tcPr>
          <w:p>
            <w:pPr>
              <w:spacing w:before="0" w:after="0" w:line="240" w:lineRule="auto"/>
            </w:pPr>
            <w:r>
              <w:rPr>
                <w:rFonts w:ascii="Times New Roman" w:hAnsi="Times New Roman"/>
                <w:sz w:val="15"/>
              </w:rPr>
              <w:t>Thermo Fisher Scientific</w:t>
            </w:r>
          </w:p>
        </w:tc>
        <w:tc>
          <w:tcPr>
            <w:tcW w:w="1655" w:type="dxa"/>
            <w:vAlign w:val="center"/>
          </w:tcPr>
          <w:p>
            <w:pPr>
              <w:spacing w:before="0" w:after="0" w:line="240" w:lineRule="auto"/>
            </w:pPr>
            <w:r>
              <w:rPr>
                <w:rFonts w:ascii="Times New Roman" w:hAnsi="Times New Roman"/>
                <w:sz w:val="15"/>
              </w:rPr>
              <w:t>R11490</w:t>
            </w:r>
          </w:p>
        </w:tc>
        <w:tc>
          <w:tcPr>
            <w:tcW w:w="3096" w:type="dxa"/>
            <w:vAlign w:val="center"/>
          </w:tcPr>
          <w:p>
            <w:pPr>
              <w:spacing w:before="0" w:after="0" w:line="240" w:lineRule="auto"/>
            </w:pPr>
            <w:r>
              <w:rPr>
                <w:rFonts w:ascii="Times New Roman" w:hAnsi="Times New Roman"/>
                <w:sz w:val="15"/>
              </w:rPr>
              <w:t>siRNA EE, DL, and release</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Cell Counting Kit-8</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C0038</w:t>
            </w:r>
          </w:p>
        </w:tc>
        <w:tc>
          <w:tcPr>
            <w:tcW w:w="3096" w:type="dxa"/>
            <w:vAlign w:val="center"/>
          </w:tcPr>
          <w:p>
            <w:pPr>
              <w:spacing w:before="0" w:after="0" w:line="240" w:lineRule="auto"/>
            </w:pPr>
            <w:r>
              <w:rPr>
                <w:rFonts w:ascii="Times New Roman" w:hAnsi="Times New Roman"/>
                <w:sz w:val="15"/>
              </w:rPr>
              <w:t>Metabolic activity</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Calcein-AM/propidium iodide viability kit</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C2015S</w:t>
            </w:r>
          </w:p>
        </w:tc>
        <w:tc>
          <w:tcPr>
            <w:tcW w:w="3096" w:type="dxa"/>
            <w:vAlign w:val="center"/>
          </w:tcPr>
          <w:p>
            <w:pPr>
              <w:spacing w:before="0" w:after="0" w:line="240" w:lineRule="auto"/>
            </w:pPr>
            <w:r>
              <w:rPr>
                <w:rFonts w:ascii="Times New Roman" w:hAnsi="Times New Roman"/>
                <w:sz w:val="15"/>
              </w:rPr>
              <w:t>Live/dead imaging</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DAPI</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C1002</w:t>
            </w:r>
          </w:p>
        </w:tc>
        <w:tc>
          <w:tcPr>
            <w:tcW w:w="3096" w:type="dxa"/>
            <w:vAlign w:val="center"/>
          </w:tcPr>
          <w:p>
            <w:pPr>
              <w:spacing w:before="0" w:after="0" w:line="240" w:lineRule="auto"/>
            </w:pPr>
            <w:r>
              <w:rPr>
                <w:rFonts w:ascii="Times New Roman" w:hAnsi="Times New Roman"/>
                <w:sz w:val="15"/>
              </w:rPr>
              <w:t>Nuclear counterstaining</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Actin-Tracker Green-488 phalloidin</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C2201S</w:t>
            </w:r>
          </w:p>
        </w:tc>
        <w:tc>
          <w:tcPr>
            <w:tcW w:w="3096" w:type="dxa"/>
            <w:vAlign w:val="center"/>
          </w:tcPr>
          <w:p>
            <w:pPr>
              <w:spacing w:before="0" w:after="0" w:line="240" w:lineRule="auto"/>
            </w:pPr>
            <w:r>
              <w:rPr>
                <w:rFonts w:ascii="Times New Roman" w:hAnsi="Times New Roman"/>
                <w:sz w:val="15"/>
              </w:rPr>
              <w:t>F-actin staining</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LysoTracker Green DND-26</w:t>
            </w:r>
          </w:p>
        </w:tc>
        <w:tc>
          <w:tcPr>
            <w:tcW w:w="1944" w:type="dxa"/>
            <w:vAlign w:val="center"/>
          </w:tcPr>
          <w:p>
            <w:pPr>
              <w:spacing w:before="0" w:after="0" w:line="240" w:lineRule="auto"/>
            </w:pPr>
            <w:r>
              <w:rPr>
                <w:rFonts w:ascii="Times New Roman" w:hAnsi="Times New Roman"/>
                <w:sz w:val="15"/>
              </w:rPr>
              <w:t>Thermo Fisher Scientific</w:t>
            </w:r>
          </w:p>
        </w:tc>
        <w:tc>
          <w:tcPr>
            <w:tcW w:w="1655" w:type="dxa"/>
            <w:vAlign w:val="center"/>
          </w:tcPr>
          <w:p>
            <w:pPr>
              <w:spacing w:before="0" w:after="0" w:line="240" w:lineRule="auto"/>
            </w:pPr>
            <w:r>
              <w:rPr>
                <w:rFonts w:ascii="Times New Roman" w:hAnsi="Times New Roman"/>
                <w:sz w:val="15"/>
              </w:rPr>
              <w:t>L7526</w:t>
            </w:r>
          </w:p>
        </w:tc>
        <w:tc>
          <w:tcPr>
            <w:tcW w:w="3096" w:type="dxa"/>
            <w:vAlign w:val="center"/>
          </w:tcPr>
          <w:p>
            <w:pPr>
              <w:spacing w:before="0" w:after="0" w:line="240" w:lineRule="auto"/>
            </w:pPr>
            <w:r>
              <w:rPr>
                <w:rFonts w:ascii="Times New Roman" w:hAnsi="Times New Roman"/>
                <w:sz w:val="15"/>
              </w:rPr>
              <w:t>Acidic-compartment tracking</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BODIPY FL C16</w:t>
            </w:r>
          </w:p>
        </w:tc>
        <w:tc>
          <w:tcPr>
            <w:tcW w:w="1944" w:type="dxa"/>
            <w:vAlign w:val="center"/>
          </w:tcPr>
          <w:p>
            <w:pPr>
              <w:spacing w:before="0" w:after="0" w:line="240" w:lineRule="auto"/>
            </w:pPr>
            <w:r>
              <w:rPr>
                <w:rFonts w:ascii="Times New Roman" w:hAnsi="Times New Roman"/>
                <w:sz w:val="15"/>
              </w:rPr>
              <w:t>Thermo Fisher Scientific</w:t>
            </w:r>
          </w:p>
        </w:tc>
        <w:tc>
          <w:tcPr>
            <w:tcW w:w="1655" w:type="dxa"/>
            <w:vAlign w:val="center"/>
          </w:tcPr>
          <w:p>
            <w:pPr>
              <w:spacing w:before="0" w:after="0" w:line="240" w:lineRule="auto"/>
            </w:pPr>
            <w:r>
              <w:rPr>
                <w:rFonts w:ascii="Times New Roman" w:hAnsi="Times New Roman"/>
                <w:sz w:val="15"/>
              </w:rPr>
              <w:t>D3821</w:t>
            </w:r>
          </w:p>
        </w:tc>
        <w:tc>
          <w:tcPr>
            <w:tcW w:w="3096" w:type="dxa"/>
            <w:vAlign w:val="center"/>
          </w:tcPr>
          <w:p>
            <w:pPr>
              <w:spacing w:before="0" w:after="0" w:line="240" w:lineRule="auto"/>
            </w:pPr>
            <w:r>
              <w:rPr>
                <w:rFonts w:ascii="Times New Roman" w:hAnsi="Times New Roman"/>
                <w:sz w:val="15"/>
              </w:rPr>
              <w:t>Fatty-acid uptake</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BODIPY 493/503</w:t>
            </w:r>
          </w:p>
        </w:tc>
        <w:tc>
          <w:tcPr>
            <w:tcW w:w="1944" w:type="dxa"/>
            <w:vAlign w:val="center"/>
          </w:tcPr>
          <w:p>
            <w:pPr>
              <w:spacing w:before="0" w:after="0" w:line="240" w:lineRule="auto"/>
            </w:pPr>
            <w:r>
              <w:rPr>
                <w:rFonts w:ascii="Times New Roman" w:hAnsi="Times New Roman"/>
                <w:sz w:val="15"/>
              </w:rPr>
              <w:t>Thermo Fisher Scientific</w:t>
            </w:r>
          </w:p>
        </w:tc>
        <w:tc>
          <w:tcPr>
            <w:tcW w:w="1655" w:type="dxa"/>
            <w:vAlign w:val="center"/>
          </w:tcPr>
          <w:p>
            <w:pPr>
              <w:spacing w:before="0" w:after="0" w:line="240" w:lineRule="auto"/>
            </w:pPr>
            <w:r>
              <w:rPr>
                <w:rFonts w:ascii="Times New Roman" w:hAnsi="Times New Roman"/>
                <w:sz w:val="15"/>
              </w:rPr>
              <w:t>D3922</w:t>
            </w:r>
          </w:p>
        </w:tc>
        <w:tc>
          <w:tcPr>
            <w:tcW w:w="3096" w:type="dxa"/>
            <w:vAlign w:val="center"/>
          </w:tcPr>
          <w:p>
            <w:pPr>
              <w:spacing w:before="0" w:after="0" w:line="240" w:lineRule="auto"/>
            </w:pPr>
            <w:r>
              <w:rPr>
                <w:rFonts w:ascii="Times New Roman" w:hAnsi="Times New Roman"/>
                <w:sz w:val="15"/>
              </w:rPr>
              <w:t>Neutral-lipid droplets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Nile Red</w:t>
            </w:r>
          </w:p>
        </w:tc>
        <w:tc>
          <w:tcPr>
            <w:tcW w:w="1944" w:type="dxa"/>
            <w:vAlign w:val="center"/>
          </w:tcPr>
          <w:p>
            <w:pPr>
              <w:spacing w:before="0" w:after="0" w:line="240" w:lineRule="auto"/>
            </w:pPr>
            <w:r>
              <w:rPr>
                <w:rFonts w:ascii="Times New Roman" w:hAnsi="Times New Roman"/>
                <w:sz w:val="15"/>
              </w:rPr>
              <w:t>Sigma-Aldrich</w:t>
            </w:r>
          </w:p>
        </w:tc>
        <w:tc>
          <w:tcPr>
            <w:tcW w:w="1655" w:type="dxa"/>
            <w:vAlign w:val="center"/>
          </w:tcPr>
          <w:p>
            <w:pPr>
              <w:spacing w:before="0" w:after="0" w:line="240" w:lineRule="auto"/>
            </w:pPr>
            <w:r>
              <w:rPr>
                <w:rFonts w:ascii="Times New Roman" w:hAnsi="Times New Roman"/>
                <w:sz w:val="15"/>
              </w:rPr>
              <w:t>72485</w:t>
            </w:r>
          </w:p>
        </w:tc>
        <w:tc>
          <w:tcPr>
            <w:tcW w:w="3096" w:type="dxa"/>
            <w:vAlign w:val="center"/>
          </w:tcPr>
          <w:p>
            <w:pPr>
              <w:spacing w:before="0" w:after="0" w:line="240" w:lineRule="auto"/>
            </w:pPr>
            <w:r>
              <w:rPr>
                <w:rFonts w:ascii="Times New Roman" w:hAnsi="Times New Roman"/>
                <w:sz w:val="15"/>
              </w:rPr>
              <w:t>Bulk neutral-lipid staining</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JC-1 mitochondrial membrane-potential kit</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C2006</w:t>
            </w:r>
          </w:p>
        </w:tc>
        <w:tc>
          <w:tcPr>
            <w:tcW w:w="3096" w:type="dxa"/>
            <w:vAlign w:val="center"/>
          </w:tcPr>
          <w:p>
            <w:pPr>
              <w:spacing w:before="0" w:after="0" w:line="240" w:lineRule="auto"/>
            </w:pPr>
            <w:r>
              <w:rPr>
                <w:rFonts w:ascii="Times New Roman" w:hAnsi="Times New Roman"/>
                <w:sz w:val="15"/>
              </w:rPr>
              <w:t>Mitochondrial membrane potential</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DCFH-DA ROS assay kit</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S0033S</w:t>
            </w:r>
          </w:p>
        </w:tc>
        <w:tc>
          <w:tcPr>
            <w:tcW w:w="3096" w:type="dxa"/>
            <w:vAlign w:val="center"/>
          </w:tcPr>
          <w:p>
            <w:pPr>
              <w:spacing w:before="0" w:after="0" w:line="240" w:lineRule="auto"/>
            </w:pPr>
            <w:r>
              <w:rPr>
                <w:rFonts w:ascii="Times New Roman" w:hAnsi="Times New Roman"/>
                <w:sz w:val="15"/>
              </w:rPr>
              <w:t>Intracellular ROS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RIPA lysis buffer (strong)</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P0013B</w:t>
            </w:r>
          </w:p>
        </w:tc>
        <w:tc>
          <w:tcPr>
            <w:tcW w:w="3096" w:type="dxa"/>
            <w:vAlign w:val="center"/>
          </w:tcPr>
          <w:p>
            <w:pPr>
              <w:spacing w:before="0" w:after="0" w:line="240" w:lineRule="auto"/>
            </w:pPr>
            <w:r>
              <w:rPr>
                <w:rFonts w:ascii="Times New Roman" w:hAnsi="Times New Roman"/>
                <w:sz w:val="15"/>
              </w:rPr>
              <w:t>Protein extraction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BCA protein assay kit</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P0012</w:t>
            </w:r>
          </w:p>
        </w:tc>
        <w:tc>
          <w:tcPr>
            <w:tcW w:w="3096" w:type="dxa"/>
            <w:vAlign w:val="center"/>
          </w:tcPr>
          <w:p>
            <w:pPr>
              <w:spacing w:before="0" w:after="0" w:line="240" w:lineRule="auto"/>
            </w:pPr>
            <w:r>
              <w:rPr>
                <w:rFonts w:ascii="Times New Roman" w:hAnsi="Times New Roman"/>
                <w:sz w:val="15"/>
              </w:rPr>
              <w:t>Protein quantification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BeyoECL Plus</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P0018S</w:t>
            </w:r>
          </w:p>
        </w:tc>
        <w:tc>
          <w:tcPr>
            <w:tcW w:w="3096" w:type="dxa"/>
            <w:vAlign w:val="center"/>
          </w:tcPr>
          <w:p>
            <w:pPr>
              <w:spacing w:before="0" w:after="0" w:line="240" w:lineRule="auto"/>
            </w:pPr>
            <w:r>
              <w:rPr>
                <w:rFonts w:ascii="Times New Roman" w:hAnsi="Times New Roman"/>
                <w:sz w:val="15"/>
              </w:rPr>
              <w:t>Chemiluminescent immunoblot detection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Coomassie Brilliant Blue staining solution</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P0017S</w:t>
            </w:r>
          </w:p>
        </w:tc>
        <w:tc>
          <w:tcPr>
            <w:tcW w:w="3096" w:type="dxa"/>
            <w:vAlign w:val="center"/>
          </w:tcPr>
          <w:p>
            <w:pPr>
              <w:spacing w:before="0" w:after="0" w:line="240" w:lineRule="auto"/>
            </w:pPr>
            <w:r>
              <w:rPr>
                <w:rFonts w:ascii="Times New Roman" w:hAnsi="Times New Roman"/>
                <w:sz w:val="15"/>
              </w:rPr>
              <w:t>SDS–PAGE total-protein profiles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TRIzol reagent</w:t>
            </w:r>
          </w:p>
        </w:tc>
        <w:tc>
          <w:tcPr>
            <w:tcW w:w="1944" w:type="dxa"/>
            <w:vAlign w:val="center"/>
          </w:tcPr>
          <w:p>
            <w:pPr>
              <w:spacing w:before="0" w:after="0" w:line="240" w:lineRule="auto"/>
            </w:pPr>
            <w:r>
              <w:rPr>
                <w:rFonts w:ascii="Times New Roman" w:hAnsi="Times New Roman"/>
                <w:sz w:val="15"/>
              </w:rPr>
              <w:t>Invitrogen</w:t>
            </w:r>
          </w:p>
        </w:tc>
        <w:tc>
          <w:tcPr>
            <w:tcW w:w="1655" w:type="dxa"/>
            <w:vAlign w:val="center"/>
          </w:tcPr>
          <w:p>
            <w:pPr>
              <w:spacing w:before="0" w:after="0" w:line="240" w:lineRule="auto"/>
            </w:pPr>
            <w:r>
              <w:rPr>
                <w:rFonts w:ascii="Times New Roman" w:hAnsi="Times New Roman"/>
                <w:sz w:val="15"/>
              </w:rPr>
              <w:t>15596026</w:t>
            </w:r>
          </w:p>
        </w:tc>
        <w:tc>
          <w:tcPr>
            <w:tcW w:w="3096" w:type="dxa"/>
            <w:vAlign w:val="center"/>
          </w:tcPr>
          <w:p>
            <w:pPr>
              <w:spacing w:before="0" w:after="0" w:line="240" w:lineRule="auto"/>
            </w:pPr>
            <w:r>
              <w:rPr>
                <w:rFonts w:ascii="Times New Roman" w:hAnsi="Times New Roman"/>
                <w:sz w:val="15"/>
              </w:rPr>
              <w:t>Total RNA isolation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HiScript III RT SuperMix for qPCR (+gDNA wiper)</w:t>
            </w:r>
          </w:p>
        </w:tc>
        <w:tc>
          <w:tcPr>
            <w:tcW w:w="1944" w:type="dxa"/>
            <w:vAlign w:val="center"/>
          </w:tcPr>
          <w:p>
            <w:pPr>
              <w:spacing w:before="0" w:after="0" w:line="240" w:lineRule="auto"/>
            </w:pPr>
            <w:r>
              <w:rPr>
                <w:rFonts w:ascii="Times New Roman" w:hAnsi="Times New Roman"/>
                <w:sz w:val="15"/>
              </w:rPr>
              <w:t>Vazyme</w:t>
            </w:r>
          </w:p>
        </w:tc>
        <w:tc>
          <w:tcPr>
            <w:tcW w:w="1655" w:type="dxa"/>
            <w:vAlign w:val="center"/>
          </w:tcPr>
          <w:p>
            <w:pPr>
              <w:spacing w:before="0" w:after="0" w:line="240" w:lineRule="auto"/>
            </w:pPr>
            <w:r>
              <w:rPr>
                <w:rFonts w:ascii="Times New Roman" w:hAnsi="Times New Roman"/>
                <w:sz w:val="15"/>
              </w:rPr>
              <w:t>R323-01</w:t>
            </w:r>
          </w:p>
        </w:tc>
        <w:tc>
          <w:tcPr>
            <w:tcW w:w="3096" w:type="dxa"/>
            <w:vAlign w:val="center"/>
          </w:tcPr>
          <w:p>
            <w:pPr>
              <w:spacing w:before="0" w:after="0" w:line="240" w:lineRule="auto"/>
            </w:pPr>
            <w:r>
              <w:rPr>
                <w:rFonts w:ascii="Times New Roman" w:hAnsi="Times New Roman"/>
                <w:sz w:val="15"/>
              </w:rPr>
              <w:t>Reverse transcription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ChamQ Universal SYBR qPCR Master Mix</w:t>
            </w:r>
          </w:p>
        </w:tc>
        <w:tc>
          <w:tcPr>
            <w:tcW w:w="1944" w:type="dxa"/>
            <w:vAlign w:val="center"/>
          </w:tcPr>
          <w:p>
            <w:pPr>
              <w:spacing w:before="0" w:after="0" w:line="240" w:lineRule="auto"/>
            </w:pPr>
            <w:r>
              <w:rPr>
                <w:rFonts w:ascii="Times New Roman" w:hAnsi="Times New Roman"/>
                <w:sz w:val="15"/>
              </w:rPr>
              <w:t>Vazyme</w:t>
            </w:r>
          </w:p>
        </w:tc>
        <w:tc>
          <w:tcPr>
            <w:tcW w:w="1655" w:type="dxa"/>
            <w:vAlign w:val="center"/>
          </w:tcPr>
          <w:p>
            <w:pPr>
              <w:spacing w:before="0" w:after="0" w:line="240" w:lineRule="auto"/>
            </w:pPr>
            <w:r>
              <w:rPr>
                <w:rFonts w:ascii="Times New Roman" w:hAnsi="Times New Roman"/>
                <w:sz w:val="15"/>
              </w:rPr>
              <w:t>Q711-02</w:t>
            </w:r>
          </w:p>
        </w:tc>
        <w:tc>
          <w:tcPr>
            <w:tcW w:w="3096" w:type="dxa"/>
            <w:vAlign w:val="center"/>
          </w:tcPr>
          <w:p>
            <w:pPr>
              <w:spacing w:before="0" w:after="0" w:line="240" w:lineRule="auto"/>
            </w:pPr>
            <w:r>
              <w:rPr>
                <w:rFonts w:ascii="Times New Roman" w:hAnsi="Times New Roman"/>
                <w:sz w:val="15"/>
              </w:rPr>
              <w:t>Quantitative PCR</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BCIP/NBT ALP color-development kit</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C3206</w:t>
            </w:r>
          </w:p>
        </w:tc>
        <w:tc>
          <w:tcPr>
            <w:tcW w:w="3096" w:type="dxa"/>
            <w:vAlign w:val="center"/>
          </w:tcPr>
          <w:p>
            <w:pPr>
              <w:spacing w:before="0" w:after="0" w:line="240" w:lineRule="auto"/>
            </w:pPr>
            <w:r>
              <w:rPr>
                <w:rFonts w:ascii="Times New Roman" w:hAnsi="Times New Roman"/>
                <w:sz w:val="15"/>
              </w:rPr>
              <w:t>Day-7 ALP staining</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Alizarin Red S staining solution</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C0148S</w:t>
            </w:r>
          </w:p>
        </w:tc>
        <w:tc>
          <w:tcPr>
            <w:tcW w:w="3096" w:type="dxa"/>
            <w:vAlign w:val="center"/>
          </w:tcPr>
          <w:p>
            <w:pPr>
              <w:spacing w:before="0" w:after="0" w:line="240" w:lineRule="auto"/>
            </w:pPr>
            <w:r>
              <w:rPr>
                <w:rFonts w:ascii="Times New Roman" w:hAnsi="Times New Roman"/>
                <w:sz w:val="15"/>
              </w:rPr>
              <w:t>Day-21 mineralization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Mouse 2.5S nerve growth factor</w:t>
            </w:r>
          </w:p>
        </w:tc>
        <w:tc>
          <w:tcPr>
            <w:tcW w:w="1944" w:type="dxa"/>
            <w:vAlign w:val="center"/>
          </w:tcPr>
          <w:p>
            <w:pPr>
              <w:spacing w:before="0" w:after="0" w:line="240" w:lineRule="auto"/>
            </w:pPr>
            <w:r>
              <w:rPr>
                <w:rFonts w:ascii="Times New Roman" w:hAnsi="Times New Roman"/>
                <w:sz w:val="15"/>
              </w:rPr>
              <w:t>Sigma-Aldrich</w:t>
            </w:r>
          </w:p>
        </w:tc>
        <w:tc>
          <w:tcPr>
            <w:tcW w:w="1655" w:type="dxa"/>
            <w:vAlign w:val="center"/>
          </w:tcPr>
          <w:p>
            <w:pPr>
              <w:spacing w:before="0" w:after="0" w:line="240" w:lineRule="auto"/>
            </w:pPr>
            <w:r>
              <w:rPr>
                <w:rFonts w:ascii="Times New Roman" w:hAnsi="Times New Roman"/>
                <w:sz w:val="15"/>
              </w:rPr>
              <w:t>N0513</w:t>
            </w:r>
          </w:p>
        </w:tc>
        <w:tc>
          <w:tcPr>
            <w:tcW w:w="3096" w:type="dxa"/>
            <w:vAlign w:val="center"/>
          </w:tcPr>
          <w:p>
            <w:pPr>
              <w:spacing w:before="0" w:after="0" w:line="240" w:lineRule="auto"/>
            </w:pPr>
            <w:r>
              <w:rPr>
                <w:rFonts w:ascii="Times New Roman" w:hAnsi="Times New Roman"/>
                <w:sz w:val="15"/>
              </w:rPr>
              <w:t>PC12 differentiation; 100 ng mL⁻¹</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Poly-l-lysine</w:t>
            </w:r>
          </w:p>
        </w:tc>
        <w:tc>
          <w:tcPr>
            <w:tcW w:w="1944" w:type="dxa"/>
            <w:vAlign w:val="center"/>
          </w:tcPr>
          <w:p>
            <w:pPr>
              <w:spacing w:before="0" w:after="0" w:line="240" w:lineRule="auto"/>
            </w:pPr>
            <w:r>
              <w:rPr>
                <w:rFonts w:ascii="Times New Roman" w:hAnsi="Times New Roman"/>
                <w:sz w:val="15"/>
              </w:rPr>
              <w:t>Sigma-Aldrich</w:t>
            </w:r>
          </w:p>
        </w:tc>
        <w:tc>
          <w:tcPr>
            <w:tcW w:w="1655" w:type="dxa"/>
            <w:vAlign w:val="center"/>
          </w:tcPr>
          <w:p>
            <w:pPr>
              <w:spacing w:before="0" w:after="0" w:line="240" w:lineRule="auto"/>
            </w:pPr>
            <w:r>
              <w:rPr>
                <w:rFonts w:ascii="Times New Roman" w:hAnsi="Times New Roman"/>
                <w:sz w:val="15"/>
              </w:rPr>
              <w:t>P4707</w:t>
            </w:r>
          </w:p>
        </w:tc>
        <w:tc>
          <w:tcPr>
            <w:tcW w:w="3096" w:type="dxa"/>
            <w:vAlign w:val="center"/>
          </w:tcPr>
          <w:p>
            <w:pPr>
              <w:spacing w:before="0" w:after="0" w:line="240" w:lineRule="auto"/>
            </w:pPr>
            <w:r>
              <w:rPr>
                <w:rFonts w:ascii="Times New Roman" w:hAnsi="Times New Roman"/>
                <w:sz w:val="15"/>
              </w:rPr>
              <w:t>PC12 plate coating</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Collagenase type I</w:t>
            </w:r>
          </w:p>
        </w:tc>
        <w:tc>
          <w:tcPr>
            <w:tcW w:w="1944" w:type="dxa"/>
            <w:vAlign w:val="center"/>
          </w:tcPr>
          <w:p>
            <w:pPr>
              <w:spacing w:before="0" w:after="0" w:line="240" w:lineRule="auto"/>
            </w:pPr>
            <w:r>
              <w:rPr>
                <w:rFonts w:ascii="Times New Roman" w:hAnsi="Times New Roman"/>
                <w:sz w:val="15"/>
              </w:rPr>
              <w:t>Sigma-Aldrich</w:t>
            </w:r>
          </w:p>
        </w:tc>
        <w:tc>
          <w:tcPr>
            <w:tcW w:w="1655" w:type="dxa"/>
            <w:vAlign w:val="center"/>
          </w:tcPr>
          <w:p>
            <w:pPr>
              <w:spacing w:before="0" w:after="0" w:line="240" w:lineRule="auto"/>
            </w:pPr>
            <w:r>
              <w:rPr>
                <w:rFonts w:ascii="Times New Roman" w:hAnsi="Times New Roman"/>
                <w:sz w:val="15"/>
              </w:rPr>
              <w:t>C0130</w:t>
            </w:r>
          </w:p>
        </w:tc>
        <w:tc>
          <w:tcPr>
            <w:tcW w:w="3096" w:type="dxa"/>
            <w:vAlign w:val="center"/>
          </w:tcPr>
          <w:p>
            <w:pPr>
              <w:spacing w:before="0" w:after="0" w:line="240" w:lineRule="auto"/>
            </w:pPr>
            <w:r>
              <w:rPr>
                <w:rFonts w:ascii="Times New Roman" w:hAnsi="Times New Roman"/>
                <w:sz w:val="15"/>
              </w:rPr>
              <w:t>Defect-tissue dissociation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DNase I</w:t>
            </w:r>
          </w:p>
        </w:tc>
        <w:tc>
          <w:tcPr>
            <w:tcW w:w="1944" w:type="dxa"/>
            <w:vAlign w:val="center"/>
          </w:tcPr>
          <w:p>
            <w:pPr>
              <w:spacing w:before="0" w:after="0" w:line="240" w:lineRule="auto"/>
            </w:pPr>
            <w:r>
              <w:rPr>
                <w:rFonts w:ascii="Times New Roman" w:hAnsi="Times New Roman"/>
                <w:sz w:val="15"/>
              </w:rPr>
              <w:t>Sigma-Aldrich</w:t>
            </w:r>
          </w:p>
        </w:tc>
        <w:tc>
          <w:tcPr>
            <w:tcW w:w="1655" w:type="dxa"/>
            <w:vAlign w:val="center"/>
          </w:tcPr>
          <w:p>
            <w:pPr>
              <w:spacing w:before="0" w:after="0" w:line="240" w:lineRule="auto"/>
            </w:pPr>
            <w:r>
              <w:rPr>
                <w:rFonts w:ascii="Times New Roman" w:hAnsi="Times New Roman"/>
                <w:sz w:val="15"/>
              </w:rPr>
              <w:t>DN25</w:t>
            </w:r>
          </w:p>
        </w:tc>
        <w:tc>
          <w:tcPr>
            <w:tcW w:w="3096" w:type="dxa"/>
            <w:vAlign w:val="center"/>
          </w:tcPr>
          <w:p>
            <w:pPr>
              <w:spacing w:before="0" w:after="0" w:line="240" w:lineRule="auto"/>
            </w:pPr>
            <w:r>
              <w:rPr>
                <w:rFonts w:ascii="Times New Roman" w:hAnsi="Times New Roman"/>
                <w:sz w:val="15"/>
              </w:rPr>
              <w:t>Defect-tissue dissociation</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3,3′-Diaminobenzidine substrate kit</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P0203</w:t>
            </w:r>
          </w:p>
        </w:tc>
        <w:tc>
          <w:tcPr>
            <w:tcW w:w="3096" w:type="dxa"/>
            <w:vAlign w:val="center"/>
          </w:tcPr>
          <w:p>
            <w:pPr>
              <w:spacing w:before="0" w:after="0" w:line="240" w:lineRule="auto"/>
            </w:pPr>
            <w:r>
              <w:rPr>
                <w:rFonts w:ascii="Times New Roman" w:hAnsi="Times New Roman"/>
                <w:sz w:val="15"/>
              </w:rPr>
              <w:t>Immunohistochemistry</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Citrate antigen-retrieval solution (50×)</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P0081</w:t>
            </w:r>
          </w:p>
        </w:tc>
        <w:tc>
          <w:tcPr>
            <w:tcW w:w="3096" w:type="dxa"/>
            <w:vAlign w:val="center"/>
          </w:tcPr>
          <w:p>
            <w:pPr>
              <w:spacing w:before="0" w:after="0" w:line="240" w:lineRule="auto"/>
            </w:pPr>
            <w:r>
              <w:rPr>
                <w:rFonts w:ascii="Times New Roman" w:hAnsi="Times New Roman"/>
                <w:sz w:val="15"/>
              </w:rPr>
              <w:t>Immunohistochemical antigen retrieval</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384" w:type="dxa"/>
            <w:vAlign w:val="center"/>
          </w:tcPr>
          <w:p>
            <w:pPr>
              <w:spacing w:before="0" w:after="0" w:line="240" w:lineRule="auto"/>
            </w:pPr>
            <w:r>
              <w:rPr>
                <w:rFonts w:ascii="Times New Roman" w:hAnsi="Times New Roman"/>
                <w:sz w:val="15"/>
              </w:rPr>
              <w:t>4% paraformaldehyde</w:t>
            </w:r>
          </w:p>
        </w:tc>
        <w:tc>
          <w:tcPr>
            <w:tcW w:w="1944" w:type="dxa"/>
            <w:vAlign w:val="center"/>
          </w:tcPr>
          <w:p>
            <w:pPr>
              <w:spacing w:before="0" w:after="0" w:line="240" w:lineRule="auto"/>
            </w:pPr>
            <w:r>
              <w:rPr>
                <w:rFonts w:ascii="Times New Roman" w:hAnsi="Times New Roman"/>
                <w:sz w:val="15"/>
              </w:rPr>
              <w:t>Beyotime</w:t>
            </w:r>
          </w:p>
        </w:tc>
        <w:tc>
          <w:tcPr>
            <w:tcW w:w="1655" w:type="dxa"/>
            <w:vAlign w:val="center"/>
          </w:tcPr>
          <w:p>
            <w:pPr>
              <w:spacing w:before="0" w:after="0" w:line="240" w:lineRule="auto"/>
            </w:pPr>
            <w:r>
              <w:rPr>
                <w:rFonts w:ascii="Times New Roman" w:hAnsi="Times New Roman"/>
                <w:sz w:val="15"/>
              </w:rPr>
              <w:t>P0099</w:t>
            </w:r>
          </w:p>
        </w:tc>
        <w:tc>
          <w:tcPr>
            <w:tcW w:w="3096" w:type="dxa"/>
            <w:vAlign w:val="center"/>
          </w:tcPr>
          <w:p>
            <w:pPr>
              <w:spacing w:before="0" w:after="0" w:line="240" w:lineRule="auto"/>
            </w:pPr>
            <w:r>
              <w:rPr>
                <w:rFonts w:ascii="Times New Roman" w:hAnsi="Times New Roman"/>
                <w:sz w:val="15"/>
              </w:rPr>
              <w:t>Cell and tissue fixation</w:t>
            </w:r>
          </w:p>
        </w:tc>
      </w:tr>
    </w:tbl>
    <w:p>
      <w:pPr>
        <w:spacing w:before="80" w:after="40" w:line="240" w:lineRule="auto"/>
      </w:pPr>
      <w:r>
        <w:rPr>
          <w:rFonts w:ascii="Times New Roman" w:hAnsi="Times New Roman"/>
          <w:sz w:val="17"/>
        </w:rPr>
        <w:t>Abbreviations: ACP, amorphous calcium phosphate; BMSC, bone-marrow mesenchymal stromal cell; DL, drug loading; EE, encapsulation efficiency; HG, high glucose.</w:t>
      </w:r>
    </w:p>
    <w:p>
      <w:r>
        <w:br w:type="page"/>
      </w:r>
    </w:p>
    <w:p>
      <w:pPr>
        <w:spacing w:before="80" w:after="100"/>
      </w:pPr>
      <w:r>
        <w:rPr>
          <w:rFonts w:ascii="Times New Roman" w:hAnsi="Times New Roman"/>
          <w:b/>
          <w:sz w:val="20"/>
        </w:rPr>
        <w:t>Table S2. Antibodies used for immunoblotting, imaging, receptor blockade, and flow cytometry.</w:t>
      </w:r>
    </w:p>
    <w:tbl>
      <w:tblPr>
        <w:tblStyle w:val="32"/>
        <w:tblW w:w="0" w:type="auto"/>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op w:w="0" w:type="dxa"/>
          <w:left w:w="108" w:type="dxa"/>
          <w:bottom w:w="0" w:type="dxa"/>
          <w:right w:w="108" w:type="dxa"/>
        </w:tblCellMar>
      </w:tblPr>
      <w:tblGrid>
        <w:gridCol w:w="2016"/>
        <w:gridCol w:w="2016"/>
        <w:gridCol w:w="2016"/>
        <w:gridCol w:w="2016"/>
        <w:gridCol w:w="2016"/>
      </w:tblGrid>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tblHeader/>
          <w:jc w:val="center"/>
        </w:trPr>
        <w:tc>
          <w:tcPr>
            <w:tcW w:w="3816" w:type="dxa"/>
            <w:shd w:val="clear" w:color="auto" w:fill="D9EAF7"/>
            <w:vAlign w:val="center"/>
          </w:tcPr>
          <w:p>
            <w:pPr>
              <w:spacing w:before="0" w:after="0" w:line="240" w:lineRule="auto"/>
              <w:jc w:val="center"/>
            </w:pPr>
            <w:r>
              <w:rPr>
                <w:rFonts w:ascii="Times New Roman" w:hAnsi="Times New Roman"/>
                <w:b/>
                <w:sz w:val="15"/>
              </w:rPr>
              <w:t>Target (host, clone)</w:t>
            </w:r>
          </w:p>
        </w:tc>
        <w:tc>
          <w:tcPr>
            <w:tcW w:w="1512" w:type="dxa"/>
            <w:shd w:val="clear" w:color="auto" w:fill="D9EAF7"/>
            <w:vAlign w:val="center"/>
          </w:tcPr>
          <w:p>
            <w:pPr>
              <w:spacing w:before="0" w:after="0" w:line="240" w:lineRule="auto"/>
              <w:jc w:val="center"/>
            </w:pPr>
            <w:r>
              <w:rPr>
                <w:rFonts w:ascii="Times New Roman" w:hAnsi="Times New Roman"/>
                <w:b/>
                <w:sz w:val="15"/>
              </w:rPr>
              <w:t>Supplier</w:t>
            </w:r>
          </w:p>
        </w:tc>
        <w:tc>
          <w:tcPr>
            <w:tcW w:w="1512" w:type="dxa"/>
            <w:shd w:val="clear" w:color="auto" w:fill="D9EAF7"/>
            <w:vAlign w:val="center"/>
          </w:tcPr>
          <w:p>
            <w:pPr>
              <w:spacing w:before="0" w:after="0" w:line="240" w:lineRule="auto"/>
              <w:jc w:val="center"/>
            </w:pPr>
            <w:r>
              <w:rPr>
                <w:rFonts w:ascii="Times New Roman" w:hAnsi="Times New Roman"/>
                <w:b/>
                <w:sz w:val="15"/>
              </w:rPr>
              <w:t>Catalog no.</w:t>
            </w:r>
          </w:p>
        </w:tc>
        <w:tc>
          <w:tcPr>
            <w:tcW w:w="1512" w:type="dxa"/>
            <w:shd w:val="clear" w:color="auto" w:fill="D9EAF7"/>
            <w:vAlign w:val="center"/>
          </w:tcPr>
          <w:p>
            <w:pPr>
              <w:spacing w:before="0" w:after="0" w:line="240" w:lineRule="auto"/>
              <w:jc w:val="center"/>
            </w:pPr>
            <w:r>
              <w:rPr>
                <w:rFonts w:ascii="Times New Roman" w:hAnsi="Times New Roman"/>
                <w:b/>
                <w:sz w:val="15"/>
              </w:rPr>
              <w:t>Application</w:t>
            </w:r>
          </w:p>
        </w:tc>
        <w:tc>
          <w:tcPr>
            <w:tcW w:w="1728" w:type="dxa"/>
            <w:shd w:val="clear" w:color="auto" w:fill="D9EAF7"/>
            <w:vAlign w:val="center"/>
          </w:tcPr>
          <w:p>
            <w:pPr>
              <w:spacing w:before="0" w:after="0" w:line="240" w:lineRule="auto"/>
              <w:jc w:val="center"/>
            </w:pPr>
            <w:r>
              <w:rPr>
                <w:rFonts w:ascii="Times New Roman" w:hAnsi="Times New Roman"/>
                <w:b/>
                <w:sz w:val="15"/>
              </w:rPr>
              <w:t>Working dilution or dose</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CD36 (rabbit mAb, EPR22509-40)</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ab252922</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PLIN2 (rabbit mAb, EPR3713)</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ab108323</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PLIN2 (rabbit pAb)</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ab52356</w:t>
            </w:r>
          </w:p>
        </w:tc>
        <w:tc>
          <w:tcPr>
            <w:tcW w:w="1512" w:type="dxa"/>
            <w:vAlign w:val="center"/>
          </w:tcPr>
          <w:p>
            <w:pPr>
              <w:spacing w:before="0" w:after="0" w:line="240" w:lineRule="auto"/>
            </w:pPr>
            <w:r>
              <w:rPr>
                <w:rFonts w:ascii="Times New Roman" w:hAnsi="Times New Roman"/>
                <w:sz w:val="15"/>
              </w:rPr>
              <w:t>ICC/IF</w:t>
            </w:r>
          </w:p>
        </w:tc>
        <w:tc>
          <w:tcPr>
            <w:tcW w:w="1728" w:type="dxa"/>
            <w:vAlign w:val="center"/>
          </w:tcPr>
          <w:p>
            <w:pPr>
              <w:spacing w:before="0" w:after="0" w:line="240" w:lineRule="auto"/>
            </w:pPr>
            <w:r>
              <w:rPr>
                <w:rFonts w:ascii="Times New Roman" w:hAnsi="Times New Roman"/>
                <w:sz w:val="15"/>
              </w:rPr>
              <w:t>1:200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CD9 (rabbit mAb, EPR2949)</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ab92726</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CD63 (rabbit mAb, EPR21151)</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ab217345</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CD81 (rabbit mAb, EPR4244)</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ab109201</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ACSL4 (rabbit mAb, EPR8640)</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ab155282</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GPX4 (rabbit mAb, EPNCIR144)</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ab125066</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NF-κB p65 (rabbit pAb)</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ab16502</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NLRP3 (rabbit mAb, EPR23094-1)</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ab263899</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Arg1 (rabbit mAb, EPR6671(B))</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ab124917</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iNOS (rabbit mAb, EPR16635)</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ab178945</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β-Actin (mouse mAb)</w:t>
            </w:r>
          </w:p>
        </w:tc>
        <w:tc>
          <w:tcPr>
            <w:tcW w:w="1512" w:type="dxa"/>
            <w:vAlign w:val="center"/>
          </w:tcPr>
          <w:p>
            <w:pPr>
              <w:spacing w:before="0" w:after="0" w:line="240" w:lineRule="auto"/>
            </w:pPr>
            <w:r>
              <w:rPr>
                <w:rFonts w:ascii="Times New Roman" w:hAnsi="Times New Roman"/>
                <w:sz w:val="15"/>
              </w:rPr>
              <w:t>Beyotime</w:t>
            </w:r>
          </w:p>
        </w:tc>
        <w:tc>
          <w:tcPr>
            <w:tcW w:w="1512" w:type="dxa"/>
            <w:vAlign w:val="center"/>
          </w:tcPr>
          <w:p>
            <w:pPr>
              <w:spacing w:before="0" w:after="0" w:line="240" w:lineRule="auto"/>
            </w:pPr>
            <w:r>
              <w:rPr>
                <w:rFonts w:ascii="Times New Roman" w:hAnsi="Times New Roman"/>
                <w:sz w:val="15"/>
              </w:rPr>
              <w:t>AF0003</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1:5000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RUNX2 (rabbit mAb, EPR14334)</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ab192256</w:t>
            </w:r>
          </w:p>
        </w:tc>
        <w:tc>
          <w:tcPr>
            <w:tcW w:w="1512" w:type="dxa"/>
            <w:vAlign w:val="center"/>
          </w:tcPr>
          <w:p>
            <w:pPr>
              <w:spacing w:before="0" w:after="0" w:line="240" w:lineRule="auto"/>
            </w:pPr>
            <w:r>
              <w:rPr>
                <w:rFonts w:ascii="Times New Roman" w:hAnsi="Times New Roman"/>
                <w:sz w:val="15"/>
              </w:rPr>
              <w:t>ICC/IF</w:t>
            </w:r>
          </w:p>
        </w:tc>
        <w:tc>
          <w:tcPr>
            <w:tcW w:w="1728" w:type="dxa"/>
            <w:vAlign w:val="center"/>
          </w:tcPr>
          <w:p>
            <w:pPr>
              <w:spacing w:before="0" w:after="0" w:line="240" w:lineRule="auto"/>
            </w:pPr>
            <w:r>
              <w:rPr>
                <w:rFonts w:ascii="Times New Roman" w:hAnsi="Times New Roman"/>
                <w:sz w:val="15"/>
              </w:rPr>
              <w:t>1:200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Osteopontin/OPN (goat pAb)</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ab11503</w:t>
            </w:r>
          </w:p>
        </w:tc>
        <w:tc>
          <w:tcPr>
            <w:tcW w:w="1512" w:type="dxa"/>
            <w:vAlign w:val="center"/>
          </w:tcPr>
          <w:p>
            <w:pPr>
              <w:spacing w:before="0" w:after="0" w:line="240" w:lineRule="auto"/>
            </w:pPr>
            <w:r>
              <w:rPr>
                <w:rFonts w:ascii="Times New Roman" w:hAnsi="Times New Roman"/>
                <w:sz w:val="15"/>
              </w:rPr>
              <w:t>ICC/IF</w:t>
            </w:r>
          </w:p>
        </w:tc>
        <w:tc>
          <w:tcPr>
            <w:tcW w:w="1728" w:type="dxa"/>
            <w:vAlign w:val="center"/>
          </w:tcPr>
          <w:p>
            <w:pPr>
              <w:spacing w:before="0" w:after="0" w:line="240" w:lineRule="auto"/>
            </w:pPr>
            <w:r>
              <w:rPr>
                <w:rFonts w:ascii="Times New Roman" w:hAnsi="Times New Roman"/>
                <w:sz w:val="15"/>
              </w:rPr>
              <w:t>1:200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βIII-Tubulin/TUJ1–Alexa Fluor 594 (rabbit mAb, EP1569Y)</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ab201740</w:t>
            </w:r>
          </w:p>
        </w:tc>
        <w:tc>
          <w:tcPr>
            <w:tcW w:w="1512" w:type="dxa"/>
            <w:vAlign w:val="center"/>
          </w:tcPr>
          <w:p>
            <w:pPr>
              <w:spacing w:before="0" w:after="0" w:line="240" w:lineRule="auto"/>
            </w:pPr>
            <w:r>
              <w:rPr>
                <w:rFonts w:ascii="Times New Roman" w:hAnsi="Times New Roman"/>
                <w:sz w:val="15"/>
              </w:rPr>
              <w:t>ICC/IF</w:t>
            </w:r>
          </w:p>
        </w:tc>
        <w:tc>
          <w:tcPr>
            <w:tcW w:w="1728" w:type="dxa"/>
            <w:vAlign w:val="center"/>
          </w:tcPr>
          <w:p>
            <w:pPr>
              <w:spacing w:before="0" w:after="0" w:line="240" w:lineRule="auto"/>
            </w:pPr>
            <w:r>
              <w:rPr>
                <w:rFonts w:ascii="Times New Roman" w:hAnsi="Times New Roman"/>
                <w:sz w:val="15"/>
              </w:rPr>
              <w:t>1:200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Ki67 (rabbit mAb, SP6)</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ab16667</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NF200/neurofilament heavy (rabbit pAb)</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ab8135</w:t>
            </w:r>
          </w:p>
        </w:tc>
        <w:tc>
          <w:tcPr>
            <w:tcW w:w="1512" w:type="dxa"/>
            <w:vAlign w:val="center"/>
          </w:tcPr>
          <w:p>
            <w:pPr>
              <w:spacing w:before="0" w:after="0" w:line="240" w:lineRule="auto"/>
            </w:pPr>
            <w:r>
              <w:rPr>
                <w:rFonts w:ascii="Times New Roman" w:hAnsi="Times New Roman"/>
                <w:sz w:val="15"/>
              </w:rPr>
              <w:t>WB</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CD206 (rabbit pAb)</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ab64693</w:t>
            </w:r>
          </w:p>
        </w:tc>
        <w:tc>
          <w:tcPr>
            <w:tcW w:w="1512" w:type="dxa"/>
            <w:vAlign w:val="center"/>
          </w:tcPr>
          <w:p>
            <w:pPr>
              <w:spacing w:before="0" w:after="0" w:line="240" w:lineRule="auto"/>
            </w:pPr>
            <w:r>
              <w:rPr>
                <w:rFonts w:ascii="Times New Roman" w:hAnsi="Times New Roman"/>
                <w:sz w:val="15"/>
              </w:rPr>
              <w:t>IHC-P</w:t>
            </w:r>
          </w:p>
        </w:tc>
        <w:tc>
          <w:tcPr>
            <w:tcW w:w="1728" w:type="dxa"/>
            <w:vAlign w:val="center"/>
          </w:tcPr>
          <w:p>
            <w:pPr>
              <w:spacing w:before="0" w:after="0" w:line="240" w:lineRule="auto"/>
            </w:pPr>
            <w:r>
              <w:rPr>
                <w:rFonts w:ascii="Times New Roman" w:hAnsi="Times New Roman"/>
                <w:sz w:val="15"/>
              </w:rPr>
              <w:t>1:500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CD86 (rabbit mAb)</w:t>
            </w:r>
          </w:p>
        </w:tc>
        <w:tc>
          <w:tcPr>
            <w:tcW w:w="1512" w:type="dxa"/>
            <w:vAlign w:val="center"/>
          </w:tcPr>
          <w:p>
            <w:pPr>
              <w:spacing w:before="0" w:after="0" w:line="240" w:lineRule="auto"/>
            </w:pPr>
            <w:r>
              <w:rPr>
                <w:rFonts w:ascii="Times New Roman" w:hAnsi="Times New Roman"/>
                <w:sz w:val="15"/>
              </w:rPr>
              <w:t>Beyotime</w:t>
            </w:r>
          </w:p>
        </w:tc>
        <w:tc>
          <w:tcPr>
            <w:tcW w:w="1512" w:type="dxa"/>
            <w:vAlign w:val="center"/>
          </w:tcPr>
          <w:p>
            <w:pPr>
              <w:spacing w:before="0" w:after="0" w:line="240" w:lineRule="auto"/>
            </w:pPr>
            <w:r>
              <w:rPr>
                <w:rFonts w:ascii="Times New Roman" w:hAnsi="Times New Roman"/>
                <w:sz w:val="15"/>
              </w:rPr>
              <w:t>AG8128</w:t>
            </w:r>
          </w:p>
        </w:tc>
        <w:tc>
          <w:tcPr>
            <w:tcW w:w="1512" w:type="dxa"/>
            <w:vAlign w:val="center"/>
          </w:tcPr>
          <w:p>
            <w:pPr>
              <w:spacing w:before="0" w:after="0" w:line="240" w:lineRule="auto"/>
            </w:pPr>
            <w:r>
              <w:rPr>
                <w:rFonts w:ascii="Times New Roman" w:hAnsi="Times New Roman"/>
                <w:sz w:val="15"/>
              </w:rPr>
              <w:t>IHC-P</w:t>
            </w:r>
          </w:p>
        </w:tc>
        <w:tc>
          <w:tcPr>
            <w:tcW w:w="1728" w:type="dxa"/>
            <w:vAlign w:val="center"/>
          </w:tcPr>
          <w:p>
            <w:pPr>
              <w:spacing w:before="0" w:after="0" w:line="240" w:lineRule="auto"/>
            </w:pPr>
            <w:r>
              <w:rPr>
                <w:rFonts w:ascii="Times New Roman" w:hAnsi="Times New Roman"/>
                <w:sz w:val="15"/>
              </w:rPr>
              <w:t>1:200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Osteocalcin/OCN (rabbit pAb)</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ab93876</w:t>
            </w:r>
          </w:p>
        </w:tc>
        <w:tc>
          <w:tcPr>
            <w:tcW w:w="1512" w:type="dxa"/>
            <w:vAlign w:val="center"/>
          </w:tcPr>
          <w:p>
            <w:pPr>
              <w:spacing w:before="0" w:after="0" w:line="240" w:lineRule="auto"/>
            </w:pPr>
            <w:r>
              <w:rPr>
                <w:rFonts w:ascii="Times New Roman" w:hAnsi="Times New Roman"/>
                <w:sz w:val="15"/>
              </w:rPr>
              <w:t>IHC-P/IF</w:t>
            </w:r>
          </w:p>
        </w:tc>
        <w:tc>
          <w:tcPr>
            <w:tcW w:w="1728" w:type="dxa"/>
            <w:vAlign w:val="center"/>
          </w:tcPr>
          <w:p>
            <w:pPr>
              <w:spacing w:before="0" w:after="0" w:line="240" w:lineRule="auto"/>
            </w:pPr>
            <w:r>
              <w:rPr>
                <w:rFonts w:ascii="Times New Roman" w:hAnsi="Times New Roman"/>
                <w:sz w:val="15"/>
              </w:rPr>
              <w:t>1:100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CD31 (rat mAb, SZ31)</w:t>
            </w:r>
          </w:p>
        </w:tc>
        <w:tc>
          <w:tcPr>
            <w:tcW w:w="1512" w:type="dxa"/>
            <w:vAlign w:val="center"/>
          </w:tcPr>
          <w:p>
            <w:pPr>
              <w:spacing w:before="0" w:after="0" w:line="240" w:lineRule="auto"/>
            </w:pPr>
            <w:r>
              <w:rPr>
                <w:rFonts w:ascii="Times New Roman" w:hAnsi="Times New Roman"/>
                <w:sz w:val="15"/>
              </w:rPr>
              <w:t>Dianova</w:t>
            </w:r>
          </w:p>
        </w:tc>
        <w:tc>
          <w:tcPr>
            <w:tcW w:w="1512" w:type="dxa"/>
            <w:vAlign w:val="center"/>
          </w:tcPr>
          <w:p>
            <w:pPr>
              <w:spacing w:before="0" w:after="0" w:line="240" w:lineRule="auto"/>
            </w:pPr>
            <w:r>
              <w:rPr>
                <w:rFonts w:ascii="Times New Roman" w:hAnsi="Times New Roman"/>
                <w:sz w:val="15"/>
              </w:rPr>
              <w:t>DIA-310</w:t>
            </w:r>
          </w:p>
        </w:tc>
        <w:tc>
          <w:tcPr>
            <w:tcW w:w="1512" w:type="dxa"/>
            <w:vAlign w:val="center"/>
          </w:tcPr>
          <w:p>
            <w:pPr>
              <w:spacing w:before="0" w:after="0" w:line="240" w:lineRule="auto"/>
            </w:pPr>
            <w:r>
              <w:rPr>
                <w:rFonts w:ascii="Times New Roman" w:hAnsi="Times New Roman"/>
                <w:sz w:val="15"/>
              </w:rPr>
              <w:t>IHC-P/IF</w:t>
            </w:r>
          </w:p>
        </w:tc>
        <w:tc>
          <w:tcPr>
            <w:tcW w:w="1728" w:type="dxa"/>
            <w:vAlign w:val="center"/>
          </w:tcPr>
          <w:p>
            <w:pPr>
              <w:spacing w:before="0" w:after="0" w:line="240" w:lineRule="auto"/>
            </w:pPr>
            <w:r>
              <w:rPr>
                <w:rFonts w:ascii="Times New Roman" w:hAnsi="Times New Roman"/>
                <w:sz w:val="15"/>
              </w:rPr>
              <w:t>1:20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GAP43 (chicken pAb)</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ab134019</w:t>
            </w:r>
          </w:p>
        </w:tc>
        <w:tc>
          <w:tcPr>
            <w:tcW w:w="1512" w:type="dxa"/>
            <w:vAlign w:val="center"/>
          </w:tcPr>
          <w:p>
            <w:pPr>
              <w:spacing w:before="0" w:after="0" w:line="240" w:lineRule="auto"/>
            </w:pPr>
            <w:r>
              <w:rPr>
                <w:rFonts w:ascii="Times New Roman" w:hAnsi="Times New Roman"/>
                <w:sz w:val="15"/>
              </w:rPr>
              <w:t>IHC-P/IF</w:t>
            </w:r>
          </w:p>
        </w:tc>
        <w:tc>
          <w:tcPr>
            <w:tcW w:w="1728" w:type="dxa"/>
            <w:vAlign w:val="center"/>
          </w:tcPr>
          <w:p>
            <w:pPr>
              <w:spacing w:before="0" w:after="0" w:line="240" w:lineRule="auto"/>
            </w:pPr>
            <w:r>
              <w:rPr>
                <w:rFonts w:ascii="Times New Roman" w:hAnsi="Times New Roman"/>
                <w:sz w:val="15"/>
              </w:rPr>
              <w:t>1:500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CD36 (rat mAb, HM36; purified)</w:t>
            </w:r>
          </w:p>
        </w:tc>
        <w:tc>
          <w:tcPr>
            <w:tcW w:w="1512" w:type="dxa"/>
            <w:vAlign w:val="center"/>
          </w:tcPr>
          <w:p>
            <w:pPr>
              <w:spacing w:before="0" w:after="0" w:line="240" w:lineRule="auto"/>
            </w:pPr>
            <w:r>
              <w:rPr>
                <w:rFonts w:ascii="Times New Roman" w:hAnsi="Times New Roman"/>
                <w:sz w:val="15"/>
              </w:rPr>
              <w:t>BioLegend</w:t>
            </w:r>
          </w:p>
        </w:tc>
        <w:tc>
          <w:tcPr>
            <w:tcW w:w="1512" w:type="dxa"/>
            <w:vAlign w:val="center"/>
          </w:tcPr>
          <w:p>
            <w:pPr>
              <w:spacing w:before="0" w:after="0" w:line="240" w:lineRule="auto"/>
            </w:pPr>
            <w:r>
              <w:rPr>
                <w:rFonts w:ascii="Times New Roman" w:hAnsi="Times New Roman"/>
                <w:sz w:val="15"/>
              </w:rPr>
              <w:t>102602</w:t>
            </w:r>
          </w:p>
        </w:tc>
        <w:tc>
          <w:tcPr>
            <w:tcW w:w="1512" w:type="dxa"/>
            <w:vAlign w:val="center"/>
          </w:tcPr>
          <w:p>
            <w:pPr>
              <w:spacing w:before="0" w:after="0" w:line="240" w:lineRule="auto"/>
            </w:pPr>
            <w:r>
              <w:rPr>
                <w:rFonts w:ascii="Times New Roman" w:hAnsi="Times New Roman"/>
                <w:sz w:val="15"/>
              </w:rPr>
              <w:t>Blockade</w:t>
            </w:r>
          </w:p>
        </w:tc>
        <w:tc>
          <w:tcPr>
            <w:tcW w:w="1728" w:type="dxa"/>
            <w:vAlign w:val="center"/>
          </w:tcPr>
          <w:p>
            <w:pPr>
              <w:spacing w:before="0" w:after="0" w:line="240" w:lineRule="auto"/>
            </w:pPr>
            <w:r>
              <w:rPr>
                <w:rFonts w:ascii="Times New Roman" w:hAnsi="Times New Roman"/>
                <w:sz w:val="15"/>
              </w:rPr>
              <w:t>10 μg mL⁻¹</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CD86–PE (rat mAb, GL-1)</w:t>
            </w:r>
          </w:p>
        </w:tc>
        <w:tc>
          <w:tcPr>
            <w:tcW w:w="1512" w:type="dxa"/>
            <w:vAlign w:val="center"/>
          </w:tcPr>
          <w:p>
            <w:pPr>
              <w:spacing w:before="0" w:after="0" w:line="240" w:lineRule="auto"/>
            </w:pPr>
            <w:r>
              <w:rPr>
                <w:rFonts w:ascii="Times New Roman" w:hAnsi="Times New Roman"/>
                <w:sz w:val="15"/>
              </w:rPr>
              <w:t>BioLegend</w:t>
            </w:r>
          </w:p>
        </w:tc>
        <w:tc>
          <w:tcPr>
            <w:tcW w:w="1512" w:type="dxa"/>
            <w:vAlign w:val="center"/>
          </w:tcPr>
          <w:p>
            <w:pPr>
              <w:spacing w:before="0" w:after="0" w:line="240" w:lineRule="auto"/>
            </w:pPr>
            <w:r>
              <w:rPr>
                <w:rFonts w:ascii="Times New Roman" w:hAnsi="Times New Roman"/>
                <w:sz w:val="15"/>
              </w:rPr>
              <w:t>105008</w:t>
            </w:r>
          </w:p>
        </w:tc>
        <w:tc>
          <w:tcPr>
            <w:tcW w:w="1512" w:type="dxa"/>
            <w:vAlign w:val="center"/>
          </w:tcPr>
          <w:p>
            <w:pPr>
              <w:spacing w:before="0" w:after="0" w:line="240" w:lineRule="auto"/>
            </w:pPr>
            <w:r>
              <w:rPr>
                <w:rFonts w:ascii="Times New Roman" w:hAnsi="Times New Roman"/>
                <w:sz w:val="15"/>
              </w:rPr>
              <w:t>Flow cytometry</w:t>
            </w:r>
          </w:p>
        </w:tc>
        <w:tc>
          <w:tcPr>
            <w:tcW w:w="1728" w:type="dxa"/>
            <w:vAlign w:val="center"/>
          </w:tcPr>
          <w:p>
            <w:pPr>
              <w:spacing w:before="0" w:after="0" w:line="240" w:lineRule="auto"/>
            </w:pPr>
            <w:r>
              <w:rPr>
                <w:rFonts w:ascii="Times New Roman" w:hAnsi="Times New Roman"/>
                <w:sz w:val="15"/>
              </w:rPr>
              <w:t>0.25 μg per 10⁶ cells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CD206–APC (rat mAb, C068C2)</w:t>
            </w:r>
          </w:p>
        </w:tc>
        <w:tc>
          <w:tcPr>
            <w:tcW w:w="1512" w:type="dxa"/>
            <w:vAlign w:val="center"/>
          </w:tcPr>
          <w:p>
            <w:pPr>
              <w:spacing w:before="0" w:after="0" w:line="240" w:lineRule="auto"/>
            </w:pPr>
            <w:r>
              <w:rPr>
                <w:rFonts w:ascii="Times New Roman" w:hAnsi="Times New Roman"/>
                <w:sz w:val="15"/>
              </w:rPr>
              <w:t>BioLegend</w:t>
            </w:r>
          </w:p>
        </w:tc>
        <w:tc>
          <w:tcPr>
            <w:tcW w:w="1512" w:type="dxa"/>
            <w:vAlign w:val="center"/>
          </w:tcPr>
          <w:p>
            <w:pPr>
              <w:spacing w:before="0" w:after="0" w:line="240" w:lineRule="auto"/>
            </w:pPr>
            <w:r>
              <w:rPr>
                <w:rFonts w:ascii="Times New Roman" w:hAnsi="Times New Roman"/>
                <w:sz w:val="15"/>
              </w:rPr>
              <w:t>141708</w:t>
            </w:r>
          </w:p>
        </w:tc>
        <w:tc>
          <w:tcPr>
            <w:tcW w:w="1512" w:type="dxa"/>
            <w:vAlign w:val="center"/>
          </w:tcPr>
          <w:p>
            <w:pPr>
              <w:spacing w:before="0" w:after="0" w:line="240" w:lineRule="auto"/>
            </w:pPr>
            <w:r>
              <w:rPr>
                <w:rFonts w:ascii="Times New Roman" w:hAnsi="Times New Roman"/>
                <w:sz w:val="15"/>
              </w:rPr>
              <w:t>Flow cytometry</w:t>
            </w:r>
          </w:p>
        </w:tc>
        <w:tc>
          <w:tcPr>
            <w:tcW w:w="1728" w:type="dxa"/>
            <w:vAlign w:val="center"/>
          </w:tcPr>
          <w:p>
            <w:pPr>
              <w:spacing w:before="0" w:after="0" w:line="240" w:lineRule="auto"/>
            </w:pPr>
            <w:r>
              <w:rPr>
                <w:rFonts w:ascii="Times New Roman" w:hAnsi="Times New Roman"/>
                <w:sz w:val="15"/>
              </w:rPr>
              <w:t>0.25 μg per 10⁶ cells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CD11b–FITC (rat mAb, M1/70)</w:t>
            </w:r>
          </w:p>
        </w:tc>
        <w:tc>
          <w:tcPr>
            <w:tcW w:w="1512" w:type="dxa"/>
            <w:vAlign w:val="center"/>
          </w:tcPr>
          <w:p>
            <w:pPr>
              <w:spacing w:before="0" w:after="0" w:line="240" w:lineRule="auto"/>
            </w:pPr>
            <w:r>
              <w:rPr>
                <w:rFonts w:ascii="Times New Roman" w:hAnsi="Times New Roman"/>
                <w:sz w:val="15"/>
              </w:rPr>
              <w:t>BioLegend</w:t>
            </w:r>
          </w:p>
        </w:tc>
        <w:tc>
          <w:tcPr>
            <w:tcW w:w="1512" w:type="dxa"/>
            <w:vAlign w:val="center"/>
          </w:tcPr>
          <w:p>
            <w:pPr>
              <w:spacing w:before="0" w:after="0" w:line="240" w:lineRule="auto"/>
            </w:pPr>
            <w:r>
              <w:rPr>
                <w:rFonts w:ascii="Times New Roman" w:hAnsi="Times New Roman"/>
                <w:sz w:val="15"/>
              </w:rPr>
              <w:t>101206</w:t>
            </w:r>
          </w:p>
        </w:tc>
        <w:tc>
          <w:tcPr>
            <w:tcW w:w="1512" w:type="dxa"/>
            <w:vAlign w:val="center"/>
          </w:tcPr>
          <w:p>
            <w:pPr>
              <w:spacing w:before="0" w:after="0" w:line="240" w:lineRule="auto"/>
            </w:pPr>
            <w:r>
              <w:rPr>
                <w:rFonts w:ascii="Times New Roman" w:hAnsi="Times New Roman"/>
                <w:sz w:val="15"/>
              </w:rPr>
              <w:t>Flow cytometry</w:t>
            </w:r>
          </w:p>
        </w:tc>
        <w:tc>
          <w:tcPr>
            <w:tcW w:w="1728" w:type="dxa"/>
            <w:vAlign w:val="center"/>
          </w:tcPr>
          <w:p>
            <w:pPr>
              <w:spacing w:before="0" w:after="0" w:line="240" w:lineRule="auto"/>
            </w:pPr>
            <w:r>
              <w:rPr>
                <w:rFonts w:ascii="Times New Roman" w:hAnsi="Times New Roman"/>
                <w:sz w:val="15"/>
              </w:rPr>
              <w:t>0.25 μg per 10⁶ cells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CD86–APC (rat mAb, GL-1)</w:t>
            </w:r>
          </w:p>
        </w:tc>
        <w:tc>
          <w:tcPr>
            <w:tcW w:w="1512" w:type="dxa"/>
            <w:vAlign w:val="center"/>
          </w:tcPr>
          <w:p>
            <w:pPr>
              <w:spacing w:before="0" w:after="0" w:line="240" w:lineRule="auto"/>
            </w:pPr>
            <w:r>
              <w:rPr>
                <w:rFonts w:ascii="Times New Roman" w:hAnsi="Times New Roman"/>
                <w:sz w:val="15"/>
              </w:rPr>
              <w:t>BioLegend</w:t>
            </w:r>
          </w:p>
        </w:tc>
        <w:tc>
          <w:tcPr>
            <w:tcW w:w="1512" w:type="dxa"/>
            <w:vAlign w:val="center"/>
          </w:tcPr>
          <w:p>
            <w:pPr>
              <w:spacing w:before="0" w:after="0" w:line="240" w:lineRule="auto"/>
            </w:pPr>
            <w:r>
              <w:rPr>
                <w:rFonts w:ascii="Times New Roman" w:hAnsi="Times New Roman"/>
                <w:sz w:val="15"/>
              </w:rPr>
              <w:t>105012</w:t>
            </w:r>
          </w:p>
        </w:tc>
        <w:tc>
          <w:tcPr>
            <w:tcW w:w="1512" w:type="dxa"/>
            <w:vAlign w:val="center"/>
          </w:tcPr>
          <w:p>
            <w:pPr>
              <w:spacing w:before="0" w:after="0" w:line="240" w:lineRule="auto"/>
            </w:pPr>
            <w:r>
              <w:rPr>
                <w:rFonts w:ascii="Times New Roman" w:hAnsi="Times New Roman"/>
                <w:sz w:val="15"/>
              </w:rPr>
              <w:t>Flow cytometry</w:t>
            </w:r>
          </w:p>
        </w:tc>
        <w:tc>
          <w:tcPr>
            <w:tcW w:w="1728" w:type="dxa"/>
            <w:vAlign w:val="center"/>
          </w:tcPr>
          <w:p>
            <w:pPr>
              <w:spacing w:before="0" w:after="0" w:line="240" w:lineRule="auto"/>
            </w:pPr>
            <w:r>
              <w:rPr>
                <w:rFonts w:ascii="Times New Roman" w:hAnsi="Times New Roman"/>
                <w:sz w:val="15"/>
              </w:rPr>
              <w:t>0.25 μg per 10⁶ cells</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Goat anti-rabbit IgG (H+L)–HRP</w:t>
            </w:r>
          </w:p>
        </w:tc>
        <w:tc>
          <w:tcPr>
            <w:tcW w:w="1512" w:type="dxa"/>
            <w:vAlign w:val="center"/>
          </w:tcPr>
          <w:p>
            <w:pPr>
              <w:spacing w:before="0" w:after="0" w:line="240" w:lineRule="auto"/>
            </w:pPr>
            <w:r>
              <w:rPr>
                <w:rFonts w:ascii="Times New Roman" w:hAnsi="Times New Roman"/>
                <w:sz w:val="15"/>
              </w:rPr>
              <w:t>Beyotime</w:t>
            </w:r>
          </w:p>
        </w:tc>
        <w:tc>
          <w:tcPr>
            <w:tcW w:w="1512" w:type="dxa"/>
            <w:vAlign w:val="center"/>
          </w:tcPr>
          <w:p>
            <w:pPr>
              <w:spacing w:before="0" w:after="0" w:line="240" w:lineRule="auto"/>
            </w:pPr>
            <w:r>
              <w:rPr>
                <w:rFonts w:ascii="Times New Roman" w:hAnsi="Times New Roman"/>
                <w:sz w:val="15"/>
              </w:rPr>
              <w:t>A0208</w:t>
            </w:r>
          </w:p>
        </w:tc>
        <w:tc>
          <w:tcPr>
            <w:tcW w:w="1512" w:type="dxa"/>
            <w:vAlign w:val="center"/>
          </w:tcPr>
          <w:p>
            <w:pPr>
              <w:spacing w:before="0" w:after="0" w:line="240" w:lineRule="auto"/>
            </w:pPr>
            <w:r>
              <w:rPr>
                <w:rFonts w:ascii="Times New Roman" w:hAnsi="Times New Roman"/>
                <w:sz w:val="15"/>
              </w:rPr>
              <w:t>WB/IHC</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Goat anti-mouse IgG (H+L)–HRP</w:t>
            </w:r>
          </w:p>
        </w:tc>
        <w:tc>
          <w:tcPr>
            <w:tcW w:w="1512" w:type="dxa"/>
            <w:vAlign w:val="center"/>
          </w:tcPr>
          <w:p>
            <w:pPr>
              <w:spacing w:before="0" w:after="0" w:line="240" w:lineRule="auto"/>
            </w:pPr>
            <w:r>
              <w:rPr>
                <w:rFonts w:ascii="Times New Roman" w:hAnsi="Times New Roman"/>
                <w:sz w:val="15"/>
              </w:rPr>
              <w:t>Beyotime</w:t>
            </w:r>
          </w:p>
        </w:tc>
        <w:tc>
          <w:tcPr>
            <w:tcW w:w="1512" w:type="dxa"/>
            <w:vAlign w:val="center"/>
          </w:tcPr>
          <w:p>
            <w:pPr>
              <w:spacing w:before="0" w:after="0" w:line="240" w:lineRule="auto"/>
            </w:pPr>
            <w:r>
              <w:rPr>
                <w:rFonts w:ascii="Times New Roman" w:hAnsi="Times New Roman"/>
                <w:sz w:val="15"/>
              </w:rPr>
              <w:t>A0216</w:t>
            </w:r>
          </w:p>
        </w:tc>
        <w:tc>
          <w:tcPr>
            <w:tcW w:w="1512" w:type="dxa"/>
            <w:vAlign w:val="center"/>
          </w:tcPr>
          <w:p>
            <w:pPr>
              <w:spacing w:before="0" w:after="0" w:line="240" w:lineRule="auto"/>
            </w:pPr>
            <w:r>
              <w:rPr>
                <w:rFonts w:ascii="Times New Roman" w:hAnsi="Times New Roman"/>
                <w:sz w:val="15"/>
              </w:rPr>
              <w:t>WB/IHC</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Donkey anti-rabbit IgG–Alexa Fluor 488</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ab150073</w:t>
            </w:r>
          </w:p>
        </w:tc>
        <w:tc>
          <w:tcPr>
            <w:tcW w:w="1512" w:type="dxa"/>
            <w:vAlign w:val="center"/>
          </w:tcPr>
          <w:p>
            <w:pPr>
              <w:spacing w:before="0" w:after="0" w:line="240" w:lineRule="auto"/>
            </w:pPr>
            <w:r>
              <w:rPr>
                <w:rFonts w:ascii="Times New Roman" w:hAnsi="Times New Roman"/>
                <w:sz w:val="15"/>
              </w:rPr>
              <w:t>ICC/IF</w:t>
            </w:r>
          </w:p>
        </w:tc>
        <w:tc>
          <w:tcPr>
            <w:tcW w:w="1728" w:type="dxa"/>
            <w:vAlign w:val="center"/>
          </w:tcPr>
          <w:p>
            <w:pPr>
              <w:spacing w:before="0" w:after="0" w:line="240" w:lineRule="auto"/>
            </w:pPr>
            <w:r>
              <w:rPr>
                <w:rFonts w:ascii="Times New Roman" w:hAnsi="Times New Roman"/>
                <w:sz w:val="15"/>
              </w:rPr>
              <w:t>1:500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Donkey anti-rabbit IgG–Alexa Fluor 594</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ab150064</w:t>
            </w:r>
          </w:p>
        </w:tc>
        <w:tc>
          <w:tcPr>
            <w:tcW w:w="1512" w:type="dxa"/>
            <w:vAlign w:val="center"/>
          </w:tcPr>
          <w:p>
            <w:pPr>
              <w:spacing w:before="0" w:after="0" w:line="240" w:lineRule="auto"/>
            </w:pPr>
            <w:r>
              <w:rPr>
                <w:rFonts w:ascii="Times New Roman" w:hAnsi="Times New Roman"/>
                <w:sz w:val="15"/>
              </w:rPr>
              <w:t>ICC/IF</w:t>
            </w:r>
          </w:p>
        </w:tc>
        <w:tc>
          <w:tcPr>
            <w:tcW w:w="1728" w:type="dxa"/>
            <w:vAlign w:val="center"/>
          </w:tcPr>
          <w:p>
            <w:pPr>
              <w:spacing w:before="0" w:after="0" w:line="240" w:lineRule="auto"/>
            </w:pPr>
            <w:r>
              <w:rPr>
                <w:rFonts w:ascii="Times New Roman" w:hAnsi="Times New Roman"/>
                <w:sz w:val="15"/>
              </w:rPr>
              <w:t>1:500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Donkey anti-goat IgG–Alexa Fluor 594</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ab150132</w:t>
            </w:r>
          </w:p>
        </w:tc>
        <w:tc>
          <w:tcPr>
            <w:tcW w:w="1512" w:type="dxa"/>
            <w:vAlign w:val="center"/>
          </w:tcPr>
          <w:p>
            <w:pPr>
              <w:spacing w:before="0" w:after="0" w:line="240" w:lineRule="auto"/>
            </w:pPr>
            <w:r>
              <w:rPr>
                <w:rFonts w:ascii="Times New Roman" w:hAnsi="Times New Roman"/>
                <w:sz w:val="15"/>
              </w:rPr>
              <w:t>ICC/IF</w:t>
            </w:r>
          </w:p>
        </w:tc>
        <w:tc>
          <w:tcPr>
            <w:tcW w:w="1728" w:type="dxa"/>
            <w:vAlign w:val="center"/>
          </w:tcPr>
          <w:p>
            <w:pPr>
              <w:spacing w:before="0" w:after="0" w:line="240" w:lineRule="auto"/>
            </w:pPr>
            <w:r>
              <w:rPr>
                <w:rFonts w:ascii="Times New Roman" w:hAnsi="Times New Roman"/>
                <w:sz w:val="15"/>
              </w:rPr>
              <w:t>1:500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Goat anti-rabbit IgG–Alexa Fluor 405, preadsorbed</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ab175654</w:t>
            </w:r>
          </w:p>
        </w:tc>
        <w:tc>
          <w:tcPr>
            <w:tcW w:w="1512" w:type="dxa"/>
            <w:vAlign w:val="center"/>
          </w:tcPr>
          <w:p>
            <w:pPr>
              <w:spacing w:before="0" w:after="0" w:line="240" w:lineRule="auto"/>
            </w:pPr>
            <w:r>
              <w:rPr>
                <w:rFonts w:ascii="Times New Roman" w:hAnsi="Times New Roman"/>
                <w:sz w:val="15"/>
              </w:rPr>
              <w:t>IHC-P/IF</w:t>
            </w:r>
          </w:p>
        </w:tc>
        <w:tc>
          <w:tcPr>
            <w:tcW w:w="1728" w:type="dxa"/>
            <w:vAlign w:val="center"/>
          </w:tcPr>
          <w:p>
            <w:pPr>
              <w:spacing w:before="0" w:after="0" w:line="240" w:lineRule="auto"/>
            </w:pPr>
            <w:r>
              <w:rPr>
                <w:rFonts w:ascii="Times New Roman" w:hAnsi="Times New Roman"/>
                <w:sz w:val="15"/>
              </w:rPr>
              <w:t>1:500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Goat anti-rat IgG–Alexa Fluor 488</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ab150157</w:t>
            </w:r>
          </w:p>
        </w:tc>
        <w:tc>
          <w:tcPr>
            <w:tcW w:w="1512" w:type="dxa"/>
            <w:vAlign w:val="center"/>
          </w:tcPr>
          <w:p>
            <w:pPr>
              <w:spacing w:before="0" w:after="0" w:line="240" w:lineRule="auto"/>
            </w:pPr>
            <w:r>
              <w:rPr>
                <w:rFonts w:ascii="Times New Roman" w:hAnsi="Times New Roman"/>
                <w:sz w:val="15"/>
              </w:rPr>
              <w:t>IHC-P/IF</w:t>
            </w:r>
          </w:p>
        </w:tc>
        <w:tc>
          <w:tcPr>
            <w:tcW w:w="1728" w:type="dxa"/>
            <w:vAlign w:val="center"/>
          </w:tcPr>
          <w:p>
            <w:pPr>
              <w:spacing w:before="0" w:after="0" w:line="240" w:lineRule="auto"/>
            </w:pPr>
            <w:r>
              <w:rPr>
                <w:rFonts w:ascii="Times New Roman" w:hAnsi="Times New Roman"/>
                <w:sz w:val="15"/>
              </w:rPr>
              <w:t>1:1000</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3816" w:type="dxa"/>
            <w:vAlign w:val="center"/>
          </w:tcPr>
          <w:p>
            <w:pPr>
              <w:spacing w:before="0" w:after="0" w:line="240" w:lineRule="auto"/>
            </w:pPr>
            <w:r>
              <w:rPr>
                <w:rFonts w:ascii="Times New Roman" w:hAnsi="Times New Roman"/>
                <w:sz w:val="15"/>
              </w:rPr>
              <w:t>Goat anti-chicken IgY–Alexa Fluor 594, preadsorbed</w:t>
            </w:r>
          </w:p>
        </w:tc>
        <w:tc>
          <w:tcPr>
            <w:tcW w:w="1512" w:type="dxa"/>
            <w:vAlign w:val="center"/>
          </w:tcPr>
          <w:p>
            <w:pPr>
              <w:spacing w:before="0" w:after="0" w:line="240" w:lineRule="auto"/>
            </w:pPr>
            <w:r>
              <w:rPr>
                <w:rFonts w:ascii="Times New Roman" w:hAnsi="Times New Roman"/>
                <w:sz w:val="15"/>
              </w:rPr>
              <w:t>Abcam</w:t>
            </w:r>
          </w:p>
        </w:tc>
        <w:tc>
          <w:tcPr>
            <w:tcW w:w="1512" w:type="dxa"/>
            <w:vAlign w:val="center"/>
          </w:tcPr>
          <w:p>
            <w:pPr>
              <w:spacing w:before="0" w:after="0" w:line="240" w:lineRule="auto"/>
            </w:pPr>
            <w:r>
              <w:rPr>
                <w:rFonts w:ascii="Times New Roman" w:hAnsi="Times New Roman"/>
                <w:sz w:val="15"/>
              </w:rPr>
              <w:t>ab150176</w:t>
            </w:r>
          </w:p>
        </w:tc>
        <w:tc>
          <w:tcPr>
            <w:tcW w:w="1512" w:type="dxa"/>
            <w:vAlign w:val="center"/>
          </w:tcPr>
          <w:p>
            <w:pPr>
              <w:spacing w:before="0" w:after="0" w:line="240" w:lineRule="auto"/>
            </w:pPr>
            <w:r>
              <w:rPr>
                <w:rFonts w:ascii="Times New Roman" w:hAnsi="Times New Roman"/>
                <w:sz w:val="15"/>
              </w:rPr>
              <w:t>IHC-P/IF</w:t>
            </w:r>
          </w:p>
        </w:tc>
        <w:tc>
          <w:tcPr>
            <w:tcW w:w="1728" w:type="dxa"/>
            <w:vAlign w:val="center"/>
          </w:tcPr>
          <w:p>
            <w:pPr>
              <w:spacing w:before="0" w:after="0" w:line="240" w:lineRule="auto"/>
            </w:pPr>
            <w:r>
              <w:rPr>
                <w:rFonts w:ascii="Times New Roman" w:hAnsi="Times New Roman"/>
                <w:sz w:val="15"/>
              </w:rPr>
              <w:t>1:500</w:t>
            </w:r>
          </w:p>
        </w:tc>
      </w:tr>
    </w:tbl>
    <w:p>
      <w:pPr>
        <w:spacing w:before="80" w:after="40" w:line="240" w:lineRule="auto"/>
      </w:pPr>
      <w:r>
        <w:rPr>
          <w:rFonts w:ascii="Times New Roman" w:hAnsi="Times New Roman"/>
          <w:sz w:val="17"/>
        </w:rPr>
        <w:t>Primary antibodies were incubated overnight at 4 °C unless stated otherwise. HRP- and fluorophore-conjugated secondary antibodies were incubated for 1 h at room temperature. Flow-cytometry antibody amounts are starting values and were titrated for the instrument and cell preparation.</w:t>
      </w:r>
    </w:p>
    <w:p>
      <w:r>
        <w:br w:type="page"/>
      </w:r>
    </w:p>
    <w:p>
      <w:pPr>
        <w:spacing w:before="80" w:after="100"/>
      </w:pPr>
      <w:r>
        <w:rPr>
          <w:rFonts w:ascii="Times New Roman" w:hAnsi="Times New Roman"/>
          <w:b/>
          <w:sz w:val="20"/>
        </w:rPr>
        <w:t>Table S3. siRNA oligonucleotide sequences and modifications.</w:t>
      </w:r>
    </w:p>
    <w:tbl>
      <w:tblPr>
        <w:tblStyle w:val="32"/>
        <w:tblW w:w="0" w:type="auto"/>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op w:w="0" w:type="dxa"/>
          <w:left w:w="108" w:type="dxa"/>
          <w:bottom w:w="0" w:type="dxa"/>
          <w:right w:w="108" w:type="dxa"/>
        </w:tblCellMar>
      </w:tblPr>
      <w:tblGrid>
        <w:gridCol w:w="2520"/>
        <w:gridCol w:w="2520"/>
        <w:gridCol w:w="2520"/>
        <w:gridCol w:w="2520"/>
      </w:tblGrid>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tblHeader/>
          <w:jc w:val="center"/>
        </w:trPr>
        <w:tc>
          <w:tcPr>
            <w:tcW w:w="1584" w:type="dxa"/>
            <w:shd w:val="clear" w:color="auto" w:fill="D9EAF7"/>
            <w:vAlign w:val="center"/>
          </w:tcPr>
          <w:p>
            <w:pPr>
              <w:spacing w:before="0" w:after="0" w:line="240" w:lineRule="auto"/>
              <w:jc w:val="center"/>
            </w:pPr>
            <w:r>
              <w:rPr>
                <w:rFonts w:ascii="Times New Roman" w:hAnsi="Times New Roman"/>
                <w:b/>
                <w:sz w:val="14"/>
              </w:rPr>
              <w:t>Oligonucleotide</w:t>
            </w:r>
          </w:p>
        </w:tc>
        <w:tc>
          <w:tcPr>
            <w:tcW w:w="5040" w:type="dxa"/>
            <w:shd w:val="clear" w:color="auto" w:fill="D9EAF7"/>
            <w:vAlign w:val="center"/>
          </w:tcPr>
          <w:p>
            <w:pPr>
              <w:spacing w:before="0" w:after="0" w:line="240" w:lineRule="auto"/>
              <w:jc w:val="center"/>
            </w:pPr>
            <w:r>
              <w:rPr>
                <w:rFonts w:ascii="Times New Roman" w:hAnsi="Times New Roman"/>
                <w:b/>
                <w:sz w:val="14"/>
              </w:rPr>
              <w:t>Sequence (5′→3′)</w:t>
            </w:r>
          </w:p>
        </w:tc>
        <w:tc>
          <w:tcPr>
            <w:tcW w:w="2304" w:type="dxa"/>
            <w:shd w:val="clear" w:color="auto" w:fill="D9EAF7"/>
            <w:vAlign w:val="center"/>
          </w:tcPr>
          <w:p>
            <w:pPr>
              <w:spacing w:before="0" w:after="0" w:line="240" w:lineRule="auto"/>
              <w:jc w:val="center"/>
            </w:pPr>
            <w:r>
              <w:rPr>
                <w:rFonts w:ascii="Times New Roman" w:hAnsi="Times New Roman"/>
                <w:b/>
                <w:sz w:val="14"/>
              </w:rPr>
              <w:t>Purpose or modification</w:t>
            </w:r>
          </w:p>
        </w:tc>
        <w:tc>
          <w:tcPr>
            <w:tcW w:w="1152" w:type="dxa"/>
            <w:shd w:val="clear" w:color="auto" w:fill="D9EAF7"/>
            <w:vAlign w:val="center"/>
          </w:tcPr>
          <w:p>
            <w:pPr>
              <w:spacing w:before="0" w:after="0" w:line="240" w:lineRule="auto"/>
              <w:jc w:val="center"/>
            </w:pPr>
            <w:r>
              <w:rPr>
                <w:rFonts w:ascii="Times New Roman" w:hAnsi="Times New Roman"/>
                <w:b/>
                <w:sz w:val="14"/>
              </w:rPr>
              <w:t>Supplier</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1584" w:type="dxa"/>
            <w:vAlign w:val="center"/>
          </w:tcPr>
          <w:p>
            <w:pPr>
              <w:spacing w:before="0" w:after="0" w:line="240" w:lineRule="auto"/>
            </w:pPr>
            <w:r>
              <w:rPr>
                <w:rFonts w:ascii="Times New Roman" w:hAnsi="Times New Roman"/>
                <w:sz w:val="14"/>
              </w:rPr>
              <w:t>siPLIN2 sense</w:t>
            </w:r>
          </w:p>
        </w:tc>
        <w:tc>
          <w:tcPr>
            <w:tcW w:w="5040" w:type="dxa"/>
            <w:vAlign w:val="center"/>
          </w:tcPr>
          <w:p>
            <w:pPr>
              <w:spacing w:before="0" w:after="0" w:line="240" w:lineRule="auto"/>
            </w:pPr>
            <w:r>
              <w:rPr>
                <w:rFonts w:ascii="Times New Roman" w:hAnsi="Times New Roman"/>
                <w:sz w:val="14"/>
              </w:rPr>
              <w:t>AACGUCUGUCUGGACCGAAUA</w:t>
            </w:r>
          </w:p>
        </w:tc>
        <w:tc>
          <w:tcPr>
            <w:tcW w:w="2304" w:type="dxa"/>
            <w:vAlign w:val="center"/>
          </w:tcPr>
          <w:p>
            <w:pPr>
              <w:spacing w:before="0" w:after="0" w:line="240" w:lineRule="auto"/>
            </w:pPr>
            <w:r>
              <w:rPr>
                <w:rFonts w:ascii="Times New Roman" w:hAnsi="Times New Roman"/>
                <w:sz w:val="14"/>
              </w:rPr>
              <w:t>Mouse Plin2 targeting strand</w:t>
            </w:r>
          </w:p>
        </w:tc>
        <w:tc>
          <w:tcPr>
            <w:tcW w:w="1152" w:type="dxa"/>
            <w:vAlign w:val="center"/>
          </w:tcPr>
          <w:p>
            <w:pPr>
              <w:spacing w:before="0" w:after="0" w:line="240" w:lineRule="auto"/>
            </w:pPr>
            <w:r>
              <w:rPr>
                <w:rFonts w:ascii="Times New Roman" w:hAnsi="Times New Roman"/>
                <w:sz w:val="14"/>
              </w:rPr>
              <w:t>GenePharma</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1584" w:type="dxa"/>
            <w:vAlign w:val="center"/>
          </w:tcPr>
          <w:p>
            <w:pPr>
              <w:spacing w:before="0" w:after="0" w:line="240" w:lineRule="auto"/>
            </w:pPr>
            <w:r>
              <w:rPr>
                <w:rFonts w:ascii="Times New Roman" w:hAnsi="Times New Roman"/>
                <w:sz w:val="14"/>
              </w:rPr>
              <w:t>siPLIN2 antisense</w:t>
            </w:r>
          </w:p>
        </w:tc>
        <w:tc>
          <w:tcPr>
            <w:tcW w:w="5040" w:type="dxa"/>
            <w:vAlign w:val="center"/>
          </w:tcPr>
          <w:p>
            <w:pPr>
              <w:spacing w:before="0" w:after="0" w:line="240" w:lineRule="auto"/>
            </w:pPr>
            <w:r>
              <w:rPr>
                <w:rFonts w:ascii="Times New Roman" w:hAnsi="Times New Roman"/>
                <w:sz w:val="14"/>
              </w:rPr>
              <w:t>UAUUCGGUCCAGACAGACGUU</w:t>
            </w:r>
          </w:p>
        </w:tc>
        <w:tc>
          <w:tcPr>
            <w:tcW w:w="2304" w:type="dxa"/>
            <w:vAlign w:val="center"/>
          </w:tcPr>
          <w:p>
            <w:pPr>
              <w:spacing w:before="0" w:after="0" w:line="240" w:lineRule="auto"/>
            </w:pPr>
            <w:r>
              <w:rPr>
                <w:rFonts w:ascii="Times New Roman" w:hAnsi="Times New Roman"/>
                <w:sz w:val="14"/>
              </w:rPr>
              <w:t>Complementary guide strand</w:t>
            </w:r>
          </w:p>
        </w:tc>
        <w:tc>
          <w:tcPr>
            <w:tcW w:w="1152" w:type="dxa"/>
            <w:vAlign w:val="center"/>
          </w:tcPr>
          <w:p>
            <w:pPr>
              <w:spacing w:before="0" w:after="0" w:line="240" w:lineRule="auto"/>
            </w:pPr>
            <w:r>
              <w:rPr>
                <w:rFonts w:ascii="Times New Roman" w:hAnsi="Times New Roman"/>
                <w:sz w:val="14"/>
              </w:rPr>
              <w:t>GenePharma</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1584" w:type="dxa"/>
            <w:vAlign w:val="center"/>
          </w:tcPr>
          <w:p>
            <w:pPr>
              <w:spacing w:before="0" w:after="0" w:line="240" w:lineRule="auto"/>
            </w:pPr>
            <w:r>
              <w:rPr>
                <w:rFonts w:ascii="Times New Roman" w:hAnsi="Times New Roman"/>
                <w:sz w:val="14"/>
              </w:rPr>
              <w:t>siNC sense</w:t>
            </w:r>
          </w:p>
        </w:tc>
        <w:tc>
          <w:tcPr>
            <w:tcW w:w="5040" w:type="dxa"/>
            <w:vAlign w:val="center"/>
          </w:tcPr>
          <w:p>
            <w:pPr>
              <w:spacing w:before="0" w:after="0" w:line="240" w:lineRule="auto"/>
            </w:pPr>
            <w:r>
              <w:rPr>
                <w:rFonts w:ascii="Times New Roman" w:hAnsi="Times New Roman"/>
                <w:sz w:val="14"/>
              </w:rPr>
              <w:t>UUCUCCGAACGUGUCACGUTT</w:t>
            </w:r>
          </w:p>
        </w:tc>
        <w:tc>
          <w:tcPr>
            <w:tcW w:w="2304" w:type="dxa"/>
            <w:vAlign w:val="center"/>
          </w:tcPr>
          <w:p>
            <w:pPr>
              <w:spacing w:before="0" w:after="0" w:line="240" w:lineRule="auto"/>
            </w:pPr>
            <w:r>
              <w:rPr>
                <w:rFonts w:ascii="Times New Roman" w:hAnsi="Times New Roman"/>
                <w:sz w:val="14"/>
              </w:rPr>
              <w:t>Nontargeting negative control; 3′ dTdT overhang</w:t>
            </w:r>
          </w:p>
        </w:tc>
        <w:tc>
          <w:tcPr>
            <w:tcW w:w="1152" w:type="dxa"/>
            <w:vAlign w:val="center"/>
          </w:tcPr>
          <w:p>
            <w:pPr>
              <w:spacing w:before="0" w:after="0" w:line="240" w:lineRule="auto"/>
            </w:pPr>
            <w:r>
              <w:rPr>
                <w:rFonts w:ascii="Times New Roman" w:hAnsi="Times New Roman"/>
                <w:sz w:val="14"/>
              </w:rPr>
              <w:t>GenePharma</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1584" w:type="dxa"/>
            <w:vAlign w:val="center"/>
          </w:tcPr>
          <w:p>
            <w:pPr>
              <w:spacing w:before="0" w:after="0" w:line="240" w:lineRule="auto"/>
            </w:pPr>
            <w:r>
              <w:rPr>
                <w:rFonts w:ascii="Times New Roman" w:hAnsi="Times New Roman"/>
                <w:sz w:val="14"/>
              </w:rPr>
              <w:t>siNC antisense</w:t>
            </w:r>
          </w:p>
        </w:tc>
        <w:tc>
          <w:tcPr>
            <w:tcW w:w="5040" w:type="dxa"/>
            <w:vAlign w:val="center"/>
          </w:tcPr>
          <w:p>
            <w:pPr>
              <w:spacing w:before="0" w:after="0" w:line="240" w:lineRule="auto"/>
            </w:pPr>
            <w:r>
              <w:rPr>
                <w:rFonts w:ascii="Times New Roman" w:hAnsi="Times New Roman"/>
                <w:sz w:val="14"/>
              </w:rPr>
              <w:t>ACGUGACACGUUCGGAGAATT</w:t>
            </w:r>
          </w:p>
        </w:tc>
        <w:tc>
          <w:tcPr>
            <w:tcW w:w="2304" w:type="dxa"/>
            <w:vAlign w:val="center"/>
          </w:tcPr>
          <w:p>
            <w:pPr>
              <w:spacing w:before="0" w:after="0" w:line="240" w:lineRule="auto"/>
            </w:pPr>
            <w:r>
              <w:rPr>
                <w:rFonts w:ascii="Times New Roman" w:hAnsi="Times New Roman"/>
                <w:sz w:val="14"/>
              </w:rPr>
              <w:t>Nontargeting negative control; 3′ dTdT overhang</w:t>
            </w:r>
          </w:p>
        </w:tc>
        <w:tc>
          <w:tcPr>
            <w:tcW w:w="1152" w:type="dxa"/>
            <w:vAlign w:val="center"/>
          </w:tcPr>
          <w:p>
            <w:pPr>
              <w:spacing w:before="0" w:after="0" w:line="240" w:lineRule="auto"/>
            </w:pPr>
            <w:r>
              <w:rPr>
                <w:rFonts w:ascii="Times New Roman" w:hAnsi="Times New Roman"/>
                <w:sz w:val="14"/>
              </w:rPr>
              <w:t>GenePharma</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1584" w:type="dxa"/>
            <w:vAlign w:val="center"/>
          </w:tcPr>
          <w:p>
            <w:pPr>
              <w:spacing w:before="0" w:after="0" w:line="240" w:lineRule="auto"/>
            </w:pPr>
            <w:r>
              <w:rPr>
                <w:rFonts w:ascii="Times New Roman" w:hAnsi="Times New Roman"/>
                <w:sz w:val="14"/>
              </w:rPr>
              <w:t>Cy5–siNC sense</w:t>
            </w:r>
          </w:p>
        </w:tc>
        <w:tc>
          <w:tcPr>
            <w:tcW w:w="5040" w:type="dxa"/>
            <w:vAlign w:val="center"/>
          </w:tcPr>
          <w:p>
            <w:pPr>
              <w:spacing w:before="0" w:after="0" w:line="240" w:lineRule="auto"/>
            </w:pPr>
            <w:r>
              <w:rPr>
                <w:rFonts w:ascii="Times New Roman" w:hAnsi="Times New Roman"/>
                <w:sz w:val="14"/>
              </w:rPr>
              <w:t>Cy5–UUCUCCGAACGUGUCACGUTT</w:t>
            </w:r>
          </w:p>
        </w:tc>
        <w:tc>
          <w:tcPr>
            <w:tcW w:w="2304" w:type="dxa"/>
            <w:vAlign w:val="center"/>
          </w:tcPr>
          <w:p>
            <w:pPr>
              <w:spacing w:before="0" w:after="0" w:line="240" w:lineRule="auto"/>
            </w:pPr>
            <w:r>
              <w:rPr>
                <w:rFonts w:ascii="Times New Roman" w:hAnsi="Times New Roman"/>
                <w:sz w:val="14"/>
              </w:rPr>
              <w:t>Uptake and intracellular-trafficking tracer</w:t>
            </w:r>
          </w:p>
        </w:tc>
        <w:tc>
          <w:tcPr>
            <w:tcW w:w="1152" w:type="dxa"/>
            <w:vAlign w:val="center"/>
          </w:tcPr>
          <w:p>
            <w:pPr>
              <w:spacing w:before="0" w:after="0" w:line="240" w:lineRule="auto"/>
            </w:pPr>
            <w:r>
              <w:rPr>
                <w:rFonts w:ascii="Times New Roman" w:hAnsi="Times New Roman"/>
                <w:sz w:val="14"/>
              </w:rPr>
              <w:t>GenePharma</w:t>
            </w:r>
          </w:p>
        </w:tc>
      </w:tr>
      <w:tr>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cantSplit/>
          <w:jc w:val="center"/>
        </w:trPr>
        <w:tc>
          <w:tcPr>
            <w:tcW w:w="1584" w:type="dxa"/>
            <w:vAlign w:val="center"/>
          </w:tcPr>
          <w:p>
            <w:pPr>
              <w:spacing w:before="0" w:after="0" w:line="240" w:lineRule="auto"/>
            </w:pPr>
            <w:r>
              <w:rPr>
                <w:rFonts w:ascii="Times New Roman" w:hAnsi="Times New Roman"/>
                <w:sz w:val="14"/>
              </w:rPr>
              <w:t>Cy5–siNC antisense</w:t>
            </w:r>
          </w:p>
        </w:tc>
        <w:tc>
          <w:tcPr>
            <w:tcW w:w="5040" w:type="dxa"/>
            <w:vAlign w:val="center"/>
          </w:tcPr>
          <w:p>
            <w:pPr>
              <w:spacing w:before="0" w:after="0" w:line="240" w:lineRule="auto"/>
            </w:pPr>
            <w:r>
              <w:rPr>
                <w:rFonts w:ascii="Times New Roman" w:hAnsi="Times New Roman"/>
                <w:sz w:val="14"/>
              </w:rPr>
              <w:t>ACGUGACACGUUCGGAGAATT</w:t>
            </w:r>
          </w:p>
        </w:tc>
        <w:tc>
          <w:tcPr>
            <w:tcW w:w="2304" w:type="dxa"/>
            <w:vAlign w:val="center"/>
          </w:tcPr>
          <w:p>
            <w:pPr>
              <w:spacing w:before="0" w:after="0" w:line="240" w:lineRule="auto"/>
            </w:pPr>
            <w:r>
              <w:rPr>
                <w:rFonts w:ascii="Times New Roman" w:hAnsi="Times New Roman"/>
                <w:sz w:val="14"/>
              </w:rPr>
              <w:t>Complementary strand for Cy5–siNC</w:t>
            </w:r>
          </w:p>
        </w:tc>
        <w:tc>
          <w:tcPr>
            <w:tcW w:w="1152" w:type="dxa"/>
            <w:vAlign w:val="center"/>
          </w:tcPr>
          <w:p>
            <w:pPr>
              <w:spacing w:before="0" w:after="0" w:line="240" w:lineRule="auto"/>
            </w:pPr>
            <w:r>
              <w:rPr>
                <w:rFonts w:ascii="Times New Roman" w:hAnsi="Times New Roman"/>
                <w:sz w:val="14"/>
              </w:rPr>
              <w:t>GenePharma</w:t>
            </w:r>
          </w:p>
        </w:tc>
      </w:tr>
    </w:tbl>
    <w:p>
      <w:pPr>
        <w:spacing w:before="80" w:after="40" w:line="240" w:lineRule="auto"/>
      </w:pPr>
      <w:r>
        <w:rPr>
          <w:rFonts w:ascii="Times New Roman" w:hAnsi="Times New Roman"/>
          <w:sz w:val="17"/>
        </w:rPr>
        <w:t>All oligonucleotides were HPLC-purified. The siPLIN2 duplex corresponds to a previously validated mouse Plin2-targeting sequence (RefSeq NM_007408.3): Senthivinayagam, S.; et al. Plin2 Inhibits Cellular Glucose Uptake through Interactions with SNAP23, a SNARE Complex Protein. PLoS One 2013, 8, e73696. https://doi.org/10.1371/journal.pone.0073696.</w:t>
      </w:r>
    </w:p>
    <w:p>
      <w:pPr>
        <w:spacing w:before="80" w:after="40" w:line="240" w:lineRule="auto"/>
      </w:pPr>
      <w:r>
        <w:rPr>
          <w:rFonts w:ascii="Times New Roman" w:hAnsi="Times New Roman"/>
          <w:sz w:val="17"/>
        </w:rPr>
        <w:t>The Cy5-labeled nontargeting duplex was used for uptake and trafficking so that fluorescence tracking did not itself alter PLIN2 expression. U denotes uridine; T denotes the terminal deoxythymidine overhang.</w:t>
      </w:r>
    </w:p>
    <w:sectPr>
      <w:footerReference r:id="rId5" w:type="default"/>
      <w:pgSz w:w="12240" w:h="15840"/>
      <w:pgMar w:top="936" w:right="1080" w:bottom="936" w:left="1080" w:header="360"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rFonts w:ascii="Times New Roman" w:hAnsi="Times New Roman" w:eastAsia="Times New Roman" w:cs="Times New Roman"/>
        <w:color w:val="000000"/>
        <w:sz w:val="18"/>
      </w:rPr>
      <w:t xml:space="preserve">Page </w:t>
    </w:r>
    <w:r>
      <w:rPr>
        <w:rFonts w:ascii="Times New Roman" w:hAnsi="Times New Roman" w:eastAsia="Times New Roman" w:cs="Times New Roman"/>
        <w:sz w:val="18"/>
      </w:rPr>
      <w:fldChar w:fldCharType="begin"/>
    </w:r>
    <w:r>
      <w:rPr>
        <w:rFonts w:ascii="Times New Roman" w:hAnsi="Times New Roman" w:eastAsia="Times New Roman" w:cs="Times New Roman"/>
        <w:sz w:val="18"/>
      </w:rPr>
      <w:instrText xml:space="preserve"> PAGE </w:instrText>
    </w:r>
    <w:r>
      <w:rPr>
        <w:rFonts w:ascii="Times New Roman" w:hAnsi="Times New Roman" w:eastAsia="Times New Roman" w:cs="Times New Roman"/>
        <w:sz w:val="18"/>
      </w:rP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5M2YzM2I4MzhjNDFkYjcxYjZjZTQ5NjYxODY0MjMifQ=="/>
  </w:docVars>
  <w:rsids>
    <w:rsidRoot w:val="00B47730"/>
    <w:rsid w:val="00034616"/>
    <w:rsid w:val="0006063C"/>
    <w:rsid w:val="0015074B"/>
    <w:rsid w:val="0029639D"/>
    <w:rsid w:val="00326F90"/>
    <w:rsid w:val="00AA1D8D"/>
    <w:rsid w:val="00B47730"/>
    <w:rsid w:val="00CB0664"/>
    <w:rsid w:val="00FC693F"/>
    <w:rsid w:val="419415DC"/>
    <w:rsid w:val="483D3A70"/>
    <w:rsid w:val="6E546D73"/>
    <w:rsid w:val="747D18A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80" w:line="240" w:lineRule="auto"/>
    </w:pPr>
    <w:rPr>
      <w:rFonts w:ascii="Times New Roman" w:hAnsi="Times New Roman" w:eastAsia="Times New Roman" w:cs="Times New Roman"/>
      <w:color w:val="000000"/>
      <w:sz w:val="20"/>
      <w:szCs w:val="22"/>
      <w:lang w:val="en-US" w:eastAsia="en-US" w:bidi="ar-SA"/>
    </w:rPr>
  </w:style>
  <w:style w:type="paragraph" w:styleId="3">
    <w:name w:val="heading 1"/>
    <w:basedOn w:val="1"/>
    <w:next w:val="1"/>
    <w:link w:val="138"/>
    <w:autoRedefine/>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autoRedefine/>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autoRedefine/>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autoRedefine/>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autoRedefine/>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autoRedefine/>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autoRedefine/>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autoRedefine/>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autoRedefine/>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autoRedefine/>
    <w:semiHidden/>
    <w:unhideWhenUsed/>
    <w:qFormat/>
    <w:uiPriority w:val="1"/>
  </w:style>
  <w:style w:type="table" w:default="1" w:styleId="32">
    <w:name w:val="Normal Table"/>
    <w:autoRedefine/>
    <w:semiHidden/>
    <w:unhideWhenUsed/>
    <w:qFormat/>
    <w:uiPriority w:val="99"/>
    <w:tblPr>
      <w:tblCellMar>
        <w:top w:w="0" w:type="dxa"/>
        <w:left w:w="108" w:type="dxa"/>
        <w:bottom w:w="0" w:type="dxa"/>
        <w:right w:w="108" w:type="dxa"/>
      </w:tblCellMar>
    </w:tblPr>
  </w:style>
  <w:style w:type="paragraph" w:styleId="2">
    <w:name w:val="macro"/>
    <w:link w:val="147"/>
    <w:autoRedefine/>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autoRedefine/>
    <w:unhideWhenUsed/>
    <w:qFormat/>
    <w:uiPriority w:val="99"/>
    <w:pPr>
      <w:ind w:left="1080" w:hanging="360"/>
      <w:contextualSpacing/>
    </w:pPr>
  </w:style>
  <w:style w:type="paragraph" w:styleId="13">
    <w:name w:val="List Number 2"/>
    <w:basedOn w:val="1"/>
    <w:autoRedefine/>
    <w:unhideWhenUsed/>
    <w:qFormat/>
    <w:uiPriority w:val="99"/>
    <w:pPr>
      <w:numPr>
        <w:ilvl w:val="0"/>
        <w:numId w:val="1"/>
      </w:numPr>
      <w:contextualSpacing/>
    </w:pPr>
  </w:style>
  <w:style w:type="paragraph" w:styleId="14">
    <w:name w:val="List Number"/>
    <w:basedOn w:val="1"/>
    <w:autoRedefine/>
    <w:unhideWhenUsed/>
    <w:qFormat/>
    <w:uiPriority w:val="99"/>
    <w:pPr>
      <w:numPr>
        <w:ilvl w:val="0"/>
        <w:numId w:val="2"/>
      </w:numPr>
      <w:contextualSpacing/>
    </w:pPr>
  </w:style>
  <w:style w:type="paragraph" w:styleId="15">
    <w:name w:val="caption"/>
    <w:basedOn w:val="1"/>
    <w:next w:val="1"/>
    <w:autoRedefine/>
    <w:semiHidden/>
    <w:unhideWhenUsed/>
    <w:qFormat/>
    <w:uiPriority w:val="35"/>
    <w:pPr>
      <w:keepLines/>
      <w:widowControl/>
      <w:spacing w:before="60" w:after="80" w:line="240" w:lineRule="auto"/>
    </w:pPr>
    <w:rPr>
      <w:rFonts w:ascii="Times New Roman" w:hAnsi="Times New Roman" w:eastAsia="Times New Roman" w:cs="Times New Roman"/>
      <w:b/>
      <w:bCs/>
      <w:color w:val="000000"/>
      <w:sz w:val="18"/>
      <w:szCs w:val="18"/>
    </w:rPr>
  </w:style>
  <w:style w:type="paragraph" w:styleId="16">
    <w:name w:val="List Bullet"/>
    <w:basedOn w:val="1"/>
    <w:autoRedefine/>
    <w:unhideWhenUsed/>
    <w:qFormat/>
    <w:uiPriority w:val="99"/>
    <w:pPr>
      <w:numPr>
        <w:ilvl w:val="0"/>
        <w:numId w:val="3"/>
      </w:numPr>
      <w:contextualSpacing/>
    </w:pPr>
  </w:style>
  <w:style w:type="paragraph" w:styleId="17">
    <w:name w:val="Body Text 3"/>
    <w:basedOn w:val="1"/>
    <w:link w:val="146"/>
    <w:autoRedefine/>
    <w:unhideWhenUsed/>
    <w:qFormat/>
    <w:uiPriority w:val="99"/>
    <w:pPr>
      <w:spacing w:after="120"/>
    </w:pPr>
    <w:rPr>
      <w:sz w:val="16"/>
      <w:szCs w:val="16"/>
    </w:rPr>
  </w:style>
  <w:style w:type="paragraph" w:styleId="18">
    <w:name w:val="List Bullet 3"/>
    <w:basedOn w:val="1"/>
    <w:autoRedefine/>
    <w:unhideWhenUsed/>
    <w:qFormat/>
    <w:uiPriority w:val="99"/>
    <w:pPr>
      <w:numPr>
        <w:ilvl w:val="0"/>
        <w:numId w:val="4"/>
      </w:numPr>
      <w:contextualSpacing/>
    </w:pPr>
  </w:style>
  <w:style w:type="paragraph" w:styleId="19">
    <w:name w:val="Body Text"/>
    <w:basedOn w:val="1"/>
    <w:link w:val="144"/>
    <w:autoRedefine/>
    <w:unhideWhenUsed/>
    <w:qFormat/>
    <w:uiPriority w:val="99"/>
    <w:pPr>
      <w:spacing w:after="120"/>
    </w:pPr>
  </w:style>
  <w:style w:type="paragraph" w:styleId="20">
    <w:name w:val="List Number 3"/>
    <w:basedOn w:val="1"/>
    <w:autoRedefine/>
    <w:unhideWhenUsed/>
    <w:qFormat/>
    <w:uiPriority w:val="99"/>
    <w:pPr>
      <w:numPr>
        <w:ilvl w:val="0"/>
        <w:numId w:val="5"/>
      </w:numPr>
      <w:contextualSpacing/>
    </w:pPr>
  </w:style>
  <w:style w:type="paragraph" w:styleId="21">
    <w:name w:val="List 2"/>
    <w:basedOn w:val="1"/>
    <w:autoRedefine/>
    <w:unhideWhenUsed/>
    <w:qFormat/>
    <w:uiPriority w:val="99"/>
    <w:pPr>
      <w:ind w:left="720" w:hanging="360"/>
      <w:contextualSpacing/>
    </w:pPr>
  </w:style>
  <w:style w:type="paragraph" w:styleId="22">
    <w:name w:val="List Continue"/>
    <w:basedOn w:val="1"/>
    <w:autoRedefine/>
    <w:unhideWhenUsed/>
    <w:qFormat/>
    <w:uiPriority w:val="99"/>
    <w:pPr>
      <w:spacing w:after="120"/>
      <w:ind w:left="360"/>
      <w:contextualSpacing/>
    </w:pPr>
  </w:style>
  <w:style w:type="paragraph" w:styleId="23">
    <w:name w:val="List Bullet 2"/>
    <w:basedOn w:val="1"/>
    <w:autoRedefine/>
    <w:unhideWhenUsed/>
    <w:qFormat/>
    <w:uiPriority w:val="99"/>
    <w:pPr>
      <w:numPr>
        <w:ilvl w:val="0"/>
        <w:numId w:val="6"/>
      </w:numPr>
      <w:contextualSpacing/>
    </w:pPr>
  </w:style>
  <w:style w:type="paragraph" w:styleId="24">
    <w:name w:val="footer"/>
    <w:basedOn w:val="1"/>
    <w:link w:val="136"/>
    <w:autoRedefine/>
    <w:unhideWhenUsed/>
    <w:qFormat/>
    <w:uiPriority w:val="99"/>
    <w:pPr>
      <w:tabs>
        <w:tab w:val="center" w:pos="4680"/>
        <w:tab w:val="right" w:pos="9360"/>
      </w:tabs>
      <w:spacing w:after="0" w:line="240" w:lineRule="auto"/>
    </w:pPr>
  </w:style>
  <w:style w:type="paragraph" w:styleId="25">
    <w:name w:val="header"/>
    <w:basedOn w:val="1"/>
    <w:link w:val="135"/>
    <w:autoRedefine/>
    <w:unhideWhenUsed/>
    <w:qFormat/>
    <w:uiPriority w:val="99"/>
    <w:pPr>
      <w:tabs>
        <w:tab w:val="center" w:pos="4680"/>
        <w:tab w:val="right" w:pos="9360"/>
      </w:tabs>
      <w:spacing w:after="0" w:line="240" w:lineRule="auto"/>
    </w:pPr>
  </w:style>
  <w:style w:type="paragraph" w:styleId="26">
    <w:name w:val="Subtitle"/>
    <w:basedOn w:val="1"/>
    <w:next w:val="1"/>
    <w:link w:val="142"/>
    <w:autoRedefine/>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autoRedefine/>
    <w:unhideWhenUsed/>
    <w:qFormat/>
    <w:uiPriority w:val="99"/>
    <w:pPr>
      <w:ind w:left="360" w:hanging="360"/>
      <w:contextualSpacing/>
    </w:pPr>
  </w:style>
  <w:style w:type="paragraph" w:styleId="28">
    <w:name w:val="Body Text 2"/>
    <w:basedOn w:val="1"/>
    <w:link w:val="145"/>
    <w:autoRedefine/>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autoRedefine/>
    <w:unhideWhenUsed/>
    <w:qFormat/>
    <w:uiPriority w:val="99"/>
    <w:pPr>
      <w:spacing w:after="120"/>
      <w:ind w:left="1080"/>
      <w:contextualSpacing/>
    </w:pPr>
  </w:style>
  <w:style w:type="paragraph" w:styleId="31">
    <w:name w:val="Title"/>
    <w:basedOn w:val="1"/>
    <w:next w:val="1"/>
    <w:link w:val="141"/>
    <w:autoRedefine/>
    <w:qFormat/>
    <w:uiPriority w:val="10"/>
    <w:pPr>
      <w:pBdr>
        <w:bottom w:val="single" w:color="4F81BD" w:themeColor="accent1" w:sz="8" w:space="4"/>
      </w:pBdr>
      <w:spacing w:after="160" w:line="240" w:lineRule="auto"/>
      <w:contextualSpacing/>
      <w:jc w:val="center"/>
    </w:pPr>
    <w:rPr>
      <w:rFonts w:asciiTheme="majorHAnsi" w:hAnsiTheme="majorHAnsi" w:eastAsiaTheme="majorEastAsia" w:cstheme="majorBidi"/>
      <w:b/>
      <w:color w:val="000000"/>
      <w:spacing w:val="5"/>
      <w:kern w:val="28"/>
      <w:sz w:val="32"/>
      <w:szCs w:val="52"/>
    </w:rPr>
  </w:style>
  <w:style w:type="table" w:styleId="33">
    <w:name w:val="Table Grid"/>
    <w:basedOn w:val="32"/>
    <w:autoRedefine/>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autoRedefine/>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autoRedefine/>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autoRedefine/>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autoRedefine/>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autoRedefine/>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autoRedefine/>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autoRedefine/>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autoRedefine/>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autoRedefine/>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autoRedefine/>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autoRedefine/>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autoRedefine/>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autoRedefine/>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autoRedefine/>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autoRedefine/>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autoRedefine/>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autoRedefine/>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autoRedefine/>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autoRedefine/>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autoRedefine/>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autoRedefine/>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autoRedefine/>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autoRedefine/>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autoRedefine/>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autoRedefine/>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autoRedefine/>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autoRedefine/>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autoRedefine/>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autoRedefine/>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autoRedefine/>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autoRedefine/>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autoRedefine/>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autoRedefine/>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autoRedefine/>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autoRedefine/>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autoRedefine/>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autoRedefine/>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autoRedefine/>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autoRedefine/>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autoRedefine/>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autoRedefine/>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autoRedefine/>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autoRedefine/>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autoRedefine/>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autoRedefine/>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autoRedefine/>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autoRedefine/>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autoRedefine/>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autoRedefine/>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autoRedefine/>
    <w:qFormat/>
    <w:uiPriority w:val="34"/>
    <w:pPr>
      <w:ind w:left="720"/>
      <w:contextualSpacing/>
    </w:pPr>
  </w:style>
  <w:style w:type="character" w:customStyle="1" w:styleId="144">
    <w:name w:val="Body Text Char"/>
    <w:basedOn w:val="132"/>
    <w:link w:val="19"/>
    <w:autoRedefine/>
    <w:qFormat/>
    <w:uiPriority w:val="99"/>
  </w:style>
  <w:style w:type="character" w:customStyle="1" w:styleId="145">
    <w:name w:val="Body Text 2 Char"/>
    <w:basedOn w:val="132"/>
    <w:link w:val="28"/>
    <w:autoRedefine/>
    <w:uiPriority w:val="99"/>
  </w:style>
  <w:style w:type="character" w:customStyle="1" w:styleId="146">
    <w:name w:val="Body Text 3 Char"/>
    <w:basedOn w:val="132"/>
    <w:link w:val="17"/>
    <w:autoRedefine/>
    <w:uiPriority w:val="99"/>
    <w:rPr>
      <w:sz w:val="16"/>
      <w:szCs w:val="16"/>
    </w:rPr>
  </w:style>
  <w:style w:type="character" w:customStyle="1" w:styleId="147">
    <w:name w:val="Macro Text Char"/>
    <w:basedOn w:val="132"/>
    <w:link w:val="2"/>
    <w:autoRedefine/>
    <w:uiPriority w:val="99"/>
    <w:rPr>
      <w:rFonts w:ascii="Courier" w:hAnsi="Courier"/>
      <w:sz w:val="20"/>
      <w:szCs w:val="20"/>
    </w:rPr>
  </w:style>
  <w:style w:type="paragraph" w:styleId="148">
    <w:name w:val="Quote"/>
    <w:basedOn w:val="1"/>
    <w:next w:val="1"/>
    <w:link w:val="149"/>
    <w:autoRedefine/>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autoRedefine/>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autoRedefine/>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autoRedefine/>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autoRedefine/>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autoRedefine/>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autoRedefine/>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autoRedefine/>
    <w:qFormat/>
    <w:uiPriority w:val="30"/>
    <w:rPr>
      <w:b/>
      <w:bCs/>
      <w:i/>
      <w:iCs/>
      <w:color w:val="4F81BD" w:themeColor="accent1"/>
      <w14:textFill>
        <w14:solidFill>
          <w14:schemeClr w14:val="accent1"/>
        </w14:solidFill>
      </w14:textFill>
    </w:rPr>
  </w:style>
  <w:style w:type="character" w:customStyle="1" w:styleId="158">
    <w:name w:val="Subtle Emphasis"/>
    <w:basedOn w:val="13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autoRedefine/>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autoRedefine/>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autoRedefine/>
    <w:qFormat/>
    <w:uiPriority w:val="33"/>
    <w:rPr>
      <w:b/>
      <w:bCs/>
      <w:smallCaps/>
      <w:spacing w:val="5"/>
    </w:rPr>
  </w:style>
  <w:style w:type="paragraph" w:customStyle="1" w:styleId="163">
    <w:name w:val="TOC Heading"/>
    <w:basedOn w:val="3"/>
    <w:next w:val="1"/>
    <w:autoRedefine/>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Kai Wang; Liang Yan</dc:creator>
  <dc:description>Language-edited and formatted as a separate ACS Nano Supporting Information file.</dc:description>
  <cp:lastModifiedBy>王凯</cp:lastModifiedBy>
  <dcterms:modified xsi:type="dcterms:W3CDTF">2026-08-19T04:43:35Z</dcterms:modified>
  <dc:subject>Supporting Information for ACS Nano Article</dc:subject>
  <dc:title>Supporting Information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E48EE9D3029E4DB19BD8820247EA1E07_12</vt:lpwstr>
  </property>
</Properties>
</file>