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9740" w14:textId="173B10DF" w:rsidR="00984734" w:rsidRPr="00984734" w:rsidRDefault="00984734" w:rsidP="00984734">
      <w:pPr>
        <w:spacing w:line="360" w:lineRule="auto"/>
        <w:jc w:val="both"/>
        <w:rPr>
          <w:sz w:val="22"/>
          <w:szCs w:val="22"/>
          <w:lang w:val="en-US"/>
        </w:rPr>
      </w:pPr>
      <w:r w:rsidRPr="00984734">
        <w:rPr>
          <w:b/>
          <w:bCs/>
          <w:sz w:val="22"/>
          <w:szCs w:val="22"/>
          <w:lang w:val="en-US"/>
        </w:rPr>
        <w:t xml:space="preserve">Table 1. ISS and </w:t>
      </w:r>
      <w:r w:rsidR="00EC48E8">
        <w:rPr>
          <w:b/>
          <w:bCs/>
          <w:sz w:val="22"/>
          <w:szCs w:val="22"/>
          <w:lang w:val="en-US"/>
        </w:rPr>
        <w:t>t</w:t>
      </w:r>
      <w:r w:rsidRPr="00984734">
        <w:rPr>
          <w:b/>
          <w:bCs/>
          <w:sz w:val="22"/>
          <w:szCs w:val="22"/>
          <w:lang w:val="en-US"/>
        </w:rPr>
        <w:t xml:space="preserve">errestrial </w:t>
      </w:r>
      <w:proofErr w:type="spellStart"/>
      <w:r w:rsidRPr="00984734">
        <w:rPr>
          <w:b/>
          <w:bCs/>
          <w:i/>
          <w:iCs/>
          <w:sz w:val="22"/>
          <w:szCs w:val="22"/>
          <w:lang w:val="en-US"/>
        </w:rPr>
        <w:t>Sphingomonas</w:t>
      </w:r>
      <w:proofErr w:type="spellEnd"/>
      <w:r w:rsidRPr="00984734">
        <w:rPr>
          <w:b/>
          <w:bCs/>
          <w:i/>
          <w:iCs/>
          <w:sz w:val="22"/>
          <w:szCs w:val="22"/>
          <w:lang w:val="en-US"/>
        </w:rPr>
        <w:t xml:space="preserve"> sanguinis</w:t>
      </w:r>
      <w:r w:rsidRPr="00984734">
        <w:rPr>
          <w:b/>
          <w:bCs/>
          <w:sz w:val="22"/>
          <w:szCs w:val="22"/>
          <w:lang w:val="en-US"/>
        </w:rPr>
        <w:t xml:space="preserve"> </w:t>
      </w:r>
      <w:r w:rsidR="00EC48E8">
        <w:rPr>
          <w:b/>
          <w:bCs/>
          <w:sz w:val="22"/>
          <w:szCs w:val="22"/>
          <w:lang w:val="en-US"/>
        </w:rPr>
        <w:t>s</w:t>
      </w:r>
      <w:r w:rsidRPr="00984734">
        <w:rPr>
          <w:b/>
          <w:bCs/>
          <w:sz w:val="22"/>
          <w:szCs w:val="22"/>
          <w:lang w:val="en-US"/>
        </w:rPr>
        <w:t xml:space="preserve">trains </w:t>
      </w:r>
      <w:r w:rsidR="00EC48E8">
        <w:rPr>
          <w:b/>
          <w:bCs/>
          <w:sz w:val="22"/>
          <w:szCs w:val="22"/>
          <w:lang w:val="en-US"/>
        </w:rPr>
        <w:t>i</w:t>
      </w:r>
      <w:r w:rsidRPr="00984734">
        <w:rPr>
          <w:b/>
          <w:bCs/>
          <w:sz w:val="22"/>
          <w:szCs w:val="22"/>
          <w:lang w:val="en-US"/>
        </w:rPr>
        <w:t xml:space="preserve">ncluded in </w:t>
      </w:r>
      <w:r w:rsidR="00EC48E8">
        <w:rPr>
          <w:b/>
          <w:bCs/>
          <w:sz w:val="22"/>
          <w:szCs w:val="22"/>
          <w:lang w:val="en-US"/>
        </w:rPr>
        <w:t>t</w:t>
      </w:r>
      <w:r w:rsidRPr="00984734">
        <w:rPr>
          <w:b/>
          <w:bCs/>
          <w:sz w:val="22"/>
          <w:szCs w:val="22"/>
          <w:lang w:val="en-US"/>
        </w:rPr>
        <w:t xml:space="preserve">his </w:t>
      </w:r>
      <w:r w:rsidR="00EC48E8">
        <w:rPr>
          <w:b/>
          <w:bCs/>
          <w:sz w:val="22"/>
          <w:szCs w:val="22"/>
          <w:lang w:val="en-US"/>
        </w:rPr>
        <w:t>s</w:t>
      </w:r>
      <w:r w:rsidRPr="00984734">
        <w:rPr>
          <w:b/>
          <w:bCs/>
          <w:sz w:val="22"/>
          <w:szCs w:val="22"/>
          <w:lang w:val="en-US"/>
        </w:rPr>
        <w:t>tudy.</w:t>
      </w:r>
      <w:r w:rsidRPr="00984734">
        <w:rPr>
          <w:sz w:val="22"/>
          <w:szCs w:val="22"/>
          <w:lang w:val="en-US"/>
        </w:rPr>
        <w:t xml:space="preserve"> </w:t>
      </w:r>
      <w:r w:rsidRPr="00984734">
        <w:rPr>
          <w:i/>
          <w:iCs/>
          <w:sz w:val="22"/>
          <w:szCs w:val="22"/>
          <w:lang w:val="en-US"/>
        </w:rPr>
        <w:t>S. sanguinis</w:t>
      </w:r>
      <w:r w:rsidRPr="00984734">
        <w:rPr>
          <w:sz w:val="22"/>
          <w:szCs w:val="22"/>
          <w:lang w:val="en-US"/>
        </w:rPr>
        <w:t xml:space="preserve"> strains analyzed in this study, including ISS Water System, spaceflight surface, and terrestrial reference isolate. PWD indicates Portable Water Dispenser. MCD indicates Microbial Capture Device.</w:t>
      </w:r>
    </w:p>
    <w:tbl>
      <w:tblPr>
        <w:tblW w:w="934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216"/>
        <w:gridCol w:w="1045"/>
        <w:gridCol w:w="1562"/>
        <w:gridCol w:w="992"/>
        <w:gridCol w:w="1847"/>
        <w:gridCol w:w="1269"/>
        <w:gridCol w:w="1418"/>
      </w:tblGrid>
      <w:tr w:rsidR="00984734" w:rsidRPr="00984734" w14:paraId="2877B0A3" w14:textId="77777777" w:rsidTr="00A34860">
        <w:trPr>
          <w:trHeight w:val="280"/>
        </w:trPr>
        <w:tc>
          <w:tcPr>
            <w:tcW w:w="1216" w:type="dxa"/>
            <w:tcBorders>
              <w:bottom w:val="single" w:sz="8" w:space="0" w:color="auto"/>
              <w:right w:val="single" w:sz="8" w:space="0" w:color="auto"/>
            </w:tcBorders>
            <w:shd w:val="clear" w:color="auto" w:fill="ADADAD" w:themeFill="background2" w:themeFillShade="BF"/>
            <w:vAlign w:val="center"/>
            <w:hideMark/>
          </w:tcPr>
          <w:p w14:paraId="3E554280" w14:textId="77777777" w:rsidR="00984734" w:rsidRPr="00984734" w:rsidRDefault="00984734" w:rsidP="00A34860">
            <w:pPr>
              <w:jc w:val="center"/>
              <w:rPr>
                <w:rFonts w:ascii="Arial" w:hAnsi="Arial" w:cs="Arial"/>
                <w:b/>
                <w:bCs/>
                <w:color w:val="000000"/>
                <w:sz w:val="13"/>
                <w:szCs w:val="13"/>
              </w:rPr>
            </w:pPr>
            <w:r w:rsidRPr="00984734">
              <w:rPr>
                <w:rFonts w:ascii="Arial" w:hAnsi="Arial" w:cs="Arial"/>
                <w:b/>
                <w:bCs/>
                <w:color w:val="000000"/>
                <w:sz w:val="13"/>
                <w:szCs w:val="13"/>
              </w:rPr>
              <w:t>Sample</w:t>
            </w:r>
          </w:p>
        </w:tc>
        <w:tc>
          <w:tcPr>
            <w:tcW w:w="1045" w:type="dxa"/>
            <w:tcBorders>
              <w:left w:val="single" w:sz="8" w:space="0" w:color="auto"/>
              <w:bottom w:val="single" w:sz="8" w:space="0" w:color="auto"/>
              <w:right w:val="single" w:sz="8" w:space="0" w:color="auto"/>
            </w:tcBorders>
            <w:shd w:val="clear" w:color="auto" w:fill="ADADAD" w:themeFill="background2" w:themeFillShade="BF"/>
            <w:vAlign w:val="center"/>
            <w:hideMark/>
          </w:tcPr>
          <w:p w14:paraId="67E4F1DA" w14:textId="77777777" w:rsidR="00984734" w:rsidRPr="00984734" w:rsidRDefault="00984734" w:rsidP="00A34860">
            <w:pPr>
              <w:jc w:val="center"/>
              <w:rPr>
                <w:rFonts w:ascii="Arial" w:hAnsi="Arial" w:cs="Arial"/>
                <w:b/>
                <w:bCs/>
                <w:color w:val="000000"/>
                <w:sz w:val="13"/>
                <w:szCs w:val="13"/>
              </w:rPr>
            </w:pPr>
            <w:r w:rsidRPr="00984734">
              <w:rPr>
                <w:rFonts w:ascii="Arial" w:hAnsi="Arial" w:cs="Arial"/>
                <w:b/>
                <w:bCs/>
                <w:color w:val="000000"/>
                <w:sz w:val="13"/>
                <w:szCs w:val="13"/>
              </w:rPr>
              <w:t>NASA strain Identifier</w:t>
            </w:r>
          </w:p>
        </w:tc>
        <w:tc>
          <w:tcPr>
            <w:tcW w:w="1562" w:type="dxa"/>
            <w:tcBorders>
              <w:left w:val="single" w:sz="8" w:space="0" w:color="auto"/>
              <w:bottom w:val="single" w:sz="8" w:space="0" w:color="auto"/>
              <w:right w:val="single" w:sz="8" w:space="0" w:color="auto"/>
            </w:tcBorders>
            <w:shd w:val="clear" w:color="auto" w:fill="ADADAD" w:themeFill="background2" w:themeFillShade="BF"/>
            <w:vAlign w:val="center"/>
            <w:hideMark/>
          </w:tcPr>
          <w:p w14:paraId="551F31BA" w14:textId="77777777" w:rsidR="00984734" w:rsidRPr="00984734" w:rsidRDefault="00984734" w:rsidP="00A34860">
            <w:pPr>
              <w:jc w:val="center"/>
              <w:rPr>
                <w:rFonts w:ascii="Arial" w:hAnsi="Arial" w:cs="Arial"/>
                <w:b/>
                <w:bCs/>
                <w:color w:val="000000"/>
                <w:sz w:val="13"/>
                <w:szCs w:val="13"/>
              </w:rPr>
            </w:pPr>
            <w:r w:rsidRPr="00984734">
              <w:rPr>
                <w:rFonts w:ascii="Arial" w:hAnsi="Arial" w:cs="Arial"/>
                <w:b/>
                <w:bCs/>
                <w:color w:val="000000"/>
                <w:sz w:val="13"/>
                <w:szCs w:val="13"/>
              </w:rPr>
              <w:t>Isolation source</w:t>
            </w:r>
          </w:p>
        </w:tc>
        <w:tc>
          <w:tcPr>
            <w:tcW w:w="992" w:type="dxa"/>
            <w:tcBorders>
              <w:left w:val="single" w:sz="8" w:space="0" w:color="auto"/>
              <w:bottom w:val="single" w:sz="8" w:space="0" w:color="auto"/>
              <w:right w:val="single" w:sz="8" w:space="0" w:color="auto"/>
            </w:tcBorders>
            <w:shd w:val="clear" w:color="auto" w:fill="ADADAD" w:themeFill="background2" w:themeFillShade="BF"/>
            <w:vAlign w:val="center"/>
            <w:hideMark/>
          </w:tcPr>
          <w:p w14:paraId="28C39E3D" w14:textId="77777777" w:rsidR="00984734" w:rsidRPr="00984734" w:rsidRDefault="00984734" w:rsidP="00A34860">
            <w:pPr>
              <w:jc w:val="center"/>
              <w:rPr>
                <w:rFonts w:ascii="Arial" w:hAnsi="Arial" w:cs="Arial"/>
                <w:b/>
                <w:bCs/>
                <w:color w:val="000000"/>
                <w:sz w:val="13"/>
                <w:szCs w:val="13"/>
              </w:rPr>
            </w:pPr>
            <w:r w:rsidRPr="00984734">
              <w:rPr>
                <w:rFonts w:ascii="Arial" w:hAnsi="Arial" w:cs="Arial"/>
                <w:b/>
                <w:bCs/>
                <w:color w:val="000000"/>
                <w:sz w:val="13"/>
                <w:szCs w:val="13"/>
              </w:rPr>
              <w:t>Collection Date</w:t>
            </w:r>
          </w:p>
        </w:tc>
        <w:tc>
          <w:tcPr>
            <w:tcW w:w="1847" w:type="dxa"/>
            <w:tcBorders>
              <w:left w:val="single" w:sz="8" w:space="0" w:color="auto"/>
              <w:bottom w:val="single" w:sz="8" w:space="0" w:color="auto"/>
              <w:right w:val="single" w:sz="8" w:space="0" w:color="auto"/>
            </w:tcBorders>
            <w:shd w:val="clear" w:color="auto" w:fill="ADADAD" w:themeFill="background2" w:themeFillShade="BF"/>
            <w:vAlign w:val="center"/>
            <w:hideMark/>
          </w:tcPr>
          <w:p w14:paraId="739A52B0" w14:textId="77777777" w:rsidR="00984734" w:rsidRPr="00984734" w:rsidRDefault="00984734" w:rsidP="00A34860">
            <w:pPr>
              <w:jc w:val="center"/>
              <w:rPr>
                <w:rFonts w:ascii="Arial" w:hAnsi="Arial" w:cs="Arial"/>
                <w:b/>
                <w:bCs/>
                <w:sz w:val="13"/>
                <w:szCs w:val="13"/>
              </w:rPr>
            </w:pPr>
            <w:r w:rsidRPr="00984734">
              <w:rPr>
                <w:rFonts w:ascii="Arial" w:hAnsi="Arial" w:cs="Arial"/>
                <w:b/>
                <w:bCs/>
                <w:sz w:val="13"/>
                <w:szCs w:val="13"/>
              </w:rPr>
              <w:t>Source details</w:t>
            </w:r>
          </w:p>
        </w:tc>
        <w:tc>
          <w:tcPr>
            <w:tcW w:w="1269" w:type="dxa"/>
            <w:tcBorders>
              <w:left w:val="single" w:sz="8" w:space="0" w:color="auto"/>
              <w:bottom w:val="single" w:sz="8" w:space="0" w:color="auto"/>
              <w:right w:val="single" w:sz="8" w:space="0" w:color="auto"/>
            </w:tcBorders>
            <w:shd w:val="clear" w:color="auto" w:fill="ADADAD" w:themeFill="background2" w:themeFillShade="BF"/>
            <w:vAlign w:val="center"/>
            <w:hideMark/>
          </w:tcPr>
          <w:p w14:paraId="0263238D" w14:textId="77777777" w:rsidR="00984734" w:rsidRPr="00984734" w:rsidRDefault="00984734" w:rsidP="00A34860">
            <w:pPr>
              <w:jc w:val="center"/>
              <w:rPr>
                <w:rFonts w:ascii="Arial" w:hAnsi="Arial" w:cs="Arial"/>
                <w:b/>
                <w:bCs/>
                <w:sz w:val="13"/>
                <w:szCs w:val="13"/>
              </w:rPr>
            </w:pPr>
            <w:r w:rsidRPr="00984734">
              <w:rPr>
                <w:rFonts w:ascii="Arial" w:hAnsi="Arial" w:cs="Arial"/>
                <w:b/>
                <w:bCs/>
                <w:sz w:val="13"/>
                <w:szCs w:val="13"/>
              </w:rPr>
              <w:t>Ref</w:t>
            </w:r>
          </w:p>
        </w:tc>
        <w:tc>
          <w:tcPr>
            <w:tcW w:w="1418" w:type="dxa"/>
            <w:tcBorders>
              <w:left w:val="single" w:sz="8" w:space="0" w:color="auto"/>
              <w:bottom w:val="single" w:sz="8" w:space="0" w:color="auto"/>
            </w:tcBorders>
            <w:shd w:val="clear" w:color="auto" w:fill="ADADAD" w:themeFill="background2" w:themeFillShade="BF"/>
            <w:vAlign w:val="center"/>
            <w:hideMark/>
          </w:tcPr>
          <w:p w14:paraId="30578435" w14:textId="77777777" w:rsidR="00984734" w:rsidRPr="00984734" w:rsidRDefault="00984734" w:rsidP="00A34860">
            <w:pPr>
              <w:jc w:val="center"/>
              <w:rPr>
                <w:rFonts w:ascii="Arial" w:hAnsi="Arial" w:cs="Arial"/>
                <w:b/>
                <w:bCs/>
                <w:color w:val="000000"/>
                <w:sz w:val="13"/>
                <w:szCs w:val="13"/>
              </w:rPr>
            </w:pPr>
            <w:r w:rsidRPr="00984734">
              <w:rPr>
                <w:rFonts w:ascii="Arial" w:hAnsi="Arial" w:cs="Arial"/>
                <w:b/>
                <w:bCs/>
                <w:color w:val="000000"/>
                <w:sz w:val="13"/>
                <w:szCs w:val="13"/>
              </w:rPr>
              <w:t>Accession No.</w:t>
            </w:r>
          </w:p>
        </w:tc>
      </w:tr>
      <w:tr w:rsidR="00984734" w:rsidRPr="00984734" w14:paraId="67B152ED" w14:textId="77777777" w:rsidTr="00A34860">
        <w:trPr>
          <w:trHeight w:val="261"/>
        </w:trPr>
        <w:tc>
          <w:tcPr>
            <w:tcW w:w="1216" w:type="dxa"/>
            <w:tcBorders>
              <w:top w:val="single" w:sz="8" w:space="0" w:color="auto"/>
            </w:tcBorders>
            <w:vAlign w:val="center"/>
            <w:hideMark/>
          </w:tcPr>
          <w:p w14:paraId="12C01D5B"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ISS-092</w:t>
            </w:r>
          </w:p>
        </w:tc>
        <w:tc>
          <w:tcPr>
            <w:tcW w:w="1045" w:type="dxa"/>
            <w:tcBorders>
              <w:top w:val="single" w:sz="8" w:space="0" w:color="auto"/>
            </w:tcBorders>
            <w:vAlign w:val="center"/>
            <w:hideMark/>
          </w:tcPr>
          <w:p w14:paraId="6F32F21D"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092950004-2</w:t>
            </w:r>
          </w:p>
        </w:tc>
        <w:tc>
          <w:tcPr>
            <w:tcW w:w="1562" w:type="dxa"/>
            <w:tcBorders>
              <w:top w:val="single" w:sz="8" w:space="0" w:color="auto"/>
            </w:tcBorders>
            <w:vAlign w:val="center"/>
            <w:hideMark/>
          </w:tcPr>
          <w:p w14:paraId="107F3C5F"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ISS, US Water System</w:t>
            </w:r>
          </w:p>
        </w:tc>
        <w:tc>
          <w:tcPr>
            <w:tcW w:w="992" w:type="dxa"/>
            <w:tcBorders>
              <w:top w:val="single" w:sz="8" w:space="0" w:color="auto"/>
            </w:tcBorders>
            <w:vAlign w:val="center"/>
            <w:hideMark/>
          </w:tcPr>
          <w:p w14:paraId="7C3BC952"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2009</w:t>
            </w:r>
          </w:p>
        </w:tc>
        <w:tc>
          <w:tcPr>
            <w:tcW w:w="1847" w:type="dxa"/>
            <w:tcBorders>
              <w:top w:val="single" w:sz="8" w:space="0" w:color="auto"/>
            </w:tcBorders>
            <w:vAlign w:val="center"/>
            <w:hideMark/>
          </w:tcPr>
          <w:p w14:paraId="1CA75391" w14:textId="77777777" w:rsidR="00984734" w:rsidRPr="00984734" w:rsidRDefault="00984734" w:rsidP="00A34860">
            <w:pPr>
              <w:jc w:val="center"/>
              <w:rPr>
                <w:rFonts w:ascii="Arial" w:hAnsi="Arial" w:cs="Arial"/>
                <w:sz w:val="13"/>
                <w:szCs w:val="13"/>
              </w:rPr>
            </w:pPr>
            <w:r w:rsidRPr="00984734">
              <w:rPr>
                <w:rFonts w:ascii="Arial" w:hAnsi="Arial" w:cs="Arial"/>
                <w:sz w:val="13"/>
                <w:szCs w:val="13"/>
              </w:rPr>
              <w:t>PWD* Ambient (bag)</w:t>
            </w:r>
          </w:p>
        </w:tc>
        <w:tc>
          <w:tcPr>
            <w:tcW w:w="1269" w:type="dxa"/>
            <w:tcBorders>
              <w:top w:val="single" w:sz="8" w:space="0" w:color="auto"/>
            </w:tcBorders>
            <w:vAlign w:val="center"/>
            <w:hideMark/>
          </w:tcPr>
          <w:p w14:paraId="5A3D900E" w14:textId="77777777" w:rsidR="00984734" w:rsidRPr="00984734" w:rsidRDefault="00984734" w:rsidP="00A34860">
            <w:pPr>
              <w:jc w:val="center"/>
              <w:rPr>
                <w:rFonts w:ascii="Arial" w:hAnsi="Arial" w:cs="Arial"/>
                <w:color w:val="196B24"/>
                <w:sz w:val="13"/>
                <w:szCs w:val="13"/>
              </w:rPr>
            </w:pPr>
            <w:r w:rsidRPr="00984734">
              <w:rPr>
                <w:rFonts w:ascii="Arial" w:hAnsi="Arial" w:cs="Arial"/>
                <w:color w:val="196B24"/>
                <w:sz w:val="13"/>
                <w:szCs w:val="13"/>
              </w:rPr>
              <w:t>assembly paper</w:t>
            </w:r>
          </w:p>
        </w:tc>
        <w:tc>
          <w:tcPr>
            <w:tcW w:w="1418" w:type="dxa"/>
            <w:tcBorders>
              <w:top w:val="single" w:sz="8" w:space="0" w:color="auto"/>
            </w:tcBorders>
            <w:vAlign w:val="center"/>
            <w:hideMark/>
          </w:tcPr>
          <w:p w14:paraId="06CC53A3" w14:textId="77777777" w:rsidR="00984734" w:rsidRPr="00984734" w:rsidRDefault="00984734" w:rsidP="00A34860">
            <w:pPr>
              <w:jc w:val="center"/>
              <w:rPr>
                <w:rFonts w:ascii="Arial" w:hAnsi="Arial" w:cs="Arial"/>
                <w:color w:val="196B24"/>
                <w:sz w:val="13"/>
                <w:szCs w:val="13"/>
              </w:rPr>
            </w:pPr>
            <w:r w:rsidRPr="00984734">
              <w:rPr>
                <w:rFonts w:ascii="Arial" w:hAnsi="Arial" w:cs="Arial"/>
                <w:color w:val="196B24"/>
                <w:sz w:val="13"/>
                <w:szCs w:val="13"/>
              </w:rPr>
              <w:t>needed</w:t>
            </w:r>
          </w:p>
        </w:tc>
      </w:tr>
      <w:tr w:rsidR="00984734" w:rsidRPr="00984734" w14:paraId="5AFDD86A" w14:textId="77777777" w:rsidTr="00A34860">
        <w:trPr>
          <w:trHeight w:val="261"/>
        </w:trPr>
        <w:tc>
          <w:tcPr>
            <w:tcW w:w="1216" w:type="dxa"/>
            <w:vAlign w:val="center"/>
            <w:hideMark/>
          </w:tcPr>
          <w:p w14:paraId="18C74F94"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ISS-101</w:t>
            </w:r>
          </w:p>
        </w:tc>
        <w:tc>
          <w:tcPr>
            <w:tcW w:w="1045" w:type="dxa"/>
            <w:vAlign w:val="center"/>
            <w:hideMark/>
          </w:tcPr>
          <w:p w14:paraId="31448F72"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101480065-1</w:t>
            </w:r>
          </w:p>
        </w:tc>
        <w:tc>
          <w:tcPr>
            <w:tcW w:w="1562" w:type="dxa"/>
            <w:vAlign w:val="center"/>
            <w:hideMark/>
          </w:tcPr>
          <w:p w14:paraId="2E3FE879"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ISS, US Water System</w:t>
            </w:r>
          </w:p>
        </w:tc>
        <w:tc>
          <w:tcPr>
            <w:tcW w:w="992" w:type="dxa"/>
            <w:vAlign w:val="center"/>
            <w:hideMark/>
          </w:tcPr>
          <w:p w14:paraId="64C63E8D"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2010</w:t>
            </w:r>
          </w:p>
        </w:tc>
        <w:tc>
          <w:tcPr>
            <w:tcW w:w="1847" w:type="dxa"/>
            <w:vAlign w:val="center"/>
            <w:hideMark/>
          </w:tcPr>
          <w:p w14:paraId="245A83D6"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PWD Ambient (MCD)</w:t>
            </w:r>
          </w:p>
        </w:tc>
        <w:tc>
          <w:tcPr>
            <w:tcW w:w="1269" w:type="dxa"/>
            <w:vAlign w:val="center"/>
            <w:hideMark/>
          </w:tcPr>
          <w:p w14:paraId="3F806FB3" w14:textId="77777777" w:rsidR="00984734" w:rsidRPr="00984734" w:rsidRDefault="00984734" w:rsidP="00A34860">
            <w:pPr>
              <w:jc w:val="center"/>
              <w:rPr>
                <w:rFonts w:ascii="Arial" w:hAnsi="Arial" w:cs="Arial"/>
                <w:color w:val="196B24"/>
                <w:sz w:val="13"/>
                <w:szCs w:val="13"/>
              </w:rPr>
            </w:pPr>
            <w:r w:rsidRPr="00984734">
              <w:rPr>
                <w:rFonts w:ascii="Arial" w:hAnsi="Arial" w:cs="Arial"/>
                <w:color w:val="196B24"/>
                <w:sz w:val="13"/>
                <w:szCs w:val="13"/>
              </w:rPr>
              <w:t>assembly paper</w:t>
            </w:r>
          </w:p>
        </w:tc>
        <w:tc>
          <w:tcPr>
            <w:tcW w:w="1418" w:type="dxa"/>
            <w:vAlign w:val="center"/>
            <w:hideMark/>
          </w:tcPr>
          <w:p w14:paraId="3D4A0064" w14:textId="77777777" w:rsidR="00984734" w:rsidRPr="00984734" w:rsidRDefault="00984734" w:rsidP="00A34860">
            <w:pPr>
              <w:jc w:val="center"/>
              <w:rPr>
                <w:rFonts w:ascii="Arial" w:hAnsi="Arial" w:cs="Arial"/>
                <w:color w:val="196B24"/>
                <w:sz w:val="13"/>
                <w:szCs w:val="13"/>
              </w:rPr>
            </w:pPr>
            <w:r w:rsidRPr="00984734">
              <w:rPr>
                <w:rFonts w:ascii="Arial" w:hAnsi="Arial" w:cs="Arial"/>
                <w:color w:val="196B24"/>
                <w:sz w:val="13"/>
                <w:szCs w:val="13"/>
              </w:rPr>
              <w:t>needed</w:t>
            </w:r>
          </w:p>
        </w:tc>
      </w:tr>
      <w:tr w:rsidR="00984734" w:rsidRPr="00984734" w14:paraId="593B8B46" w14:textId="77777777" w:rsidTr="00A34860">
        <w:trPr>
          <w:trHeight w:val="261"/>
        </w:trPr>
        <w:tc>
          <w:tcPr>
            <w:tcW w:w="1216" w:type="dxa"/>
            <w:vAlign w:val="center"/>
            <w:hideMark/>
          </w:tcPr>
          <w:p w14:paraId="57643D69"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ISS-111</w:t>
            </w:r>
          </w:p>
        </w:tc>
        <w:tc>
          <w:tcPr>
            <w:tcW w:w="1045" w:type="dxa"/>
            <w:vAlign w:val="center"/>
            <w:hideMark/>
          </w:tcPr>
          <w:p w14:paraId="3B94DC5B"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113270001-1</w:t>
            </w:r>
          </w:p>
        </w:tc>
        <w:tc>
          <w:tcPr>
            <w:tcW w:w="1562" w:type="dxa"/>
            <w:vAlign w:val="center"/>
            <w:hideMark/>
          </w:tcPr>
          <w:p w14:paraId="58D66886"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ISS, US Water System</w:t>
            </w:r>
          </w:p>
        </w:tc>
        <w:tc>
          <w:tcPr>
            <w:tcW w:w="992" w:type="dxa"/>
            <w:vAlign w:val="center"/>
            <w:hideMark/>
          </w:tcPr>
          <w:p w14:paraId="3474B1E0"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2011</w:t>
            </w:r>
          </w:p>
        </w:tc>
        <w:tc>
          <w:tcPr>
            <w:tcW w:w="1847" w:type="dxa"/>
            <w:vAlign w:val="center"/>
            <w:hideMark/>
          </w:tcPr>
          <w:p w14:paraId="7BD8A601"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PWD Ambient (MCD)</w:t>
            </w:r>
          </w:p>
        </w:tc>
        <w:tc>
          <w:tcPr>
            <w:tcW w:w="1269" w:type="dxa"/>
            <w:vAlign w:val="center"/>
            <w:hideMark/>
          </w:tcPr>
          <w:p w14:paraId="41656714" w14:textId="77777777" w:rsidR="00984734" w:rsidRPr="00984734" w:rsidRDefault="00984734" w:rsidP="00A34860">
            <w:pPr>
              <w:jc w:val="center"/>
              <w:rPr>
                <w:rFonts w:ascii="Arial" w:hAnsi="Arial" w:cs="Arial"/>
                <w:color w:val="196B24"/>
                <w:sz w:val="13"/>
                <w:szCs w:val="13"/>
              </w:rPr>
            </w:pPr>
            <w:r w:rsidRPr="00984734">
              <w:rPr>
                <w:rFonts w:ascii="Arial" w:hAnsi="Arial" w:cs="Arial"/>
                <w:color w:val="196B24"/>
                <w:sz w:val="13"/>
                <w:szCs w:val="13"/>
              </w:rPr>
              <w:t>assembly paper</w:t>
            </w:r>
          </w:p>
        </w:tc>
        <w:tc>
          <w:tcPr>
            <w:tcW w:w="1418" w:type="dxa"/>
            <w:vAlign w:val="center"/>
            <w:hideMark/>
          </w:tcPr>
          <w:p w14:paraId="6A3047B3" w14:textId="77777777" w:rsidR="00984734" w:rsidRPr="00984734" w:rsidRDefault="00984734" w:rsidP="00A34860">
            <w:pPr>
              <w:jc w:val="center"/>
              <w:rPr>
                <w:rFonts w:ascii="Arial" w:hAnsi="Arial" w:cs="Arial"/>
                <w:color w:val="196B24"/>
                <w:sz w:val="13"/>
                <w:szCs w:val="13"/>
              </w:rPr>
            </w:pPr>
            <w:r w:rsidRPr="00984734">
              <w:rPr>
                <w:rFonts w:ascii="Arial" w:hAnsi="Arial" w:cs="Arial"/>
                <w:color w:val="196B24"/>
                <w:sz w:val="13"/>
                <w:szCs w:val="13"/>
              </w:rPr>
              <w:t>needed</w:t>
            </w:r>
          </w:p>
        </w:tc>
      </w:tr>
      <w:tr w:rsidR="00984734" w:rsidRPr="00984734" w14:paraId="6DBEF4AD" w14:textId="77777777" w:rsidTr="00A34860">
        <w:trPr>
          <w:trHeight w:val="261"/>
        </w:trPr>
        <w:tc>
          <w:tcPr>
            <w:tcW w:w="1216" w:type="dxa"/>
            <w:vAlign w:val="center"/>
            <w:hideMark/>
          </w:tcPr>
          <w:p w14:paraId="5C5ACFD3"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ISS-124</w:t>
            </w:r>
          </w:p>
        </w:tc>
        <w:tc>
          <w:tcPr>
            <w:tcW w:w="1045" w:type="dxa"/>
            <w:vAlign w:val="center"/>
            <w:hideMark/>
          </w:tcPr>
          <w:p w14:paraId="22E3B1DD"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121850020-1</w:t>
            </w:r>
          </w:p>
        </w:tc>
        <w:tc>
          <w:tcPr>
            <w:tcW w:w="1562" w:type="dxa"/>
            <w:vAlign w:val="center"/>
            <w:hideMark/>
          </w:tcPr>
          <w:p w14:paraId="142B2775"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ISS, US Water System</w:t>
            </w:r>
          </w:p>
        </w:tc>
        <w:tc>
          <w:tcPr>
            <w:tcW w:w="992" w:type="dxa"/>
            <w:vAlign w:val="center"/>
            <w:hideMark/>
          </w:tcPr>
          <w:p w14:paraId="56956182"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2012</w:t>
            </w:r>
          </w:p>
        </w:tc>
        <w:tc>
          <w:tcPr>
            <w:tcW w:w="1847" w:type="dxa"/>
            <w:vAlign w:val="center"/>
            <w:hideMark/>
          </w:tcPr>
          <w:p w14:paraId="3BCAA64C" w14:textId="77777777" w:rsidR="00984734" w:rsidRPr="00984734" w:rsidRDefault="00984734" w:rsidP="00A34860">
            <w:pPr>
              <w:jc w:val="center"/>
              <w:rPr>
                <w:rFonts w:ascii="Arial" w:hAnsi="Arial" w:cs="Arial"/>
                <w:sz w:val="13"/>
                <w:szCs w:val="13"/>
              </w:rPr>
            </w:pPr>
            <w:r w:rsidRPr="00984734">
              <w:rPr>
                <w:rFonts w:ascii="Arial" w:hAnsi="Arial" w:cs="Arial"/>
                <w:sz w:val="13"/>
                <w:szCs w:val="13"/>
              </w:rPr>
              <w:t>PWD Ambient (MCD)</w:t>
            </w:r>
          </w:p>
        </w:tc>
        <w:tc>
          <w:tcPr>
            <w:tcW w:w="1269" w:type="dxa"/>
            <w:vAlign w:val="center"/>
            <w:hideMark/>
          </w:tcPr>
          <w:p w14:paraId="685A84ED" w14:textId="77777777" w:rsidR="00984734" w:rsidRPr="00984734" w:rsidRDefault="00984734" w:rsidP="00A34860">
            <w:pPr>
              <w:jc w:val="center"/>
              <w:rPr>
                <w:rFonts w:ascii="Arial" w:hAnsi="Arial" w:cs="Arial"/>
                <w:color w:val="196B24"/>
                <w:sz w:val="13"/>
                <w:szCs w:val="13"/>
              </w:rPr>
            </w:pPr>
            <w:r w:rsidRPr="00984734">
              <w:rPr>
                <w:rFonts w:ascii="Arial" w:hAnsi="Arial" w:cs="Arial"/>
                <w:color w:val="196B24"/>
                <w:sz w:val="13"/>
                <w:szCs w:val="13"/>
              </w:rPr>
              <w:t>assembly paper</w:t>
            </w:r>
          </w:p>
        </w:tc>
        <w:tc>
          <w:tcPr>
            <w:tcW w:w="1418" w:type="dxa"/>
            <w:vAlign w:val="center"/>
            <w:hideMark/>
          </w:tcPr>
          <w:p w14:paraId="73AA77B3" w14:textId="77777777" w:rsidR="00984734" w:rsidRPr="00984734" w:rsidRDefault="00984734" w:rsidP="00A34860">
            <w:pPr>
              <w:jc w:val="center"/>
              <w:rPr>
                <w:rFonts w:ascii="Arial" w:hAnsi="Arial" w:cs="Arial"/>
                <w:color w:val="196B24"/>
                <w:sz w:val="13"/>
                <w:szCs w:val="13"/>
              </w:rPr>
            </w:pPr>
            <w:r w:rsidRPr="00984734">
              <w:rPr>
                <w:rFonts w:ascii="Arial" w:hAnsi="Arial" w:cs="Arial"/>
                <w:color w:val="196B24"/>
                <w:sz w:val="13"/>
                <w:szCs w:val="13"/>
              </w:rPr>
              <w:t>needed</w:t>
            </w:r>
          </w:p>
        </w:tc>
      </w:tr>
      <w:tr w:rsidR="00984734" w:rsidRPr="00984734" w14:paraId="4611067F" w14:textId="77777777" w:rsidTr="00A34860">
        <w:trPr>
          <w:trHeight w:val="261"/>
        </w:trPr>
        <w:tc>
          <w:tcPr>
            <w:tcW w:w="1216" w:type="dxa"/>
            <w:vAlign w:val="center"/>
            <w:hideMark/>
          </w:tcPr>
          <w:p w14:paraId="51BD8B34"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ISS-127</w:t>
            </w:r>
          </w:p>
        </w:tc>
        <w:tc>
          <w:tcPr>
            <w:tcW w:w="1045" w:type="dxa"/>
            <w:vAlign w:val="center"/>
            <w:hideMark/>
          </w:tcPr>
          <w:p w14:paraId="6F923B8E"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121560035-1</w:t>
            </w:r>
          </w:p>
        </w:tc>
        <w:tc>
          <w:tcPr>
            <w:tcW w:w="1562" w:type="dxa"/>
            <w:vAlign w:val="center"/>
            <w:hideMark/>
          </w:tcPr>
          <w:p w14:paraId="5803A57B"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ISS, Surface</w:t>
            </w:r>
          </w:p>
        </w:tc>
        <w:tc>
          <w:tcPr>
            <w:tcW w:w="992" w:type="dxa"/>
            <w:vAlign w:val="center"/>
            <w:hideMark/>
          </w:tcPr>
          <w:p w14:paraId="1EF032EE"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2012</w:t>
            </w:r>
          </w:p>
        </w:tc>
        <w:tc>
          <w:tcPr>
            <w:tcW w:w="1847" w:type="dxa"/>
            <w:vAlign w:val="center"/>
            <w:hideMark/>
          </w:tcPr>
          <w:p w14:paraId="7FDEA6BB"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U.S. LAB</w:t>
            </w:r>
          </w:p>
        </w:tc>
        <w:tc>
          <w:tcPr>
            <w:tcW w:w="1269" w:type="dxa"/>
            <w:vAlign w:val="center"/>
            <w:hideMark/>
          </w:tcPr>
          <w:p w14:paraId="1BAF3EB5" w14:textId="77777777" w:rsidR="00984734" w:rsidRPr="00984734" w:rsidRDefault="00984734" w:rsidP="00A34860">
            <w:pPr>
              <w:jc w:val="center"/>
              <w:rPr>
                <w:rFonts w:ascii="Arial" w:hAnsi="Arial" w:cs="Arial"/>
                <w:color w:val="196B24"/>
                <w:sz w:val="13"/>
                <w:szCs w:val="13"/>
              </w:rPr>
            </w:pPr>
            <w:r w:rsidRPr="00984734">
              <w:rPr>
                <w:rFonts w:ascii="Arial" w:hAnsi="Arial" w:cs="Arial"/>
                <w:color w:val="196B24"/>
                <w:sz w:val="13"/>
                <w:szCs w:val="13"/>
              </w:rPr>
              <w:t>assembly paper</w:t>
            </w:r>
          </w:p>
        </w:tc>
        <w:tc>
          <w:tcPr>
            <w:tcW w:w="1418" w:type="dxa"/>
            <w:vAlign w:val="center"/>
            <w:hideMark/>
          </w:tcPr>
          <w:p w14:paraId="2D057973" w14:textId="77777777" w:rsidR="00984734" w:rsidRPr="00984734" w:rsidRDefault="00984734" w:rsidP="00A34860">
            <w:pPr>
              <w:jc w:val="center"/>
              <w:rPr>
                <w:rFonts w:ascii="Arial" w:hAnsi="Arial" w:cs="Arial"/>
                <w:color w:val="196B24"/>
                <w:sz w:val="13"/>
                <w:szCs w:val="13"/>
              </w:rPr>
            </w:pPr>
            <w:r w:rsidRPr="00984734">
              <w:rPr>
                <w:rFonts w:ascii="Arial" w:hAnsi="Arial" w:cs="Arial"/>
                <w:color w:val="196B24"/>
                <w:sz w:val="13"/>
                <w:szCs w:val="13"/>
              </w:rPr>
              <w:t>needed</w:t>
            </w:r>
          </w:p>
        </w:tc>
      </w:tr>
      <w:tr w:rsidR="00984734" w:rsidRPr="00984734" w14:paraId="76B062E8" w14:textId="77777777" w:rsidTr="00A34860">
        <w:trPr>
          <w:trHeight w:val="261"/>
        </w:trPr>
        <w:tc>
          <w:tcPr>
            <w:tcW w:w="1216" w:type="dxa"/>
            <w:vAlign w:val="center"/>
            <w:hideMark/>
          </w:tcPr>
          <w:p w14:paraId="16330830"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ISS-131</w:t>
            </w:r>
          </w:p>
        </w:tc>
        <w:tc>
          <w:tcPr>
            <w:tcW w:w="1045" w:type="dxa"/>
            <w:vAlign w:val="center"/>
            <w:hideMark/>
          </w:tcPr>
          <w:p w14:paraId="3ECDC8F1"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132550023-1</w:t>
            </w:r>
          </w:p>
        </w:tc>
        <w:tc>
          <w:tcPr>
            <w:tcW w:w="1562" w:type="dxa"/>
            <w:vAlign w:val="center"/>
            <w:hideMark/>
          </w:tcPr>
          <w:p w14:paraId="77A2A588"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ISS, US Water System</w:t>
            </w:r>
          </w:p>
        </w:tc>
        <w:tc>
          <w:tcPr>
            <w:tcW w:w="992" w:type="dxa"/>
            <w:vAlign w:val="center"/>
            <w:hideMark/>
          </w:tcPr>
          <w:p w14:paraId="35B54665"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2013</w:t>
            </w:r>
          </w:p>
        </w:tc>
        <w:tc>
          <w:tcPr>
            <w:tcW w:w="1847" w:type="dxa"/>
            <w:vAlign w:val="center"/>
            <w:hideMark/>
          </w:tcPr>
          <w:p w14:paraId="065A716D"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PWD Ambient (MCD)</w:t>
            </w:r>
          </w:p>
        </w:tc>
        <w:tc>
          <w:tcPr>
            <w:tcW w:w="1269" w:type="dxa"/>
            <w:vAlign w:val="center"/>
            <w:hideMark/>
          </w:tcPr>
          <w:p w14:paraId="56BE292E" w14:textId="77777777" w:rsidR="00984734" w:rsidRPr="00984734" w:rsidRDefault="00984734" w:rsidP="00A34860">
            <w:pPr>
              <w:jc w:val="center"/>
              <w:rPr>
                <w:rFonts w:ascii="Arial" w:hAnsi="Arial" w:cs="Arial"/>
                <w:color w:val="196B24"/>
                <w:sz w:val="13"/>
                <w:szCs w:val="13"/>
              </w:rPr>
            </w:pPr>
            <w:r w:rsidRPr="00984734">
              <w:rPr>
                <w:rFonts w:ascii="Arial" w:hAnsi="Arial" w:cs="Arial"/>
                <w:color w:val="196B24"/>
                <w:sz w:val="13"/>
                <w:szCs w:val="13"/>
              </w:rPr>
              <w:t>assembly paper</w:t>
            </w:r>
          </w:p>
        </w:tc>
        <w:tc>
          <w:tcPr>
            <w:tcW w:w="1418" w:type="dxa"/>
            <w:vAlign w:val="center"/>
            <w:hideMark/>
          </w:tcPr>
          <w:p w14:paraId="583EA798" w14:textId="77777777" w:rsidR="00984734" w:rsidRPr="00984734" w:rsidRDefault="00984734" w:rsidP="00A34860">
            <w:pPr>
              <w:jc w:val="center"/>
              <w:rPr>
                <w:rFonts w:ascii="Arial" w:hAnsi="Arial" w:cs="Arial"/>
                <w:color w:val="196B24"/>
                <w:sz w:val="13"/>
                <w:szCs w:val="13"/>
              </w:rPr>
            </w:pPr>
            <w:r w:rsidRPr="00984734">
              <w:rPr>
                <w:rFonts w:ascii="Arial" w:hAnsi="Arial" w:cs="Arial"/>
                <w:color w:val="196B24"/>
                <w:sz w:val="13"/>
                <w:szCs w:val="13"/>
              </w:rPr>
              <w:t>needed</w:t>
            </w:r>
          </w:p>
        </w:tc>
      </w:tr>
      <w:tr w:rsidR="00984734" w:rsidRPr="00984734" w14:paraId="1713AA39" w14:textId="77777777" w:rsidTr="00A34860">
        <w:trPr>
          <w:trHeight w:val="261"/>
        </w:trPr>
        <w:tc>
          <w:tcPr>
            <w:tcW w:w="1216" w:type="dxa"/>
            <w:vAlign w:val="center"/>
            <w:hideMark/>
          </w:tcPr>
          <w:p w14:paraId="67CF65AD"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ISS-132</w:t>
            </w:r>
          </w:p>
        </w:tc>
        <w:tc>
          <w:tcPr>
            <w:tcW w:w="1045" w:type="dxa"/>
            <w:vAlign w:val="center"/>
            <w:hideMark/>
          </w:tcPr>
          <w:p w14:paraId="1A7C8062"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132550023-2</w:t>
            </w:r>
          </w:p>
        </w:tc>
        <w:tc>
          <w:tcPr>
            <w:tcW w:w="1562" w:type="dxa"/>
            <w:vAlign w:val="center"/>
            <w:hideMark/>
          </w:tcPr>
          <w:p w14:paraId="3555DD9C"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ISS, US Water System</w:t>
            </w:r>
          </w:p>
        </w:tc>
        <w:tc>
          <w:tcPr>
            <w:tcW w:w="992" w:type="dxa"/>
            <w:vAlign w:val="center"/>
            <w:hideMark/>
          </w:tcPr>
          <w:p w14:paraId="3A237161"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2013</w:t>
            </w:r>
          </w:p>
        </w:tc>
        <w:tc>
          <w:tcPr>
            <w:tcW w:w="1847" w:type="dxa"/>
            <w:vAlign w:val="center"/>
            <w:hideMark/>
          </w:tcPr>
          <w:p w14:paraId="7CC1698E"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PWD Ambient (MCD)</w:t>
            </w:r>
          </w:p>
        </w:tc>
        <w:tc>
          <w:tcPr>
            <w:tcW w:w="1269" w:type="dxa"/>
            <w:vAlign w:val="center"/>
            <w:hideMark/>
          </w:tcPr>
          <w:p w14:paraId="22FB6C31" w14:textId="77777777" w:rsidR="00984734" w:rsidRPr="00984734" w:rsidRDefault="00984734" w:rsidP="00A34860">
            <w:pPr>
              <w:jc w:val="center"/>
              <w:rPr>
                <w:rFonts w:ascii="Arial" w:hAnsi="Arial" w:cs="Arial"/>
                <w:color w:val="196B24"/>
                <w:sz w:val="13"/>
                <w:szCs w:val="13"/>
              </w:rPr>
            </w:pPr>
            <w:r w:rsidRPr="00984734">
              <w:rPr>
                <w:rFonts w:ascii="Arial" w:hAnsi="Arial" w:cs="Arial"/>
                <w:color w:val="196B24"/>
                <w:sz w:val="13"/>
                <w:szCs w:val="13"/>
              </w:rPr>
              <w:t>assembly paper</w:t>
            </w:r>
          </w:p>
        </w:tc>
        <w:tc>
          <w:tcPr>
            <w:tcW w:w="1418" w:type="dxa"/>
            <w:vAlign w:val="center"/>
            <w:hideMark/>
          </w:tcPr>
          <w:p w14:paraId="2272542B" w14:textId="77777777" w:rsidR="00984734" w:rsidRPr="00984734" w:rsidRDefault="00984734" w:rsidP="00A34860">
            <w:pPr>
              <w:jc w:val="center"/>
              <w:rPr>
                <w:rFonts w:ascii="Arial" w:hAnsi="Arial" w:cs="Arial"/>
                <w:color w:val="196B24"/>
                <w:sz w:val="13"/>
                <w:szCs w:val="13"/>
              </w:rPr>
            </w:pPr>
            <w:r w:rsidRPr="00984734">
              <w:rPr>
                <w:rFonts w:ascii="Arial" w:hAnsi="Arial" w:cs="Arial"/>
                <w:color w:val="196B24"/>
                <w:sz w:val="13"/>
                <w:szCs w:val="13"/>
              </w:rPr>
              <w:t>needed</w:t>
            </w:r>
          </w:p>
        </w:tc>
      </w:tr>
      <w:tr w:rsidR="00984734" w:rsidRPr="00984734" w14:paraId="4637AC1D" w14:textId="77777777" w:rsidTr="00A34860">
        <w:trPr>
          <w:trHeight w:val="465"/>
        </w:trPr>
        <w:tc>
          <w:tcPr>
            <w:tcW w:w="1216" w:type="dxa"/>
            <w:noWrap/>
            <w:vAlign w:val="center"/>
            <w:hideMark/>
          </w:tcPr>
          <w:p w14:paraId="687613D0"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JC-0098</w:t>
            </w:r>
          </w:p>
        </w:tc>
        <w:tc>
          <w:tcPr>
            <w:tcW w:w="1045" w:type="dxa"/>
            <w:noWrap/>
            <w:vAlign w:val="center"/>
            <w:hideMark/>
          </w:tcPr>
          <w:p w14:paraId="14E2FADE" w14:textId="53A45781"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IIF7SW.B3A</w:t>
            </w:r>
          </w:p>
        </w:tc>
        <w:tc>
          <w:tcPr>
            <w:tcW w:w="1562" w:type="dxa"/>
            <w:noWrap/>
            <w:vAlign w:val="center"/>
            <w:hideMark/>
          </w:tcPr>
          <w:p w14:paraId="62BEC421"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ISS, Surface</w:t>
            </w:r>
          </w:p>
        </w:tc>
        <w:tc>
          <w:tcPr>
            <w:tcW w:w="992" w:type="dxa"/>
            <w:vAlign w:val="center"/>
            <w:hideMark/>
          </w:tcPr>
          <w:p w14:paraId="4B7709A4"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2015</w:t>
            </w:r>
          </w:p>
        </w:tc>
        <w:tc>
          <w:tcPr>
            <w:tcW w:w="1847" w:type="dxa"/>
            <w:vAlign w:val="center"/>
            <w:hideMark/>
          </w:tcPr>
          <w:p w14:paraId="30B9C8BF"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ISS, lab 3 overhead, near the PWD (LAB)</w:t>
            </w:r>
          </w:p>
        </w:tc>
        <w:tc>
          <w:tcPr>
            <w:tcW w:w="1269" w:type="dxa"/>
            <w:noWrap/>
            <w:vAlign w:val="center"/>
            <w:hideMark/>
          </w:tcPr>
          <w:p w14:paraId="62571E01" w14:textId="45BF607A" w:rsidR="00984734" w:rsidRPr="00927DF5" w:rsidRDefault="00927DF5" w:rsidP="00A34860">
            <w:pPr>
              <w:jc w:val="center"/>
              <w:rPr>
                <w:rFonts w:ascii="Arial" w:hAnsi="Arial" w:cs="Arial"/>
                <w:color w:val="000000" w:themeColor="text1"/>
                <w:sz w:val="13"/>
                <w:szCs w:val="13"/>
              </w:rPr>
            </w:pPr>
            <w:r w:rsidRPr="00927DF5">
              <w:rPr>
                <w:rFonts w:ascii="Arial" w:hAnsi="Arial" w:cs="Arial"/>
                <w:color w:val="000000" w:themeColor="text1"/>
                <w:sz w:val="12"/>
                <w:szCs w:val="12"/>
              </w:rPr>
              <w:t>Lombardino et al.</w:t>
            </w:r>
          </w:p>
        </w:tc>
        <w:tc>
          <w:tcPr>
            <w:tcW w:w="1418" w:type="dxa"/>
            <w:vAlign w:val="center"/>
            <w:hideMark/>
          </w:tcPr>
          <w:p w14:paraId="4326E54E"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JABEOW000000000</w:t>
            </w:r>
            <w:r w:rsidRPr="00984734">
              <w:rPr>
                <w:rFonts w:ascii="Arial" w:hAnsi="Arial" w:cs="Arial"/>
                <w:color w:val="000000"/>
                <w:sz w:val="13"/>
                <w:szCs w:val="13"/>
              </w:rPr>
              <w:br/>
              <w:t>GCF_013002775.1</w:t>
            </w:r>
          </w:p>
        </w:tc>
      </w:tr>
      <w:tr w:rsidR="00927DF5" w:rsidRPr="00984734" w14:paraId="01BA065E" w14:textId="77777777" w:rsidTr="00A34860">
        <w:trPr>
          <w:trHeight w:val="465"/>
        </w:trPr>
        <w:tc>
          <w:tcPr>
            <w:tcW w:w="1216" w:type="dxa"/>
            <w:noWrap/>
            <w:vAlign w:val="center"/>
            <w:hideMark/>
          </w:tcPr>
          <w:p w14:paraId="60D2B903" w14:textId="77777777" w:rsidR="00927DF5" w:rsidRPr="00984734" w:rsidRDefault="00927DF5" w:rsidP="00927DF5">
            <w:pPr>
              <w:jc w:val="center"/>
              <w:rPr>
                <w:rFonts w:ascii="Arial" w:hAnsi="Arial" w:cs="Arial"/>
                <w:color w:val="000000"/>
                <w:sz w:val="13"/>
                <w:szCs w:val="13"/>
              </w:rPr>
            </w:pPr>
            <w:r w:rsidRPr="00984734">
              <w:rPr>
                <w:rFonts w:ascii="Arial" w:hAnsi="Arial" w:cs="Arial"/>
                <w:color w:val="000000"/>
                <w:sz w:val="13"/>
                <w:szCs w:val="13"/>
              </w:rPr>
              <w:t>JC-0100</w:t>
            </w:r>
          </w:p>
        </w:tc>
        <w:tc>
          <w:tcPr>
            <w:tcW w:w="1045" w:type="dxa"/>
            <w:noWrap/>
            <w:vAlign w:val="center"/>
            <w:hideMark/>
          </w:tcPr>
          <w:p w14:paraId="0F109830" w14:textId="77777777" w:rsidR="00927DF5" w:rsidRPr="00984734" w:rsidRDefault="00927DF5" w:rsidP="00927DF5">
            <w:pPr>
              <w:jc w:val="center"/>
              <w:rPr>
                <w:rFonts w:ascii="Arial" w:hAnsi="Arial" w:cs="Arial"/>
                <w:color w:val="000000"/>
                <w:sz w:val="13"/>
                <w:szCs w:val="13"/>
              </w:rPr>
            </w:pPr>
            <w:r w:rsidRPr="00984734">
              <w:rPr>
                <w:rFonts w:ascii="Arial" w:hAnsi="Arial" w:cs="Arial"/>
                <w:color w:val="000000"/>
                <w:sz w:val="13"/>
                <w:szCs w:val="13"/>
              </w:rPr>
              <w:t>IIF7SW.B5</w:t>
            </w:r>
          </w:p>
        </w:tc>
        <w:tc>
          <w:tcPr>
            <w:tcW w:w="1562" w:type="dxa"/>
            <w:noWrap/>
            <w:vAlign w:val="center"/>
            <w:hideMark/>
          </w:tcPr>
          <w:p w14:paraId="0AAB12BA" w14:textId="77777777" w:rsidR="00927DF5" w:rsidRPr="00984734" w:rsidRDefault="00927DF5" w:rsidP="00927DF5">
            <w:pPr>
              <w:jc w:val="center"/>
              <w:rPr>
                <w:rFonts w:ascii="Arial" w:hAnsi="Arial" w:cs="Arial"/>
                <w:color w:val="000000"/>
                <w:sz w:val="13"/>
                <w:szCs w:val="13"/>
              </w:rPr>
            </w:pPr>
            <w:r w:rsidRPr="00984734">
              <w:rPr>
                <w:rFonts w:ascii="Arial" w:hAnsi="Arial" w:cs="Arial"/>
                <w:color w:val="000000"/>
                <w:sz w:val="13"/>
                <w:szCs w:val="13"/>
              </w:rPr>
              <w:t>ISS, Surface</w:t>
            </w:r>
          </w:p>
        </w:tc>
        <w:tc>
          <w:tcPr>
            <w:tcW w:w="992" w:type="dxa"/>
            <w:vAlign w:val="center"/>
            <w:hideMark/>
          </w:tcPr>
          <w:p w14:paraId="5FFA2044" w14:textId="77777777" w:rsidR="00927DF5" w:rsidRPr="00984734" w:rsidRDefault="00927DF5" w:rsidP="00927DF5">
            <w:pPr>
              <w:jc w:val="center"/>
              <w:rPr>
                <w:rFonts w:ascii="Arial" w:hAnsi="Arial" w:cs="Arial"/>
                <w:color w:val="000000"/>
                <w:sz w:val="13"/>
                <w:szCs w:val="13"/>
              </w:rPr>
            </w:pPr>
            <w:r w:rsidRPr="00984734">
              <w:rPr>
                <w:rFonts w:ascii="Arial" w:hAnsi="Arial" w:cs="Arial"/>
                <w:color w:val="000000"/>
                <w:sz w:val="13"/>
                <w:szCs w:val="13"/>
              </w:rPr>
              <w:t>2015</w:t>
            </w:r>
          </w:p>
        </w:tc>
        <w:tc>
          <w:tcPr>
            <w:tcW w:w="1847" w:type="dxa"/>
            <w:vAlign w:val="center"/>
            <w:hideMark/>
          </w:tcPr>
          <w:p w14:paraId="19B4C179" w14:textId="77777777" w:rsidR="00927DF5" w:rsidRPr="00984734" w:rsidRDefault="00927DF5" w:rsidP="00927DF5">
            <w:pPr>
              <w:jc w:val="center"/>
              <w:rPr>
                <w:rFonts w:ascii="Arial" w:hAnsi="Arial" w:cs="Arial"/>
                <w:color w:val="000000"/>
                <w:sz w:val="13"/>
                <w:szCs w:val="13"/>
              </w:rPr>
            </w:pPr>
            <w:r w:rsidRPr="00984734">
              <w:rPr>
                <w:rFonts w:ascii="Arial" w:hAnsi="Arial" w:cs="Arial"/>
                <w:color w:val="000000"/>
                <w:sz w:val="13"/>
                <w:szCs w:val="13"/>
              </w:rPr>
              <w:t>ISS, lab 3 overhead, near the PWD (LAB)</w:t>
            </w:r>
          </w:p>
        </w:tc>
        <w:tc>
          <w:tcPr>
            <w:tcW w:w="1269" w:type="dxa"/>
            <w:noWrap/>
            <w:vAlign w:val="center"/>
            <w:hideMark/>
          </w:tcPr>
          <w:p w14:paraId="466F0098" w14:textId="76127832" w:rsidR="00927DF5" w:rsidRPr="00927DF5" w:rsidRDefault="00927DF5" w:rsidP="00927DF5">
            <w:pPr>
              <w:jc w:val="center"/>
              <w:rPr>
                <w:rFonts w:ascii="Arial" w:hAnsi="Arial" w:cs="Arial"/>
                <w:color w:val="000000" w:themeColor="text1"/>
                <w:sz w:val="13"/>
                <w:szCs w:val="13"/>
              </w:rPr>
            </w:pPr>
            <w:r w:rsidRPr="00927DF5">
              <w:rPr>
                <w:rFonts w:ascii="Arial" w:hAnsi="Arial" w:cs="Arial"/>
                <w:color w:val="000000" w:themeColor="text1"/>
                <w:sz w:val="12"/>
                <w:szCs w:val="12"/>
              </w:rPr>
              <w:t>Lombardino et al.</w:t>
            </w:r>
          </w:p>
        </w:tc>
        <w:tc>
          <w:tcPr>
            <w:tcW w:w="1418" w:type="dxa"/>
            <w:vAlign w:val="center"/>
            <w:hideMark/>
          </w:tcPr>
          <w:p w14:paraId="2B76A58E" w14:textId="77777777" w:rsidR="00927DF5" w:rsidRPr="00984734" w:rsidRDefault="00927DF5" w:rsidP="00927DF5">
            <w:pPr>
              <w:jc w:val="center"/>
              <w:rPr>
                <w:rFonts w:ascii="Arial" w:hAnsi="Arial" w:cs="Arial"/>
                <w:color w:val="000000"/>
                <w:sz w:val="13"/>
                <w:szCs w:val="13"/>
              </w:rPr>
            </w:pPr>
            <w:r w:rsidRPr="00984734">
              <w:rPr>
                <w:rFonts w:ascii="Arial" w:hAnsi="Arial" w:cs="Arial"/>
                <w:color w:val="000000"/>
                <w:sz w:val="13"/>
                <w:szCs w:val="13"/>
              </w:rPr>
              <w:t>JABEOV000000000</w:t>
            </w:r>
            <w:r w:rsidRPr="00984734">
              <w:rPr>
                <w:rFonts w:ascii="Arial" w:hAnsi="Arial" w:cs="Arial"/>
                <w:color w:val="000000"/>
                <w:sz w:val="13"/>
                <w:szCs w:val="13"/>
              </w:rPr>
              <w:br/>
              <w:t>GCF_013002765.1</w:t>
            </w:r>
          </w:p>
        </w:tc>
      </w:tr>
      <w:tr w:rsidR="00984734" w:rsidRPr="00984734" w14:paraId="1049C3E6" w14:textId="77777777" w:rsidTr="00A34860">
        <w:trPr>
          <w:trHeight w:val="261"/>
        </w:trPr>
        <w:tc>
          <w:tcPr>
            <w:tcW w:w="1216" w:type="dxa"/>
            <w:vAlign w:val="center"/>
            <w:hideMark/>
          </w:tcPr>
          <w:p w14:paraId="5892E617" w14:textId="62BDD324"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NBRC.13937</w:t>
            </w:r>
          </w:p>
        </w:tc>
        <w:tc>
          <w:tcPr>
            <w:tcW w:w="1045" w:type="dxa"/>
            <w:vAlign w:val="center"/>
            <w:hideMark/>
          </w:tcPr>
          <w:p w14:paraId="1691E510"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w:t>
            </w:r>
          </w:p>
        </w:tc>
        <w:tc>
          <w:tcPr>
            <w:tcW w:w="1562" w:type="dxa"/>
            <w:vAlign w:val="center"/>
            <w:hideMark/>
          </w:tcPr>
          <w:p w14:paraId="760D6615"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Ground, host</w:t>
            </w:r>
          </w:p>
        </w:tc>
        <w:tc>
          <w:tcPr>
            <w:tcW w:w="992" w:type="dxa"/>
            <w:vAlign w:val="center"/>
            <w:hideMark/>
          </w:tcPr>
          <w:p w14:paraId="7B123A92"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w:t>
            </w:r>
          </w:p>
        </w:tc>
        <w:tc>
          <w:tcPr>
            <w:tcW w:w="1847" w:type="dxa"/>
            <w:vAlign w:val="center"/>
            <w:hideMark/>
          </w:tcPr>
          <w:p w14:paraId="055DF87E"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human blood</w:t>
            </w:r>
          </w:p>
        </w:tc>
        <w:tc>
          <w:tcPr>
            <w:tcW w:w="1269" w:type="dxa"/>
            <w:vAlign w:val="center"/>
            <w:hideMark/>
          </w:tcPr>
          <w:p w14:paraId="01129A39" w14:textId="77777777" w:rsidR="00984734" w:rsidRPr="00927DF5" w:rsidRDefault="00984734" w:rsidP="00A34860">
            <w:pPr>
              <w:jc w:val="center"/>
              <w:rPr>
                <w:rFonts w:ascii="Arial" w:hAnsi="Arial" w:cs="Arial"/>
                <w:color w:val="000000" w:themeColor="text1"/>
                <w:sz w:val="13"/>
                <w:szCs w:val="13"/>
              </w:rPr>
            </w:pPr>
            <w:r w:rsidRPr="00927DF5">
              <w:rPr>
                <w:rFonts w:ascii="Arial" w:hAnsi="Arial" w:cs="Arial"/>
                <w:color w:val="000000" w:themeColor="text1"/>
                <w:sz w:val="13"/>
                <w:szCs w:val="13"/>
              </w:rPr>
              <w:t>-</w:t>
            </w:r>
          </w:p>
        </w:tc>
        <w:tc>
          <w:tcPr>
            <w:tcW w:w="1418" w:type="dxa"/>
            <w:vAlign w:val="center"/>
            <w:hideMark/>
          </w:tcPr>
          <w:p w14:paraId="41B322C5"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GCA_001591005.1</w:t>
            </w:r>
          </w:p>
        </w:tc>
      </w:tr>
      <w:tr w:rsidR="00984734" w:rsidRPr="00984734" w14:paraId="1D2C23D7" w14:textId="77777777" w:rsidTr="00A34860">
        <w:trPr>
          <w:trHeight w:val="261"/>
        </w:trPr>
        <w:tc>
          <w:tcPr>
            <w:tcW w:w="1216" w:type="dxa"/>
            <w:vAlign w:val="center"/>
            <w:hideMark/>
          </w:tcPr>
          <w:p w14:paraId="78ED15CF" w14:textId="2759FFC5"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NP2.R2</w:t>
            </w:r>
          </w:p>
        </w:tc>
        <w:tc>
          <w:tcPr>
            <w:tcW w:w="1045" w:type="dxa"/>
            <w:vAlign w:val="center"/>
            <w:hideMark/>
          </w:tcPr>
          <w:p w14:paraId="3A6A9C70"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w:t>
            </w:r>
          </w:p>
        </w:tc>
        <w:tc>
          <w:tcPr>
            <w:tcW w:w="1562" w:type="dxa"/>
            <w:vAlign w:val="center"/>
            <w:hideMark/>
          </w:tcPr>
          <w:p w14:paraId="2700404B"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Ground, plant</w:t>
            </w:r>
          </w:p>
        </w:tc>
        <w:tc>
          <w:tcPr>
            <w:tcW w:w="992" w:type="dxa"/>
            <w:vAlign w:val="center"/>
            <w:hideMark/>
          </w:tcPr>
          <w:p w14:paraId="4FAF3B49"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2019</w:t>
            </w:r>
          </w:p>
        </w:tc>
        <w:tc>
          <w:tcPr>
            <w:tcW w:w="1847" w:type="dxa"/>
            <w:vAlign w:val="center"/>
            <w:hideMark/>
          </w:tcPr>
          <w:p w14:paraId="108248A6"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morning glory flower</w:t>
            </w:r>
          </w:p>
        </w:tc>
        <w:tc>
          <w:tcPr>
            <w:tcW w:w="1269" w:type="dxa"/>
            <w:vAlign w:val="center"/>
            <w:hideMark/>
          </w:tcPr>
          <w:p w14:paraId="7129B5B5" w14:textId="77777777" w:rsidR="00984734" w:rsidRPr="00927DF5" w:rsidRDefault="00984734" w:rsidP="00A34860">
            <w:pPr>
              <w:jc w:val="center"/>
              <w:rPr>
                <w:rFonts w:ascii="Arial" w:hAnsi="Arial" w:cs="Arial"/>
                <w:color w:val="000000" w:themeColor="text1"/>
                <w:sz w:val="13"/>
                <w:szCs w:val="13"/>
              </w:rPr>
            </w:pPr>
            <w:r w:rsidRPr="00927DF5">
              <w:rPr>
                <w:rFonts w:ascii="Arial" w:hAnsi="Arial" w:cs="Arial"/>
                <w:color w:val="000000" w:themeColor="text1"/>
                <w:sz w:val="13"/>
                <w:szCs w:val="13"/>
              </w:rPr>
              <w:t>-</w:t>
            </w:r>
          </w:p>
        </w:tc>
        <w:tc>
          <w:tcPr>
            <w:tcW w:w="1418" w:type="dxa"/>
            <w:vAlign w:val="center"/>
            <w:hideMark/>
          </w:tcPr>
          <w:p w14:paraId="682CE3CD"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GCA_019297835.1</w:t>
            </w:r>
          </w:p>
        </w:tc>
      </w:tr>
      <w:tr w:rsidR="00984734" w:rsidRPr="00984734" w14:paraId="0BE0C40B" w14:textId="77777777" w:rsidTr="00A34860">
        <w:trPr>
          <w:trHeight w:val="261"/>
        </w:trPr>
        <w:tc>
          <w:tcPr>
            <w:tcW w:w="1216" w:type="dxa"/>
            <w:vAlign w:val="center"/>
            <w:hideMark/>
          </w:tcPr>
          <w:p w14:paraId="4167A5F4"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NS258</w:t>
            </w:r>
          </w:p>
        </w:tc>
        <w:tc>
          <w:tcPr>
            <w:tcW w:w="1045" w:type="dxa"/>
            <w:vAlign w:val="center"/>
            <w:hideMark/>
          </w:tcPr>
          <w:p w14:paraId="405659FB"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w:t>
            </w:r>
          </w:p>
        </w:tc>
        <w:tc>
          <w:tcPr>
            <w:tcW w:w="1562" w:type="dxa"/>
            <w:vAlign w:val="center"/>
            <w:hideMark/>
          </w:tcPr>
          <w:p w14:paraId="4BC6D1F1"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Ground, plant</w:t>
            </w:r>
          </w:p>
        </w:tc>
        <w:tc>
          <w:tcPr>
            <w:tcW w:w="992" w:type="dxa"/>
            <w:vAlign w:val="center"/>
            <w:hideMark/>
          </w:tcPr>
          <w:p w14:paraId="2570E9A3"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2013</w:t>
            </w:r>
          </w:p>
        </w:tc>
        <w:tc>
          <w:tcPr>
            <w:tcW w:w="1847" w:type="dxa"/>
            <w:vAlign w:val="center"/>
            <w:hideMark/>
          </w:tcPr>
          <w:p w14:paraId="77BFD8F2"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Rice Seed</w:t>
            </w:r>
          </w:p>
        </w:tc>
        <w:tc>
          <w:tcPr>
            <w:tcW w:w="1269" w:type="dxa"/>
            <w:vAlign w:val="center"/>
            <w:hideMark/>
          </w:tcPr>
          <w:p w14:paraId="15F2A7BD" w14:textId="65854E9E" w:rsidR="00984734" w:rsidRPr="00927DF5" w:rsidRDefault="00984734" w:rsidP="00A34860">
            <w:pPr>
              <w:jc w:val="center"/>
              <w:rPr>
                <w:rFonts w:ascii="Arial" w:hAnsi="Arial" w:cs="Arial"/>
                <w:color w:val="000000" w:themeColor="text1"/>
                <w:sz w:val="13"/>
                <w:szCs w:val="13"/>
              </w:rPr>
            </w:pPr>
            <w:r w:rsidRPr="00927DF5">
              <w:rPr>
                <w:rFonts w:ascii="Arial" w:hAnsi="Arial" w:cs="Arial"/>
                <w:color w:val="000000" w:themeColor="text1"/>
                <w:sz w:val="13"/>
                <w:szCs w:val="13"/>
              </w:rPr>
              <w:t>-</w:t>
            </w:r>
          </w:p>
        </w:tc>
        <w:tc>
          <w:tcPr>
            <w:tcW w:w="1418" w:type="dxa"/>
            <w:vAlign w:val="center"/>
            <w:hideMark/>
          </w:tcPr>
          <w:p w14:paraId="1919BFD3"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GCA_001477315.1</w:t>
            </w:r>
          </w:p>
        </w:tc>
      </w:tr>
      <w:tr w:rsidR="00984734" w:rsidRPr="00984734" w14:paraId="66E02805" w14:textId="77777777" w:rsidTr="00A34860">
        <w:trPr>
          <w:trHeight w:val="261"/>
        </w:trPr>
        <w:tc>
          <w:tcPr>
            <w:tcW w:w="1216" w:type="dxa"/>
            <w:vAlign w:val="center"/>
            <w:hideMark/>
          </w:tcPr>
          <w:p w14:paraId="48CD8AED"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NS319</w:t>
            </w:r>
          </w:p>
        </w:tc>
        <w:tc>
          <w:tcPr>
            <w:tcW w:w="1045" w:type="dxa"/>
            <w:vAlign w:val="center"/>
            <w:hideMark/>
          </w:tcPr>
          <w:p w14:paraId="10577107"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w:t>
            </w:r>
          </w:p>
        </w:tc>
        <w:tc>
          <w:tcPr>
            <w:tcW w:w="1562" w:type="dxa"/>
            <w:vAlign w:val="center"/>
            <w:hideMark/>
          </w:tcPr>
          <w:p w14:paraId="0597E599"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Ground, plant</w:t>
            </w:r>
          </w:p>
        </w:tc>
        <w:tc>
          <w:tcPr>
            <w:tcW w:w="992" w:type="dxa"/>
            <w:vAlign w:val="center"/>
            <w:hideMark/>
          </w:tcPr>
          <w:p w14:paraId="2F4FE012"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2015</w:t>
            </w:r>
          </w:p>
        </w:tc>
        <w:tc>
          <w:tcPr>
            <w:tcW w:w="1847" w:type="dxa"/>
            <w:vAlign w:val="center"/>
            <w:hideMark/>
          </w:tcPr>
          <w:p w14:paraId="2653E2F0"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Rice</w:t>
            </w:r>
          </w:p>
        </w:tc>
        <w:tc>
          <w:tcPr>
            <w:tcW w:w="1269" w:type="dxa"/>
            <w:noWrap/>
            <w:vAlign w:val="center"/>
            <w:hideMark/>
          </w:tcPr>
          <w:p w14:paraId="7B35E734" w14:textId="4777C003" w:rsidR="00984734" w:rsidRPr="00927DF5" w:rsidRDefault="00927DF5" w:rsidP="00A34860">
            <w:pPr>
              <w:jc w:val="center"/>
              <w:rPr>
                <w:rFonts w:ascii="Arial" w:hAnsi="Arial" w:cs="Arial"/>
                <w:color w:val="000000" w:themeColor="text1"/>
                <w:sz w:val="13"/>
                <w:szCs w:val="13"/>
              </w:rPr>
            </w:pPr>
            <w:r w:rsidRPr="00927DF5">
              <w:rPr>
                <w:rFonts w:ascii="Arial" w:hAnsi="Arial" w:cs="Arial"/>
                <w:color w:val="000000" w:themeColor="text1"/>
                <w:sz w:val="12"/>
                <w:szCs w:val="12"/>
              </w:rPr>
              <w:t>Midha et al.</w:t>
            </w:r>
          </w:p>
        </w:tc>
        <w:tc>
          <w:tcPr>
            <w:tcW w:w="1418" w:type="dxa"/>
            <w:vAlign w:val="center"/>
            <w:hideMark/>
          </w:tcPr>
          <w:p w14:paraId="5DF3A3CF"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GCF_001476495.1</w:t>
            </w:r>
          </w:p>
        </w:tc>
      </w:tr>
      <w:tr w:rsidR="00927DF5" w:rsidRPr="00984734" w14:paraId="6A228031" w14:textId="77777777" w:rsidTr="00A34860">
        <w:trPr>
          <w:trHeight w:val="261"/>
        </w:trPr>
        <w:tc>
          <w:tcPr>
            <w:tcW w:w="1216" w:type="dxa"/>
            <w:vAlign w:val="center"/>
            <w:hideMark/>
          </w:tcPr>
          <w:p w14:paraId="406C3044" w14:textId="77777777" w:rsidR="00927DF5" w:rsidRPr="00984734" w:rsidRDefault="00927DF5" w:rsidP="00927DF5">
            <w:pPr>
              <w:jc w:val="center"/>
              <w:rPr>
                <w:rFonts w:ascii="Arial" w:hAnsi="Arial" w:cs="Arial"/>
                <w:color w:val="000000"/>
                <w:sz w:val="13"/>
                <w:szCs w:val="13"/>
              </w:rPr>
            </w:pPr>
            <w:r w:rsidRPr="00984734">
              <w:rPr>
                <w:rFonts w:ascii="Arial" w:hAnsi="Arial" w:cs="Arial"/>
                <w:color w:val="000000"/>
                <w:sz w:val="13"/>
                <w:szCs w:val="13"/>
              </w:rPr>
              <w:t>SB4</w:t>
            </w:r>
          </w:p>
        </w:tc>
        <w:tc>
          <w:tcPr>
            <w:tcW w:w="1045" w:type="dxa"/>
            <w:vAlign w:val="center"/>
            <w:hideMark/>
          </w:tcPr>
          <w:p w14:paraId="1184827D" w14:textId="77777777" w:rsidR="00927DF5" w:rsidRPr="00984734" w:rsidRDefault="00927DF5" w:rsidP="00927DF5">
            <w:pPr>
              <w:jc w:val="center"/>
              <w:rPr>
                <w:rFonts w:ascii="Arial" w:hAnsi="Arial" w:cs="Arial"/>
                <w:color w:val="000000"/>
                <w:sz w:val="13"/>
                <w:szCs w:val="13"/>
              </w:rPr>
            </w:pPr>
            <w:r w:rsidRPr="00984734">
              <w:rPr>
                <w:rFonts w:ascii="Arial" w:hAnsi="Arial" w:cs="Arial"/>
                <w:color w:val="000000"/>
                <w:sz w:val="13"/>
                <w:szCs w:val="13"/>
              </w:rPr>
              <w:t>-</w:t>
            </w:r>
          </w:p>
        </w:tc>
        <w:tc>
          <w:tcPr>
            <w:tcW w:w="1562" w:type="dxa"/>
            <w:vAlign w:val="center"/>
            <w:hideMark/>
          </w:tcPr>
          <w:p w14:paraId="238EAA76" w14:textId="77777777" w:rsidR="00927DF5" w:rsidRPr="00984734" w:rsidRDefault="00927DF5" w:rsidP="00927DF5">
            <w:pPr>
              <w:jc w:val="center"/>
              <w:rPr>
                <w:rFonts w:ascii="Arial" w:hAnsi="Arial" w:cs="Arial"/>
                <w:color w:val="000000"/>
                <w:sz w:val="13"/>
                <w:szCs w:val="13"/>
              </w:rPr>
            </w:pPr>
            <w:r w:rsidRPr="00984734">
              <w:rPr>
                <w:rFonts w:ascii="Arial" w:hAnsi="Arial" w:cs="Arial"/>
                <w:color w:val="000000"/>
                <w:sz w:val="13"/>
                <w:szCs w:val="13"/>
              </w:rPr>
              <w:t>Ground, plant</w:t>
            </w:r>
          </w:p>
        </w:tc>
        <w:tc>
          <w:tcPr>
            <w:tcW w:w="992" w:type="dxa"/>
            <w:vAlign w:val="center"/>
            <w:hideMark/>
          </w:tcPr>
          <w:p w14:paraId="332E3B6C" w14:textId="77777777" w:rsidR="00927DF5" w:rsidRPr="00984734" w:rsidRDefault="00927DF5" w:rsidP="00927DF5">
            <w:pPr>
              <w:jc w:val="center"/>
              <w:rPr>
                <w:rFonts w:ascii="Arial" w:hAnsi="Arial" w:cs="Arial"/>
                <w:color w:val="000000"/>
                <w:sz w:val="13"/>
                <w:szCs w:val="13"/>
              </w:rPr>
            </w:pPr>
            <w:r w:rsidRPr="00984734">
              <w:rPr>
                <w:rFonts w:ascii="Arial" w:hAnsi="Arial" w:cs="Arial"/>
                <w:color w:val="000000"/>
                <w:sz w:val="13"/>
                <w:szCs w:val="13"/>
              </w:rPr>
              <w:t>2015</w:t>
            </w:r>
          </w:p>
        </w:tc>
        <w:tc>
          <w:tcPr>
            <w:tcW w:w="1847" w:type="dxa"/>
            <w:vAlign w:val="center"/>
            <w:hideMark/>
          </w:tcPr>
          <w:p w14:paraId="0FAA6DD0" w14:textId="77777777" w:rsidR="00927DF5" w:rsidRPr="00984734" w:rsidRDefault="00927DF5" w:rsidP="00927DF5">
            <w:pPr>
              <w:jc w:val="center"/>
              <w:rPr>
                <w:rFonts w:ascii="Arial" w:hAnsi="Arial" w:cs="Arial"/>
                <w:color w:val="000000"/>
                <w:sz w:val="13"/>
                <w:szCs w:val="13"/>
              </w:rPr>
            </w:pPr>
            <w:r w:rsidRPr="00984734">
              <w:rPr>
                <w:rFonts w:ascii="Arial" w:hAnsi="Arial" w:cs="Arial"/>
                <w:color w:val="000000"/>
                <w:sz w:val="13"/>
                <w:szCs w:val="13"/>
              </w:rPr>
              <w:t>Rice</w:t>
            </w:r>
          </w:p>
        </w:tc>
        <w:tc>
          <w:tcPr>
            <w:tcW w:w="1269" w:type="dxa"/>
            <w:noWrap/>
            <w:vAlign w:val="center"/>
            <w:hideMark/>
          </w:tcPr>
          <w:p w14:paraId="1843744B" w14:textId="24264D2C" w:rsidR="00927DF5" w:rsidRPr="00927DF5" w:rsidRDefault="00927DF5" w:rsidP="00927DF5">
            <w:pPr>
              <w:jc w:val="center"/>
              <w:rPr>
                <w:rFonts w:ascii="Arial" w:hAnsi="Arial" w:cs="Arial"/>
                <w:color w:val="000000" w:themeColor="text1"/>
                <w:sz w:val="13"/>
                <w:szCs w:val="13"/>
              </w:rPr>
            </w:pPr>
            <w:r w:rsidRPr="00927DF5">
              <w:rPr>
                <w:rFonts w:ascii="Arial" w:hAnsi="Arial" w:cs="Arial"/>
                <w:color w:val="000000" w:themeColor="text1"/>
                <w:sz w:val="12"/>
                <w:szCs w:val="12"/>
              </w:rPr>
              <w:t>Midha et al.</w:t>
            </w:r>
          </w:p>
        </w:tc>
        <w:tc>
          <w:tcPr>
            <w:tcW w:w="1418" w:type="dxa"/>
            <w:vAlign w:val="center"/>
            <w:hideMark/>
          </w:tcPr>
          <w:p w14:paraId="6ED12FC5" w14:textId="77777777" w:rsidR="00927DF5" w:rsidRPr="00984734" w:rsidRDefault="00927DF5" w:rsidP="00927DF5">
            <w:pPr>
              <w:jc w:val="center"/>
              <w:rPr>
                <w:rFonts w:ascii="Arial" w:hAnsi="Arial" w:cs="Arial"/>
                <w:color w:val="000000"/>
                <w:sz w:val="13"/>
                <w:szCs w:val="13"/>
              </w:rPr>
            </w:pPr>
            <w:r w:rsidRPr="00984734">
              <w:rPr>
                <w:rFonts w:ascii="Arial" w:hAnsi="Arial" w:cs="Arial"/>
                <w:color w:val="000000"/>
                <w:sz w:val="13"/>
                <w:szCs w:val="13"/>
              </w:rPr>
              <w:t>GCF_001476905.1</w:t>
            </w:r>
          </w:p>
        </w:tc>
      </w:tr>
      <w:tr w:rsidR="00984734" w:rsidRPr="00984734" w14:paraId="6A394F8D" w14:textId="77777777" w:rsidTr="00A34860">
        <w:trPr>
          <w:trHeight w:val="261"/>
        </w:trPr>
        <w:tc>
          <w:tcPr>
            <w:tcW w:w="1216" w:type="dxa"/>
            <w:vAlign w:val="center"/>
            <w:hideMark/>
          </w:tcPr>
          <w:p w14:paraId="489CB9BB"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OsEp_Plm_15B2</w:t>
            </w:r>
          </w:p>
        </w:tc>
        <w:tc>
          <w:tcPr>
            <w:tcW w:w="1045" w:type="dxa"/>
            <w:vAlign w:val="center"/>
            <w:hideMark/>
          </w:tcPr>
          <w:p w14:paraId="3F8E2448"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w:t>
            </w:r>
          </w:p>
        </w:tc>
        <w:tc>
          <w:tcPr>
            <w:tcW w:w="1562" w:type="dxa"/>
            <w:vAlign w:val="center"/>
            <w:hideMark/>
          </w:tcPr>
          <w:p w14:paraId="4B12C6D5"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Ground, plant</w:t>
            </w:r>
          </w:p>
        </w:tc>
        <w:tc>
          <w:tcPr>
            <w:tcW w:w="992" w:type="dxa"/>
            <w:vAlign w:val="center"/>
            <w:hideMark/>
          </w:tcPr>
          <w:p w14:paraId="2A62A9B4"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2023</w:t>
            </w:r>
          </w:p>
        </w:tc>
        <w:tc>
          <w:tcPr>
            <w:tcW w:w="1847" w:type="dxa"/>
            <w:vAlign w:val="center"/>
            <w:hideMark/>
          </w:tcPr>
          <w:p w14:paraId="26152D71"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Rice</w:t>
            </w:r>
          </w:p>
        </w:tc>
        <w:tc>
          <w:tcPr>
            <w:tcW w:w="1269" w:type="dxa"/>
            <w:vAlign w:val="center"/>
            <w:hideMark/>
          </w:tcPr>
          <w:p w14:paraId="157D13BB" w14:textId="77777777" w:rsidR="00984734" w:rsidRPr="00927DF5" w:rsidRDefault="00984734" w:rsidP="00A34860">
            <w:pPr>
              <w:jc w:val="center"/>
              <w:rPr>
                <w:rFonts w:ascii="Arial" w:hAnsi="Arial" w:cs="Arial"/>
                <w:color w:val="000000" w:themeColor="text1"/>
                <w:sz w:val="13"/>
                <w:szCs w:val="13"/>
              </w:rPr>
            </w:pPr>
            <w:r w:rsidRPr="00927DF5">
              <w:rPr>
                <w:rFonts w:ascii="Arial" w:hAnsi="Arial" w:cs="Arial"/>
                <w:color w:val="000000" w:themeColor="text1"/>
                <w:sz w:val="13"/>
                <w:szCs w:val="13"/>
              </w:rPr>
              <w:t>-</w:t>
            </w:r>
          </w:p>
        </w:tc>
        <w:tc>
          <w:tcPr>
            <w:tcW w:w="1418" w:type="dxa"/>
            <w:vAlign w:val="center"/>
            <w:hideMark/>
          </w:tcPr>
          <w:p w14:paraId="7A6AB1F0"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GCF_034505315.1</w:t>
            </w:r>
          </w:p>
        </w:tc>
      </w:tr>
      <w:tr w:rsidR="00984734" w:rsidRPr="00984734" w14:paraId="1E98E745" w14:textId="77777777" w:rsidTr="00A34860">
        <w:trPr>
          <w:trHeight w:val="261"/>
        </w:trPr>
        <w:tc>
          <w:tcPr>
            <w:tcW w:w="1216" w:type="dxa"/>
            <w:vAlign w:val="center"/>
            <w:hideMark/>
          </w:tcPr>
          <w:p w14:paraId="33ADCEBB"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VD7</w:t>
            </w:r>
          </w:p>
        </w:tc>
        <w:tc>
          <w:tcPr>
            <w:tcW w:w="1045" w:type="dxa"/>
            <w:vAlign w:val="center"/>
            <w:hideMark/>
          </w:tcPr>
          <w:p w14:paraId="2DE0B51A"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w:t>
            </w:r>
          </w:p>
        </w:tc>
        <w:tc>
          <w:tcPr>
            <w:tcW w:w="1562" w:type="dxa"/>
            <w:vAlign w:val="center"/>
            <w:hideMark/>
          </w:tcPr>
          <w:p w14:paraId="20905FC5"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Ground, host</w:t>
            </w:r>
          </w:p>
        </w:tc>
        <w:tc>
          <w:tcPr>
            <w:tcW w:w="992" w:type="dxa"/>
            <w:vAlign w:val="center"/>
            <w:hideMark/>
          </w:tcPr>
          <w:p w14:paraId="5DB6BA51"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2024</w:t>
            </w:r>
          </w:p>
        </w:tc>
        <w:tc>
          <w:tcPr>
            <w:tcW w:w="1847" w:type="dxa"/>
            <w:vAlign w:val="center"/>
            <w:hideMark/>
          </w:tcPr>
          <w:p w14:paraId="4616A6A4"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Mosquito</w:t>
            </w:r>
          </w:p>
        </w:tc>
        <w:tc>
          <w:tcPr>
            <w:tcW w:w="1269" w:type="dxa"/>
            <w:vAlign w:val="center"/>
            <w:hideMark/>
          </w:tcPr>
          <w:p w14:paraId="6E03CD06" w14:textId="77777777" w:rsidR="00984734" w:rsidRPr="00927DF5" w:rsidRDefault="00984734" w:rsidP="00A34860">
            <w:pPr>
              <w:jc w:val="center"/>
              <w:rPr>
                <w:rFonts w:ascii="Arial" w:hAnsi="Arial" w:cs="Arial"/>
                <w:color w:val="000000" w:themeColor="text1"/>
                <w:sz w:val="13"/>
                <w:szCs w:val="13"/>
              </w:rPr>
            </w:pPr>
            <w:r w:rsidRPr="00927DF5">
              <w:rPr>
                <w:rFonts w:ascii="Arial" w:hAnsi="Arial" w:cs="Arial"/>
                <w:color w:val="000000" w:themeColor="text1"/>
                <w:sz w:val="13"/>
                <w:szCs w:val="13"/>
              </w:rPr>
              <w:t>-</w:t>
            </w:r>
          </w:p>
        </w:tc>
        <w:tc>
          <w:tcPr>
            <w:tcW w:w="1418" w:type="dxa"/>
            <w:vAlign w:val="center"/>
            <w:hideMark/>
          </w:tcPr>
          <w:p w14:paraId="22DD4B27"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GCF_037149935.1</w:t>
            </w:r>
          </w:p>
        </w:tc>
      </w:tr>
      <w:tr w:rsidR="00984734" w:rsidRPr="00984734" w14:paraId="287F97DF" w14:textId="77777777" w:rsidTr="00A34860">
        <w:trPr>
          <w:trHeight w:val="280"/>
        </w:trPr>
        <w:tc>
          <w:tcPr>
            <w:tcW w:w="1216" w:type="dxa"/>
            <w:vAlign w:val="center"/>
            <w:hideMark/>
          </w:tcPr>
          <w:p w14:paraId="6AECFC35"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Fu_MAG_142</w:t>
            </w:r>
          </w:p>
        </w:tc>
        <w:tc>
          <w:tcPr>
            <w:tcW w:w="1045" w:type="dxa"/>
            <w:vAlign w:val="center"/>
            <w:hideMark/>
          </w:tcPr>
          <w:p w14:paraId="20947BA9"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w:t>
            </w:r>
          </w:p>
        </w:tc>
        <w:tc>
          <w:tcPr>
            <w:tcW w:w="1562" w:type="dxa"/>
            <w:vAlign w:val="center"/>
            <w:hideMark/>
          </w:tcPr>
          <w:p w14:paraId="7B58C65A"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Ground, water</w:t>
            </w:r>
          </w:p>
        </w:tc>
        <w:tc>
          <w:tcPr>
            <w:tcW w:w="992" w:type="dxa"/>
            <w:vAlign w:val="center"/>
            <w:hideMark/>
          </w:tcPr>
          <w:p w14:paraId="17BE613C"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2023</w:t>
            </w:r>
          </w:p>
        </w:tc>
        <w:tc>
          <w:tcPr>
            <w:tcW w:w="1847" w:type="dxa"/>
            <w:vAlign w:val="center"/>
            <w:hideMark/>
          </w:tcPr>
          <w:p w14:paraId="7DA4FBE8"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Seawater</w:t>
            </w:r>
          </w:p>
        </w:tc>
        <w:tc>
          <w:tcPr>
            <w:tcW w:w="1269" w:type="dxa"/>
            <w:noWrap/>
            <w:vAlign w:val="center"/>
            <w:hideMark/>
          </w:tcPr>
          <w:p w14:paraId="3D60ED91" w14:textId="5E7A8239" w:rsidR="00984734" w:rsidRPr="00927DF5" w:rsidRDefault="00927DF5" w:rsidP="00A34860">
            <w:pPr>
              <w:jc w:val="center"/>
              <w:rPr>
                <w:rFonts w:ascii="Arial" w:hAnsi="Arial" w:cs="Arial"/>
                <w:color w:val="000000" w:themeColor="text1"/>
                <w:sz w:val="13"/>
                <w:szCs w:val="13"/>
              </w:rPr>
            </w:pPr>
            <w:r w:rsidRPr="00927DF5">
              <w:rPr>
                <w:rFonts w:ascii="Arial" w:hAnsi="Arial" w:cs="Arial"/>
                <w:color w:val="000000" w:themeColor="text1"/>
                <w:sz w:val="12"/>
                <w:szCs w:val="12"/>
              </w:rPr>
              <w:t>Zhang et al.</w:t>
            </w:r>
          </w:p>
        </w:tc>
        <w:tc>
          <w:tcPr>
            <w:tcW w:w="1418" w:type="dxa"/>
            <w:vAlign w:val="center"/>
            <w:hideMark/>
          </w:tcPr>
          <w:p w14:paraId="4A8697EF" w14:textId="77777777" w:rsidR="00984734" w:rsidRPr="00984734" w:rsidRDefault="00984734" w:rsidP="00A34860">
            <w:pPr>
              <w:jc w:val="center"/>
              <w:rPr>
                <w:rFonts w:ascii="Arial" w:hAnsi="Arial" w:cs="Arial"/>
                <w:color w:val="000000"/>
                <w:sz w:val="13"/>
                <w:szCs w:val="13"/>
              </w:rPr>
            </w:pPr>
            <w:r w:rsidRPr="00984734">
              <w:rPr>
                <w:rFonts w:ascii="Arial" w:hAnsi="Arial" w:cs="Arial"/>
                <w:color w:val="000000"/>
                <w:sz w:val="13"/>
                <w:szCs w:val="13"/>
              </w:rPr>
              <w:t>GCF_036011745.1</w:t>
            </w:r>
          </w:p>
        </w:tc>
      </w:tr>
    </w:tbl>
    <w:p w14:paraId="7CF0F476" w14:textId="77777777" w:rsidR="00984734" w:rsidRDefault="00984734" w:rsidP="00984734">
      <w:pPr>
        <w:rPr>
          <w:rFonts w:ascii="Arial" w:hAnsi="Arial" w:cs="Arial"/>
          <w:color w:val="000000"/>
          <w:sz w:val="13"/>
          <w:szCs w:val="13"/>
        </w:rPr>
      </w:pPr>
    </w:p>
    <w:p w14:paraId="52711F06" w14:textId="77777777" w:rsidR="00047A75" w:rsidRDefault="00047A75" w:rsidP="00984734">
      <w:pPr>
        <w:rPr>
          <w:rFonts w:ascii="Arial" w:hAnsi="Arial" w:cs="Arial"/>
          <w:color w:val="000000"/>
          <w:sz w:val="13"/>
          <w:szCs w:val="13"/>
        </w:rPr>
      </w:pPr>
    </w:p>
    <w:p w14:paraId="79013B69" w14:textId="70CBED55" w:rsidR="001E6DA7" w:rsidRPr="001E6DA7" w:rsidRDefault="00984734" w:rsidP="00984734">
      <w:pPr>
        <w:rPr>
          <w:rFonts w:ascii="Arial" w:hAnsi="Arial" w:cs="Arial"/>
          <w:color w:val="00B050"/>
          <w:sz w:val="12"/>
          <w:szCs w:val="12"/>
        </w:rPr>
      </w:pPr>
      <w:r w:rsidRPr="001E6DA7">
        <w:rPr>
          <w:rFonts w:ascii="Arial" w:hAnsi="Arial" w:cs="Arial"/>
          <w:color w:val="00B050"/>
          <w:sz w:val="12"/>
          <w:szCs w:val="12"/>
        </w:rPr>
        <w:t>Reference[</w:t>
      </w:r>
      <w:r w:rsidR="001E6DA7">
        <w:rPr>
          <w:rFonts w:ascii="Arial" w:hAnsi="Arial" w:cs="Arial"/>
          <w:color w:val="00B050"/>
          <w:sz w:val="12"/>
          <w:szCs w:val="12"/>
        </w:rPr>
        <w:t>t1</w:t>
      </w:r>
      <w:r w:rsidRPr="001E6DA7">
        <w:rPr>
          <w:rFonts w:ascii="Arial" w:hAnsi="Arial" w:cs="Arial"/>
          <w:color w:val="00B050"/>
          <w:sz w:val="12"/>
          <w:szCs w:val="12"/>
        </w:rPr>
        <w:t xml:space="preserve">] </w:t>
      </w:r>
    </w:p>
    <w:p w14:paraId="1F0E35C2" w14:textId="321C0BE6" w:rsidR="00984734" w:rsidRPr="001E6DA7" w:rsidRDefault="00984734" w:rsidP="00984734">
      <w:pPr>
        <w:rPr>
          <w:rFonts w:ascii="Arial" w:hAnsi="Arial" w:cs="Arial"/>
          <w:color w:val="00B050"/>
          <w:sz w:val="12"/>
          <w:szCs w:val="12"/>
        </w:rPr>
      </w:pPr>
      <w:r w:rsidRPr="001E6DA7">
        <w:rPr>
          <w:rFonts w:ascii="Arial" w:hAnsi="Arial" w:cs="Arial"/>
          <w:color w:val="00B050"/>
          <w:sz w:val="12"/>
          <w:szCs w:val="12"/>
        </w:rPr>
        <w:t>Lombardino J, Bijlani S, Singh NK, Wood JM, Barker R, Gilroy S, Wang CCC, Venkateswaran K. Genomic Characterization of Potential Plant Growth-Promoting Features of Sphingomonas Strains Isolated from the International Space Station. Microbiol Spectr. 2022 Feb 23;10(1):e0199421. doi: 10.1128/spectrum.01994-21. Epub 2022 Jan 12. PMID: 35019675; PMCID: PMC8754149.</w:t>
      </w:r>
    </w:p>
    <w:p w14:paraId="278E6BCA" w14:textId="77777777" w:rsidR="001E6DA7" w:rsidRPr="001E6DA7" w:rsidRDefault="001E6DA7" w:rsidP="00984734">
      <w:pPr>
        <w:rPr>
          <w:rFonts w:ascii="Arial" w:hAnsi="Arial" w:cs="Arial"/>
          <w:color w:val="00B050"/>
          <w:sz w:val="12"/>
          <w:szCs w:val="12"/>
        </w:rPr>
      </w:pPr>
    </w:p>
    <w:p w14:paraId="68F404D5" w14:textId="0137D412" w:rsidR="001E6DA7" w:rsidRPr="001E6DA7" w:rsidRDefault="00984734" w:rsidP="00984734">
      <w:pPr>
        <w:rPr>
          <w:rFonts w:ascii="Arial" w:hAnsi="Arial" w:cs="Arial"/>
          <w:color w:val="00B050"/>
          <w:sz w:val="12"/>
          <w:szCs w:val="12"/>
        </w:rPr>
      </w:pPr>
      <w:r w:rsidRPr="001E6DA7">
        <w:rPr>
          <w:rFonts w:ascii="Arial" w:hAnsi="Arial" w:cs="Arial"/>
          <w:color w:val="00B050"/>
          <w:sz w:val="12"/>
          <w:szCs w:val="12"/>
        </w:rPr>
        <w:t>Reference[</w:t>
      </w:r>
      <w:r w:rsidR="001E6DA7">
        <w:rPr>
          <w:rFonts w:ascii="Arial" w:hAnsi="Arial" w:cs="Arial"/>
          <w:color w:val="00B050"/>
          <w:sz w:val="12"/>
          <w:szCs w:val="12"/>
        </w:rPr>
        <w:t>t2</w:t>
      </w:r>
      <w:r w:rsidRPr="001E6DA7">
        <w:rPr>
          <w:rFonts w:ascii="Arial" w:hAnsi="Arial" w:cs="Arial"/>
          <w:color w:val="00B050"/>
          <w:sz w:val="12"/>
          <w:szCs w:val="12"/>
        </w:rPr>
        <w:t xml:space="preserve">] </w:t>
      </w:r>
    </w:p>
    <w:p w14:paraId="43576962" w14:textId="746A60B4" w:rsidR="00984734" w:rsidRPr="001E6DA7" w:rsidRDefault="00984734" w:rsidP="00984734">
      <w:pPr>
        <w:rPr>
          <w:rFonts w:ascii="Arial" w:hAnsi="Arial" w:cs="Arial"/>
          <w:color w:val="00B050"/>
          <w:sz w:val="12"/>
          <w:szCs w:val="12"/>
        </w:rPr>
      </w:pPr>
      <w:r w:rsidRPr="001E6DA7">
        <w:rPr>
          <w:rFonts w:ascii="Arial" w:hAnsi="Arial" w:cs="Arial"/>
          <w:color w:val="00B050"/>
          <w:sz w:val="12"/>
          <w:szCs w:val="12"/>
        </w:rPr>
        <w:t>Midha S, Bansal K, Sharma S, Kumar N, Patil PP, Chaudhry V, Patil PB. Genomic Resource of Rice Seed Associated Bacteria. Front Microbiol. 2016 Jan 11;6:1551. doi: 10.3389/fmicb.2015.01551. PMID: 26793183; PMCID: PMC4707233.</w:t>
      </w:r>
    </w:p>
    <w:p w14:paraId="2C38146D" w14:textId="77777777" w:rsidR="001E6DA7" w:rsidRPr="001E6DA7" w:rsidRDefault="001E6DA7" w:rsidP="00984734">
      <w:pPr>
        <w:rPr>
          <w:rFonts w:ascii="Arial" w:hAnsi="Arial" w:cs="Arial"/>
          <w:color w:val="00B050"/>
          <w:sz w:val="12"/>
          <w:szCs w:val="12"/>
        </w:rPr>
      </w:pPr>
    </w:p>
    <w:p w14:paraId="4F9819BF" w14:textId="7A2F1AF1" w:rsidR="001E6DA7" w:rsidRPr="001E6DA7" w:rsidRDefault="00984734" w:rsidP="00984734">
      <w:pPr>
        <w:rPr>
          <w:rFonts w:ascii="Arial" w:hAnsi="Arial" w:cs="Arial"/>
          <w:color w:val="00B050"/>
          <w:sz w:val="12"/>
          <w:szCs w:val="12"/>
        </w:rPr>
      </w:pPr>
      <w:r w:rsidRPr="001E6DA7">
        <w:rPr>
          <w:rFonts w:ascii="Arial" w:hAnsi="Arial" w:cs="Arial"/>
          <w:color w:val="00B050"/>
          <w:sz w:val="12"/>
          <w:szCs w:val="12"/>
        </w:rPr>
        <w:t>Reference[</w:t>
      </w:r>
      <w:r w:rsidR="001E6DA7">
        <w:rPr>
          <w:rFonts w:ascii="Arial" w:hAnsi="Arial" w:cs="Arial"/>
          <w:color w:val="00B050"/>
          <w:sz w:val="12"/>
          <w:szCs w:val="12"/>
        </w:rPr>
        <w:t>t3</w:t>
      </w:r>
      <w:r w:rsidRPr="001E6DA7">
        <w:rPr>
          <w:rFonts w:ascii="Arial" w:hAnsi="Arial" w:cs="Arial"/>
          <w:color w:val="00B050"/>
          <w:sz w:val="12"/>
          <w:szCs w:val="12"/>
        </w:rPr>
        <w:t xml:space="preserve">] </w:t>
      </w:r>
    </w:p>
    <w:p w14:paraId="4D9426DA" w14:textId="7E7452C4" w:rsidR="00984734" w:rsidRPr="001E6DA7" w:rsidRDefault="00984734" w:rsidP="00984734">
      <w:pPr>
        <w:rPr>
          <w:rFonts w:ascii="Arial" w:hAnsi="Arial" w:cs="Arial"/>
          <w:color w:val="00B050"/>
          <w:sz w:val="12"/>
          <w:szCs w:val="12"/>
        </w:rPr>
      </w:pPr>
      <w:r w:rsidRPr="001E6DA7">
        <w:rPr>
          <w:rFonts w:ascii="Arial" w:hAnsi="Arial" w:cs="Arial"/>
          <w:color w:val="00B050"/>
          <w:sz w:val="12"/>
          <w:szCs w:val="12"/>
        </w:rPr>
        <w:t>Zhang IH, Sun X, Jayakumar A, Fortin SG, Ward BB, Babbin AR. Partitioning of the denitrification pathway and other nitrite metabolisms within global oxygen deficient zones. ISME Commun. 2023 Jul 20;3(1):76. doi: 10.1038/s43705-023-00284-y. PMID: 37474642; PMCID: PMC10359470.</w:t>
      </w:r>
    </w:p>
    <w:p w14:paraId="01E61885" w14:textId="45EE65E2" w:rsidR="00984734" w:rsidRPr="00984734" w:rsidRDefault="00984734"/>
    <w:p w14:paraId="218B9FB7" w14:textId="77777777" w:rsidR="00984734" w:rsidRDefault="00984734">
      <w:pPr>
        <w:rPr>
          <w:lang w:val="en-US"/>
        </w:rPr>
      </w:pPr>
    </w:p>
    <w:p w14:paraId="71AE06F6" w14:textId="77777777" w:rsidR="00A34860" w:rsidRDefault="00A34860">
      <w:pPr>
        <w:spacing w:after="160" w:line="278" w:lineRule="auto"/>
        <w:rPr>
          <w:b/>
          <w:bCs/>
          <w:sz w:val="22"/>
          <w:szCs w:val="22"/>
          <w:lang w:val="en-US"/>
        </w:rPr>
      </w:pPr>
      <w:r>
        <w:rPr>
          <w:b/>
          <w:bCs/>
          <w:sz w:val="22"/>
          <w:szCs w:val="22"/>
          <w:lang w:val="en-US"/>
        </w:rPr>
        <w:br w:type="page"/>
      </w:r>
    </w:p>
    <w:p w14:paraId="24B1E424" w14:textId="109B90A5" w:rsidR="00984734" w:rsidRPr="00AF13A8" w:rsidRDefault="00984734" w:rsidP="00AF13A8">
      <w:pPr>
        <w:spacing w:line="360" w:lineRule="auto"/>
        <w:jc w:val="both"/>
        <w:rPr>
          <w:sz w:val="22"/>
          <w:szCs w:val="22"/>
          <w:lang w:val="en-US"/>
        </w:rPr>
      </w:pPr>
      <w:r w:rsidRPr="00984734">
        <w:rPr>
          <w:b/>
          <w:bCs/>
          <w:sz w:val="22"/>
          <w:szCs w:val="22"/>
          <w:lang w:val="en-US"/>
        </w:rPr>
        <w:lastRenderedPageBreak/>
        <w:t xml:space="preserve">Table </w:t>
      </w:r>
      <w:r>
        <w:rPr>
          <w:b/>
          <w:bCs/>
          <w:sz w:val="22"/>
          <w:szCs w:val="22"/>
          <w:lang w:val="en-US"/>
        </w:rPr>
        <w:t>2</w:t>
      </w:r>
      <w:r w:rsidRPr="00984734">
        <w:rPr>
          <w:b/>
          <w:bCs/>
          <w:sz w:val="22"/>
          <w:szCs w:val="22"/>
          <w:lang w:val="en-US"/>
        </w:rPr>
        <w:t xml:space="preserve">. The list of proteins found only in strains with ISS origin. </w:t>
      </w:r>
      <w:r w:rsidRPr="00984734">
        <w:rPr>
          <w:sz w:val="22"/>
          <w:szCs w:val="22"/>
          <w:lang w:val="en-US"/>
        </w:rPr>
        <w:t xml:space="preserve">A preliminary list of unique proteins was obtained using the gene presence/absence table generated by the Panaroo12 alignment of the </w:t>
      </w:r>
      <w:proofErr w:type="spellStart"/>
      <w:r w:rsidRPr="00984734">
        <w:rPr>
          <w:sz w:val="22"/>
          <w:szCs w:val="22"/>
          <w:lang w:val="en-US"/>
        </w:rPr>
        <w:t>Prokka</w:t>
      </w:r>
      <w:proofErr w:type="spellEnd"/>
      <w:r w:rsidRPr="00984734">
        <w:rPr>
          <w:sz w:val="22"/>
          <w:szCs w:val="22"/>
          <w:lang w:val="en-US"/>
        </w:rPr>
        <w:t>-annotated GFF files.</w:t>
      </w:r>
      <w:r w:rsidR="00211D69">
        <w:rPr>
          <w:sz w:val="22"/>
          <w:szCs w:val="22"/>
          <w:lang w:val="en-US"/>
        </w:rPr>
        <w:t xml:space="preserve"> Full list is find in Supplementary Table 1.</w:t>
      </w:r>
    </w:p>
    <w:tbl>
      <w:tblPr>
        <w:tblStyle w:val="PlainTable1"/>
        <w:tblW w:w="937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3428"/>
        <w:gridCol w:w="4934"/>
        <w:gridCol w:w="1012"/>
      </w:tblGrid>
      <w:tr w:rsidR="00AF13A8" w:rsidRPr="00041217" w14:paraId="1902637C" w14:textId="77777777" w:rsidTr="00211D69">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auto"/>
              <w:right w:val="single" w:sz="8" w:space="0" w:color="auto"/>
            </w:tcBorders>
            <w:shd w:val="clear" w:color="auto" w:fill="ADADAD" w:themeFill="background2" w:themeFillShade="BF"/>
            <w:vAlign w:val="center"/>
            <w:hideMark/>
          </w:tcPr>
          <w:p w14:paraId="08C47663" w14:textId="5FB561DC" w:rsidR="00AF13A8" w:rsidRPr="00AF13A8" w:rsidRDefault="00AF13A8" w:rsidP="00AF13A8">
            <w:pPr>
              <w:jc w:val="center"/>
              <w:rPr>
                <w:rFonts w:ascii="Arial" w:hAnsi="Arial" w:cs="Arial"/>
                <w:color w:val="000000" w:themeColor="text1"/>
                <w:sz w:val="13"/>
                <w:szCs w:val="13"/>
              </w:rPr>
            </w:pPr>
            <w:r w:rsidRPr="00AF13A8">
              <w:rPr>
                <w:rFonts w:ascii="Arial" w:hAnsi="Arial" w:cs="Arial"/>
                <w:color w:val="000000" w:themeColor="text1"/>
                <w:sz w:val="13"/>
                <w:szCs w:val="13"/>
              </w:rPr>
              <w:t>Protein Name</w:t>
            </w:r>
          </w:p>
        </w:tc>
        <w:tc>
          <w:tcPr>
            <w:tcW w:w="0" w:type="auto"/>
            <w:tcBorders>
              <w:left w:val="single" w:sz="8" w:space="0" w:color="auto"/>
              <w:bottom w:val="single" w:sz="8" w:space="0" w:color="auto"/>
              <w:right w:val="single" w:sz="8" w:space="0" w:color="auto"/>
            </w:tcBorders>
            <w:shd w:val="clear" w:color="auto" w:fill="ADADAD" w:themeFill="background2" w:themeFillShade="BF"/>
            <w:vAlign w:val="center"/>
            <w:hideMark/>
          </w:tcPr>
          <w:p w14:paraId="73FE6316" w14:textId="4C781D85" w:rsidR="00AF13A8" w:rsidRPr="00AF13A8" w:rsidRDefault="00AF13A8" w:rsidP="00AF13A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Known GO Terms</w:t>
            </w:r>
          </w:p>
        </w:tc>
        <w:tc>
          <w:tcPr>
            <w:tcW w:w="0" w:type="auto"/>
            <w:tcBorders>
              <w:left w:val="single" w:sz="8" w:space="0" w:color="auto"/>
              <w:bottom w:val="single" w:sz="8" w:space="0" w:color="auto"/>
            </w:tcBorders>
            <w:shd w:val="clear" w:color="auto" w:fill="ADADAD" w:themeFill="background2" w:themeFillShade="BF"/>
            <w:vAlign w:val="center"/>
            <w:hideMark/>
          </w:tcPr>
          <w:p w14:paraId="012C3BE5" w14:textId="37116709" w:rsidR="00AF13A8" w:rsidRPr="00AF13A8" w:rsidRDefault="00AF13A8" w:rsidP="00AF13A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Metal</w:t>
            </w:r>
          </w:p>
        </w:tc>
      </w:tr>
      <w:tr w:rsidR="00AF13A8" w:rsidRPr="00041217" w14:paraId="60525041" w14:textId="77777777" w:rsidTr="00A34860">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D1D1D1" w:themeFill="background2" w:themeFillShade="E6"/>
            <w:vAlign w:val="center"/>
            <w:hideMark/>
          </w:tcPr>
          <w:p w14:paraId="0BAF54BB" w14:textId="77777777" w:rsidR="00AF13A8" w:rsidRPr="00AF13A8" w:rsidRDefault="00AF13A8" w:rsidP="00AF13A8">
            <w:pPr>
              <w:jc w:val="center"/>
              <w:rPr>
                <w:rFonts w:ascii="Arial" w:hAnsi="Arial" w:cs="Arial"/>
                <w:b w:val="0"/>
                <w:bCs w:val="0"/>
                <w:color w:val="000000" w:themeColor="text1"/>
                <w:sz w:val="13"/>
                <w:szCs w:val="13"/>
              </w:rPr>
            </w:pPr>
            <w:r w:rsidRPr="00AF13A8">
              <w:rPr>
                <w:rStyle w:val="Strong"/>
                <w:rFonts w:ascii="Arial" w:hAnsi="Arial" w:cs="Arial"/>
                <w:color w:val="000000" w:themeColor="text1"/>
                <w:sz w:val="13"/>
                <w:szCs w:val="13"/>
              </w:rPr>
              <w:t>Heavy Metal Ion Pathways</w:t>
            </w:r>
          </w:p>
        </w:tc>
      </w:tr>
      <w:tr w:rsidR="00AF13A8" w:rsidRPr="00041217" w14:paraId="4DF47AAB" w14:textId="77777777" w:rsidTr="00211D69">
        <w:trPr>
          <w:trHeight w:val="279"/>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tcBorders>
            <w:vAlign w:val="center"/>
            <w:hideMark/>
          </w:tcPr>
          <w:p w14:paraId="50DDA64A" w14:textId="33CC9176" w:rsidR="00AF13A8" w:rsidRPr="00AF13A8" w:rsidRDefault="00AF13A8" w:rsidP="00AF13A8">
            <w:pPr>
              <w:rPr>
                <w:rFonts w:ascii="Arial" w:hAnsi="Arial" w:cs="Arial"/>
                <w:b w:val="0"/>
                <w:bCs w:val="0"/>
                <w:color w:val="000000" w:themeColor="text1"/>
                <w:sz w:val="13"/>
                <w:szCs w:val="13"/>
              </w:rPr>
            </w:pPr>
            <w:proofErr w:type="spellStart"/>
            <w:r w:rsidRPr="00AF13A8">
              <w:rPr>
                <w:rFonts w:ascii="Arial" w:hAnsi="Arial" w:cs="Arial"/>
                <w:b w:val="0"/>
                <w:bCs w:val="0"/>
                <w:color w:val="000000" w:themeColor="text1"/>
                <w:sz w:val="13"/>
                <w:szCs w:val="13"/>
              </w:rPr>
              <w:t>Sulfurtransferase</w:t>
            </w:r>
            <w:proofErr w:type="spellEnd"/>
            <w:r w:rsidRPr="00AF13A8">
              <w:rPr>
                <w:rFonts w:ascii="Arial" w:hAnsi="Arial" w:cs="Arial"/>
                <w:b w:val="0"/>
                <w:bCs w:val="0"/>
                <w:color w:val="000000" w:themeColor="text1"/>
                <w:sz w:val="13"/>
                <w:szCs w:val="13"/>
              </w:rPr>
              <w:t>/chromate resistance protein</w:t>
            </w:r>
          </w:p>
        </w:tc>
        <w:tc>
          <w:tcPr>
            <w:tcW w:w="0" w:type="auto"/>
            <w:tcBorders>
              <w:top w:val="single" w:sz="8" w:space="0" w:color="auto"/>
            </w:tcBorders>
            <w:vAlign w:val="center"/>
            <w:hideMark/>
          </w:tcPr>
          <w:p w14:paraId="624150DA" w14:textId="77777777"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p>
        </w:tc>
        <w:tc>
          <w:tcPr>
            <w:tcW w:w="0" w:type="auto"/>
            <w:tcBorders>
              <w:top w:val="single" w:sz="8" w:space="0" w:color="auto"/>
            </w:tcBorders>
            <w:vAlign w:val="center"/>
            <w:hideMark/>
          </w:tcPr>
          <w:p w14:paraId="7EC7B194" w14:textId="49F51BC8"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Chromium</w:t>
            </w:r>
          </w:p>
        </w:tc>
      </w:tr>
      <w:tr w:rsidR="00AF13A8" w:rsidRPr="00041217" w14:paraId="262F6DE5" w14:textId="77777777" w:rsidTr="00A34860">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3712CE5C" w14:textId="5B379F2C"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Putative sulfate exporter family transporter</w:t>
            </w:r>
          </w:p>
        </w:tc>
        <w:tc>
          <w:tcPr>
            <w:tcW w:w="0" w:type="auto"/>
            <w:shd w:val="clear" w:color="auto" w:fill="auto"/>
            <w:vAlign w:val="center"/>
            <w:hideMark/>
          </w:tcPr>
          <w:p w14:paraId="678369E6" w14:textId="7FE23AD0"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sulfur compound metabolic process [GO:0006790] heme binding [GO:0020037]; molybdenum ion binding [GO:0030151]; molybdopterin cofactor binding [GO:0043546]; sulfite oxidase activity [GO:0008482]</w:t>
            </w:r>
          </w:p>
        </w:tc>
        <w:tc>
          <w:tcPr>
            <w:tcW w:w="0" w:type="auto"/>
            <w:shd w:val="clear" w:color="auto" w:fill="auto"/>
            <w:vAlign w:val="center"/>
            <w:hideMark/>
          </w:tcPr>
          <w:p w14:paraId="37828B86" w14:textId="24F749FB"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Iron, Molybdenum</w:t>
            </w:r>
          </w:p>
        </w:tc>
      </w:tr>
      <w:tr w:rsidR="00AF13A8" w:rsidRPr="00041217" w14:paraId="6E61701F" w14:textId="77777777" w:rsidTr="00A34860">
        <w:trPr>
          <w:trHeight w:val="27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497B858" w14:textId="3DDDE4CC"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 xml:space="preserve">Broad-spectrum mercury transporter </w:t>
            </w:r>
            <w:proofErr w:type="spellStart"/>
            <w:r w:rsidRPr="00AF13A8">
              <w:rPr>
                <w:rFonts w:ascii="Arial" w:hAnsi="Arial" w:cs="Arial"/>
                <w:b w:val="0"/>
                <w:bCs w:val="0"/>
                <w:color w:val="000000" w:themeColor="text1"/>
                <w:sz w:val="13"/>
                <w:szCs w:val="13"/>
              </w:rPr>
              <w:t>MerE</w:t>
            </w:r>
            <w:proofErr w:type="spellEnd"/>
          </w:p>
        </w:tc>
        <w:tc>
          <w:tcPr>
            <w:tcW w:w="0" w:type="auto"/>
            <w:vAlign w:val="center"/>
            <w:hideMark/>
          </w:tcPr>
          <w:p w14:paraId="4B87CCC1" w14:textId="049F2BF2"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mercury ion transmembrane transporter activity [GO:0015097]</w:t>
            </w:r>
          </w:p>
        </w:tc>
        <w:tc>
          <w:tcPr>
            <w:tcW w:w="0" w:type="auto"/>
            <w:vAlign w:val="center"/>
            <w:hideMark/>
          </w:tcPr>
          <w:p w14:paraId="33C6D836" w14:textId="6965A17A"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Mercury</w:t>
            </w:r>
          </w:p>
        </w:tc>
      </w:tr>
      <w:tr w:rsidR="00AF13A8" w:rsidRPr="00041217" w14:paraId="0C9AC3F4" w14:textId="77777777" w:rsidTr="00A34860">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2B1753AB" w14:textId="7AF0B8DB"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Mercuric resistance transcriptional repressor protein MerD</w:t>
            </w:r>
          </w:p>
        </w:tc>
        <w:tc>
          <w:tcPr>
            <w:tcW w:w="0" w:type="auto"/>
            <w:shd w:val="clear" w:color="auto" w:fill="auto"/>
            <w:vAlign w:val="center"/>
            <w:hideMark/>
          </w:tcPr>
          <w:p w14:paraId="38F18B15" w14:textId="7FF0AD34"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negative regulation of DNA-templated transcription [GO:0045892]; response to mercury ion [GO:0046689] DNA binding [GO:0003677]; DNA-binding transcription factor activity [GO:0003700]</w:t>
            </w:r>
          </w:p>
        </w:tc>
        <w:tc>
          <w:tcPr>
            <w:tcW w:w="0" w:type="auto"/>
            <w:shd w:val="clear" w:color="auto" w:fill="auto"/>
            <w:vAlign w:val="center"/>
            <w:hideMark/>
          </w:tcPr>
          <w:p w14:paraId="257174CE" w14:textId="4F31A9A3"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Mercury</w:t>
            </w:r>
          </w:p>
        </w:tc>
      </w:tr>
      <w:tr w:rsidR="00AF13A8" w:rsidRPr="00041217" w14:paraId="5256732B" w14:textId="77777777" w:rsidTr="00A34860">
        <w:trPr>
          <w:trHeight w:val="49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85C1533" w14:textId="3F45B4E5"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 xml:space="preserve">Nickel/cobalt efflux transporter </w:t>
            </w:r>
            <w:proofErr w:type="spellStart"/>
            <w:r w:rsidRPr="00AF13A8">
              <w:rPr>
                <w:rFonts w:ascii="Arial" w:hAnsi="Arial" w:cs="Arial"/>
                <w:b w:val="0"/>
                <w:bCs w:val="0"/>
                <w:color w:val="000000" w:themeColor="text1"/>
                <w:sz w:val="13"/>
                <w:szCs w:val="13"/>
              </w:rPr>
              <w:t>RcnA</w:t>
            </w:r>
            <w:proofErr w:type="spellEnd"/>
          </w:p>
        </w:tc>
        <w:tc>
          <w:tcPr>
            <w:tcW w:w="0" w:type="auto"/>
            <w:vAlign w:val="center"/>
            <w:hideMark/>
          </w:tcPr>
          <w:p w14:paraId="6FA609C9" w14:textId="77777777"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p>
        </w:tc>
        <w:tc>
          <w:tcPr>
            <w:tcW w:w="0" w:type="auto"/>
            <w:vAlign w:val="center"/>
            <w:hideMark/>
          </w:tcPr>
          <w:p w14:paraId="4FD25011" w14:textId="7039977F"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Nickel, Cobalt</w:t>
            </w:r>
          </w:p>
        </w:tc>
      </w:tr>
      <w:tr w:rsidR="00AF13A8" w:rsidRPr="00041217" w14:paraId="49064BF1" w14:textId="77777777" w:rsidTr="00211D69">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auto"/>
            </w:tcBorders>
            <w:shd w:val="clear" w:color="auto" w:fill="auto"/>
            <w:vAlign w:val="center"/>
            <w:hideMark/>
          </w:tcPr>
          <w:p w14:paraId="598D0E0A" w14:textId="6C75C8F6"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 xml:space="preserve">45-DOPA dioxygenase </w:t>
            </w:r>
            <w:proofErr w:type="spellStart"/>
            <w:r w:rsidRPr="00AF13A8">
              <w:rPr>
                <w:rFonts w:ascii="Arial" w:hAnsi="Arial" w:cs="Arial"/>
                <w:b w:val="0"/>
                <w:bCs w:val="0"/>
                <w:color w:val="000000" w:themeColor="text1"/>
                <w:sz w:val="13"/>
                <w:szCs w:val="13"/>
              </w:rPr>
              <w:t>extradiol</w:t>
            </w:r>
            <w:proofErr w:type="spellEnd"/>
          </w:p>
        </w:tc>
        <w:tc>
          <w:tcPr>
            <w:tcW w:w="0" w:type="auto"/>
            <w:tcBorders>
              <w:bottom w:val="single" w:sz="8" w:space="0" w:color="auto"/>
            </w:tcBorders>
            <w:shd w:val="clear" w:color="auto" w:fill="auto"/>
            <w:vAlign w:val="center"/>
            <w:hideMark/>
          </w:tcPr>
          <w:p w14:paraId="1360722C" w14:textId="7DAB7FDF"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2,4'-dihydroxyacetophenone dioxygenase activity [GO:0047073]; ferrous iron binding [GO:0008198]; zinc ion binding [GO:0008270]</w:t>
            </w:r>
          </w:p>
        </w:tc>
        <w:tc>
          <w:tcPr>
            <w:tcW w:w="0" w:type="auto"/>
            <w:tcBorders>
              <w:bottom w:val="single" w:sz="8" w:space="0" w:color="auto"/>
            </w:tcBorders>
            <w:shd w:val="clear" w:color="auto" w:fill="auto"/>
            <w:vAlign w:val="center"/>
            <w:hideMark/>
          </w:tcPr>
          <w:p w14:paraId="7608C1F8" w14:textId="37558D9E"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Zinc, Iron</w:t>
            </w:r>
          </w:p>
        </w:tc>
      </w:tr>
      <w:tr w:rsidR="00AF13A8" w:rsidRPr="00041217" w14:paraId="312A28A4" w14:textId="77777777" w:rsidTr="00A34860">
        <w:trPr>
          <w:trHeight w:val="279"/>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D1D1D1" w:themeFill="background2" w:themeFillShade="E6"/>
            <w:vAlign w:val="center"/>
            <w:hideMark/>
          </w:tcPr>
          <w:p w14:paraId="119C3857" w14:textId="77777777" w:rsidR="00AF13A8" w:rsidRPr="00AF13A8" w:rsidRDefault="00AF13A8" w:rsidP="00AF13A8">
            <w:pPr>
              <w:jc w:val="center"/>
              <w:rPr>
                <w:rFonts w:ascii="Arial" w:hAnsi="Arial" w:cs="Arial"/>
                <w:b w:val="0"/>
                <w:bCs w:val="0"/>
                <w:color w:val="000000" w:themeColor="text1"/>
                <w:sz w:val="13"/>
                <w:szCs w:val="13"/>
              </w:rPr>
            </w:pPr>
            <w:r w:rsidRPr="00AF13A8">
              <w:rPr>
                <w:rStyle w:val="Strong"/>
                <w:rFonts w:ascii="Arial" w:hAnsi="Arial" w:cs="Arial"/>
                <w:color w:val="000000" w:themeColor="text1"/>
                <w:sz w:val="13"/>
                <w:szCs w:val="13"/>
              </w:rPr>
              <w:t>Horizontal Gene Transfer</w:t>
            </w:r>
          </w:p>
        </w:tc>
      </w:tr>
      <w:tr w:rsidR="00AF13A8" w:rsidRPr="00041217" w14:paraId="19468B27" w14:textId="77777777" w:rsidTr="00211D69">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tcBorders>
            <w:shd w:val="clear" w:color="auto" w:fill="auto"/>
            <w:vAlign w:val="center"/>
            <w:hideMark/>
          </w:tcPr>
          <w:p w14:paraId="3965D68C" w14:textId="6826A6C2"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 xml:space="preserve">Conjugal transfer protein </w:t>
            </w:r>
            <w:proofErr w:type="spellStart"/>
            <w:r w:rsidRPr="00AF13A8">
              <w:rPr>
                <w:rFonts w:ascii="Arial" w:hAnsi="Arial" w:cs="Arial"/>
                <w:b w:val="0"/>
                <w:bCs w:val="0"/>
                <w:color w:val="000000" w:themeColor="text1"/>
                <w:sz w:val="13"/>
                <w:szCs w:val="13"/>
              </w:rPr>
              <w:t>TraF</w:t>
            </w:r>
            <w:proofErr w:type="spellEnd"/>
          </w:p>
        </w:tc>
        <w:tc>
          <w:tcPr>
            <w:tcW w:w="0" w:type="auto"/>
            <w:tcBorders>
              <w:top w:val="single" w:sz="8" w:space="0" w:color="auto"/>
            </w:tcBorders>
            <w:shd w:val="clear" w:color="auto" w:fill="auto"/>
            <w:vAlign w:val="center"/>
            <w:hideMark/>
          </w:tcPr>
          <w:p w14:paraId="12E490D4" w14:textId="77777777"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p>
        </w:tc>
        <w:tc>
          <w:tcPr>
            <w:tcW w:w="0" w:type="auto"/>
            <w:tcBorders>
              <w:top w:val="single" w:sz="8" w:space="0" w:color="auto"/>
            </w:tcBorders>
            <w:shd w:val="clear" w:color="auto" w:fill="auto"/>
            <w:vAlign w:val="center"/>
            <w:hideMark/>
          </w:tcPr>
          <w:p w14:paraId="6594D1EE" w14:textId="77777777"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p>
        </w:tc>
      </w:tr>
      <w:tr w:rsidR="00AF13A8" w:rsidRPr="00041217" w14:paraId="114F07DE" w14:textId="77777777" w:rsidTr="00A34860">
        <w:trPr>
          <w:trHeight w:val="27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2551C07" w14:textId="2DD861CE"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 xml:space="preserve">Conjugal transfer protein </w:t>
            </w:r>
            <w:proofErr w:type="spellStart"/>
            <w:r w:rsidRPr="00AF13A8">
              <w:rPr>
                <w:rFonts w:ascii="Arial" w:hAnsi="Arial" w:cs="Arial"/>
                <w:b w:val="0"/>
                <w:bCs w:val="0"/>
                <w:color w:val="000000" w:themeColor="text1"/>
                <w:sz w:val="13"/>
                <w:szCs w:val="13"/>
              </w:rPr>
              <w:t>TraN</w:t>
            </w:r>
            <w:proofErr w:type="spellEnd"/>
          </w:p>
        </w:tc>
        <w:tc>
          <w:tcPr>
            <w:tcW w:w="0" w:type="auto"/>
            <w:vAlign w:val="center"/>
            <w:hideMark/>
          </w:tcPr>
          <w:p w14:paraId="56210F9C" w14:textId="77777777"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p>
        </w:tc>
        <w:tc>
          <w:tcPr>
            <w:tcW w:w="0" w:type="auto"/>
            <w:vAlign w:val="center"/>
            <w:hideMark/>
          </w:tcPr>
          <w:p w14:paraId="4D60B00F" w14:textId="77777777"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p>
        </w:tc>
      </w:tr>
      <w:tr w:rsidR="00AF13A8" w:rsidRPr="00041217" w14:paraId="4EE7AE2D" w14:textId="77777777" w:rsidTr="00A34860">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1FED9004" w14:textId="612CE2F1"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IS1380 family transposase IS1247</w:t>
            </w:r>
          </w:p>
        </w:tc>
        <w:tc>
          <w:tcPr>
            <w:tcW w:w="0" w:type="auto"/>
            <w:shd w:val="clear" w:color="auto" w:fill="auto"/>
            <w:vAlign w:val="center"/>
            <w:hideMark/>
          </w:tcPr>
          <w:p w14:paraId="77BA9E0D" w14:textId="77777777"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p>
        </w:tc>
        <w:tc>
          <w:tcPr>
            <w:tcW w:w="0" w:type="auto"/>
            <w:shd w:val="clear" w:color="auto" w:fill="auto"/>
            <w:vAlign w:val="center"/>
            <w:hideMark/>
          </w:tcPr>
          <w:p w14:paraId="4D4E4631" w14:textId="77777777"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p>
        </w:tc>
      </w:tr>
      <w:tr w:rsidR="00AF13A8" w:rsidRPr="00041217" w14:paraId="690BD52C" w14:textId="77777777" w:rsidTr="00A34860">
        <w:trPr>
          <w:trHeight w:val="27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911CF2A" w14:textId="120B1FDB"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IS1380 family transposase IS1412</w:t>
            </w:r>
          </w:p>
        </w:tc>
        <w:tc>
          <w:tcPr>
            <w:tcW w:w="0" w:type="auto"/>
            <w:vAlign w:val="center"/>
            <w:hideMark/>
          </w:tcPr>
          <w:p w14:paraId="2B45376E" w14:textId="77777777"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p>
        </w:tc>
        <w:tc>
          <w:tcPr>
            <w:tcW w:w="0" w:type="auto"/>
            <w:vAlign w:val="center"/>
            <w:hideMark/>
          </w:tcPr>
          <w:p w14:paraId="196C4125" w14:textId="77777777"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p>
        </w:tc>
      </w:tr>
      <w:tr w:rsidR="00AF13A8" w:rsidRPr="00041217" w14:paraId="4ED2AF58" w14:textId="77777777" w:rsidTr="00A34860">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05FDE3B0" w14:textId="4FD1C20A"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type-F conjugative transfer system protein TraW</w:t>
            </w:r>
          </w:p>
        </w:tc>
        <w:tc>
          <w:tcPr>
            <w:tcW w:w="0" w:type="auto"/>
            <w:shd w:val="clear" w:color="auto" w:fill="auto"/>
            <w:vAlign w:val="center"/>
            <w:hideMark/>
          </w:tcPr>
          <w:p w14:paraId="78147D39" w14:textId="77777777"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p>
        </w:tc>
        <w:tc>
          <w:tcPr>
            <w:tcW w:w="0" w:type="auto"/>
            <w:shd w:val="clear" w:color="auto" w:fill="auto"/>
            <w:vAlign w:val="center"/>
            <w:hideMark/>
          </w:tcPr>
          <w:p w14:paraId="4514ECF1" w14:textId="77777777"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p>
        </w:tc>
      </w:tr>
      <w:tr w:rsidR="00AF13A8" w:rsidRPr="00041217" w14:paraId="59189169" w14:textId="77777777" w:rsidTr="00211D69">
        <w:trPr>
          <w:trHeight w:val="279"/>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auto"/>
            </w:tcBorders>
            <w:vAlign w:val="center"/>
            <w:hideMark/>
          </w:tcPr>
          <w:p w14:paraId="039D9BFD" w14:textId="3D0DDD4A"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 xml:space="preserve">type-F conjugative transfer system secretin </w:t>
            </w:r>
            <w:proofErr w:type="spellStart"/>
            <w:r w:rsidRPr="00AF13A8">
              <w:rPr>
                <w:rFonts w:ascii="Arial" w:hAnsi="Arial" w:cs="Arial"/>
                <w:b w:val="0"/>
                <w:bCs w:val="0"/>
                <w:color w:val="000000" w:themeColor="text1"/>
                <w:sz w:val="13"/>
                <w:szCs w:val="13"/>
              </w:rPr>
              <w:t>TraK</w:t>
            </w:r>
            <w:proofErr w:type="spellEnd"/>
          </w:p>
        </w:tc>
        <w:tc>
          <w:tcPr>
            <w:tcW w:w="0" w:type="auto"/>
            <w:tcBorders>
              <w:bottom w:val="single" w:sz="8" w:space="0" w:color="auto"/>
            </w:tcBorders>
            <w:vAlign w:val="center"/>
            <w:hideMark/>
          </w:tcPr>
          <w:p w14:paraId="5075E44B" w14:textId="77777777"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p>
        </w:tc>
        <w:tc>
          <w:tcPr>
            <w:tcW w:w="0" w:type="auto"/>
            <w:tcBorders>
              <w:bottom w:val="single" w:sz="8" w:space="0" w:color="auto"/>
            </w:tcBorders>
            <w:vAlign w:val="center"/>
            <w:hideMark/>
          </w:tcPr>
          <w:p w14:paraId="55C3F19A" w14:textId="77777777"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p>
        </w:tc>
      </w:tr>
      <w:tr w:rsidR="00AF13A8" w:rsidRPr="00041217" w14:paraId="7CBB44AB" w14:textId="77777777" w:rsidTr="00A34860">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D1D1D1" w:themeFill="background2" w:themeFillShade="E6"/>
            <w:vAlign w:val="center"/>
            <w:hideMark/>
          </w:tcPr>
          <w:p w14:paraId="1E8F5BA3" w14:textId="77777777" w:rsidR="00AF13A8" w:rsidRPr="00AF13A8" w:rsidRDefault="00AF13A8" w:rsidP="00AF13A8">
            <w:pPr>
              <w:jc w:val="center"/>
              <w:rPr>
                <w:rFonts w:ascii="Arial" w:hAnsi="Arial" w:cs="Arial"/>
                <w:b w:val="0"/>
                <w:bCs w:val="0"/>
                <w:color w:val="000000" w:themeColor="text1"/>
                <w:sz w:val="13"/>
                <w:szCs w:val="13"/>
              </w:rPr>
            </w:pPr>
            <w:r w:rsidRPr="00AF13A8">
              <w:rPr>
                <w:rStyle w:val="Strong"/>
                <w:rFonts w:ascii="Arial" w:hAnsi="Arial" w:cs="Arial"/>
                <w:color w:val="000000" w:themeColor="text1"/>
                <w:sz w:val="13"/>
                <w:szCs w:val="13"/>
              </w:rPr>
              <w:t>Metal Ion Pathways</w:t>
            </w:r>
          </w:p>
        </w:tc>
      </w:tr>
      <w:tr w:rsidR="00AF13A8" w:rsidRPr="00041217" w14:paraId="6BE20485" w14:textId="77777777" w:rsidTr="00211D69">
        <w:trPr>
          <w:trHeight w:val="495"/>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bottom w:val="single" w:sz="8" w:space="0" w:color="auto"/>
            </w:tcBorders>
            <w:vAlign w:val="center"/>
            <w:hideMark/>
          </w:tcPr>
          <w:p w14:paraId="374646C3" w14:textId="57EF29B0"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HAD-IIIA family hydrolase</w:t>
            </w:r>
          </w:p>
        </w:tc>
        <w:tc>
          <w:tcPr>
            <w:tcW w:w="0" w:type="auto"/>
            <w:tcBorders>
              <w:top w:val="single" w:sz="8" w:space="0" w:color="auto"/>
              <w:bottom w:val="single" w:sz="8" w:space="0" w:color="auto"/>
            </w:tcBorders>
            <w:vAlign w:val="center"/>
            <w:hideMark/>
          </w:tcPr>
          <w:p w14:paraId="1E157D3C" w14:textId="0D1F1B8F"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hydrolase activity, acting on ester bonds [GO:0016788]; metal ion binding [GO:0046872]; N-</w:t>
            </w:r>
            <w:proofErr w:type="spellStart"/>
            <w:r w:rsidRPr="00AF13A8">
              <w:rPr>
                <w:rFonts w:ascii="Arial" w:hAnsi="Arial" w:cs="Arial"/>
                <w:color w:val="000000" w:themeColor="text1"/>
                <w:sz w:val="13"/>
                <w:szCs w:val="13"/>
              </w:rPr>
              <w:t>acylneuraminate</w:t>
            </w:r>
            <w:proofErr w:type="spellEnd"/>
            <w:r w:rsidRPr="00AF13A8">
              <w:rPr>
                <w:rFonts w:ascii="Arial" w:hAnsi="Arial" w:cs="Arial"/>
                <w:color w:val="000000" w:themeColor="text1"/>
                <w:sz w:val="13"/>
                <w:szCs w:val="13"/>
              </w:rPr>
              <w:t xml:space="preserve"> cytidylyltransferase activity [GO:0008781]</w:t>
            </w:r>
          </w:p>
        </w:tc>
        <w:tc>
          <w:tcPr>
            <w:tcW w:w="0" w:type="auto"/>
            <w:tcBorders>
              <w:top w:val="single" w:sz="8" w:space="0" w:color="auto"/>
              <w:bottom w:val="single" w:sz="8" w:space="0" w:color="auto"/>
            </w:tcBorders>
            <w:vAlign w:val="center"/>
            <w:hideMark/>
          </w:tcPr>
          <w:p w14:paraId="39722AD5" w14:textId="77777777"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p>
        </w:tc>
      </w:tr>
      <w:tr w:rsidR="00AF13A8" w:rsidRPr="00041217" w14:paraId="6281ABC7" w14:textId="77777777" w:rsidTr="00A34860">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D1D1D1" w:themeFill="background2" w:themeFillShade="E6"/>
            <w:vAlign w:val="center"/>
            <w:hideMark/>
          </w:tcPr>
          <w:p w14:paraId="58D445AC" w14:textId="77777777" w:rsidR="00AF13A8" w:rsidRPr="00AF13A8" w:rsidRDefault="00AF13A8" w:rsidP="00AF13A8">
            <w:pPr>
              <w:jc w:val="center"/>
              <w:rPr>
                <w:rFonts w:ascii="Arial" w:hAnsi="Arial" w:cs="Arial"/>
                <w:b w:val="0"/>
                <w:bCs w:val="0"/>
                <w:color w:val="000000" w:themeColor="text1"/>
                <w:sz w:val="13"/>
                <w:szCs w:val="13"/>
              </w:rPr>
            </w:pPr>
            <w:r w:rsidRPr="00AF13A8">
              <w:rPr>
                <w:rStyle w:val="Strong"/>
                <w:rFonts w:ascii="Arial" w:hAnsi="Arial" w:cs="Arial"/>
                <w:color w:val="000000" w:themeColor="text1"/>
                <w:sz w:val="13"/>
                <w:szCs w:val="13"/>
              </w:rPr>
              <w:t>Phage Resistance</w:t>
            </w:r>
          </w:p>
        </w:tc>
      </w:tr>
      <w:tr w:rsidR="00AF13A8" w:rsidRPr="00041217" w14:paraId="6BF03727" w14:textId="77777777" w:rsidTr="00211D69">
        <w:trPr>
          <w:trHeight w:val="279"/>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tcBorders>
            <w:vAlign w:val="center"/>
            <w:hideMark/>
          </w:tcPr>
          <w:p w14:paraId="23A7D865" w14:textId="7D70EF86"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 xml:space="preserve">Anti-phage defense </w:t>
            </w:r>
            <w:proofErr w:type="spellStart"/>
            <w:r w:rsidRPr="00AF13A8">
              <w:rPr>
                <w:rFonts w:ascii="Arial" w:hAnsi="Arial" w:cs="Arial"/>
                <w:b w:val="0"/>
                <w:bCs w:val="0"/>
                <w:color w:val="000000" w:themeColor="text1"/>
                <w:sz w:val="13"/>
                <w:szCs w:val="13"/>
              </w:rPr>
              <w:t>ZorAB</w:t>
            </w:r>
            <w:proofErr w:type="spellEnd"/>
            <w:r w:rsidRPr="00AF13A8">
              <w:rPr>
                <w:rFonts w:ascii="Arial" w:hAnsi="Arial" w:cs="Arial"/>
                <w:b w:val="0"/>
                <w:bCs w:val="0"/>
                <w:color w:val="000000" w:themeColor="text1"/>
                <w:sz w:val="13"/>
                <w:szCs w:val="13"/>
              </w:rPr>
              <w:t xml:space="preserve"> system protein </w:t>
            </w:r>
            <w:proofErr w:type="spellStart"/>
            <w:r w:rsidRPr="00AF13A8">
              <w:rPr>
                <w:rFonts w:ascii="Arial" w:hAnsi="Arial" w:cs="Arial"/>
                <w:b w:val="0"/>
                <w:bCs w:val="0"/>
                <w:color w:val="000000" w:themeColor="text1"/>
                <w:sz w:val="13"/>
                <w:szCs w:val="13"/>
              </w:rPr>
              <w:t>ZorA</w:t>
            </w:r>
            <w:proofErr w:type="spellEnd"/>
          </w:p>
        </w:tc>
        <w:tc>
          <w:tcPr>
            <w:tcW w:w="0" w:type="auto"/>
            <w:tcBorders>
              <w:top w:val="single" w:sz="8" w:space="0" w:color="auto"/>
            </w:tcBorders>
            <w:vAlign w:val="center"/>
            <w:hideMark/>
          </w:tcPr>
          <w:p w14:paraId="79257221" w14:textId="70A1D8D2"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membrane [GO:0016020]</w:t>
            </w:r>
          </w:p>
        </w:tc>
        <w:tc>
          <w:tcPr>
            <w:tcW w:w="0" w:type="auto"/>
            <w:tcBorders>
              <w:top w:val="single" w:sz="8" w:space="0" w:color="auto"/>
            </w:tcBorders>
            <w:vAlign w:val="center"/>
            <w:hideMark/>
          </w:tcPr>
          <w:p w14:paraId="2C985B38" w14:textId="77777777"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p>
        </w:tc>
      </w:tr>
      <w:tr w:rsidR="00AF13A8" w:rsidRPr="00041217" w14:paraId="773CC474" w14:textId="77777777" w:rsidTr="00A34860">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7980BBC4" w14:textId="0C07D4C5"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 xml:space="preserve">BREX-3 system P-loop-containing protein </w:t>
            </w:r>
            <w:proofErr w:type="spellStart"/>
            <w:r w:rsidRPr="00AF13A8">
              <w:rPr>
                <w:rFonts w:ascii="Arial" w:hAnsi="Arial" w:cs="Arial"/>
                <w:b w:val="0"/>
                <w:bCs w:val="0"/>
                <w:color w:val="000000" w:themeColor="text1"/>
                <w:sz w:val="13"/>
                <w:szCs w:val="13"/>
              </w:rPr>
              <w:t>BrxF</w:t>
            </w:r>
            <w:proofErr w:type="spellEnd"/>
          </w:p>
        </w:tc>
        <w:tc>
          <w:tcPr>
            <w:tcW w:w="0" w:type="auto"/>
            <w:shd w:val="clear" w:color="auto" w:fill="auto"/>
            <w:vAlign w:val="center"/>
            <w:hideMark/>
          </w:tcPr>
          <w:p w14:paraId="5AB03DEB" w14:textId="77777777"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p>
        </w:tc>
        <w:tc>
          <w:tcPr>
            <w:tcW w:w="0" w:type="auto"/>
            <w:shd w:val="clear" w:color="auto" w:fill="auto"/>
            <w:vAlign w:val="center"/>
            <w:hideMark/>
          </w:tcPr>
          <w:p w14:paraId="364459FB" w14:textId="77777777"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p>
        </w:tc>
      </w:tr>
      <w:tr w:rsidR="00AF13A8" w:rsidRPr="00041217" w14:paraId="53A19B17" w14:textId="77777777" w:rsidTr="00211D69">
        <w:trPr>
          <w:trHeight w:val="279"/>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auto"/>
            </w:tcBorders>
            <w:vAlign w:val="center"/>
            <w:hideMark/>
          </w:tcPr>
          <w:p w14:paraId="714980E9" w14:textId="237A535F"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 xml:space="preserve">BREX-3 system phosphatase </w:t>
            </w:r>
            <w:proofErr w:type="spellStart"/>
            <w:r w:rsidRPr="00AF13A8">
              <w:rPr>
                <w:rFonts w:ascii="Arial" w:hAnsi="Arial" w:cs="Arial"/>
                <w:b w:val="0"/>
                <w:bCs w:val="0"/>
                <w:color w:val="000000" w:themeColor="text1"/>
                <w:sz w:val="13"/>
                <w:szCs w:val="13"/>
              </w:rPr>
              <w:t>PglZ</w:t>
            </w:r>
            <w:proofErr w:type="spellEnd"/>
          </w:p>
        </w:tc>
        <w:tc>
          <w:tcPr>
            <w:tcW w:w="0" w:type="auto"/>
            <w:tcBorders>
              <w:bottom w:val="single" w:sz="8" w:space="0" w:color="auto"/>
            </w:tcBorders>
            <w:vAlign w:val="center"/>
            <w:hideMark/>
          </w:tcPr>
          <w:p w14:paraId="2BE364B4" w14:textId="77777777"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p>
        </w:tc>
        <w:tc>
          <w:tcPr>
            <w:tcW w:w="0" w:type="auto"/>
            <w:tcBorders>
              <w:bottom w:val="single" w:sz="8" w:space="0" w:color="auto"/>
            </w:tcBorders>
            <w:vAlign w:val="center"/>
            <w:hideMark/>
          </w:tcPr>
          <w:p w14:paraId="4D9B232F" w14:textId="77777777"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p>
        </w:tc>
      </w:tr>
      <w:tr w:rsidR="00AF13A8" w:rsidRPr="00041217" w14:paraId="78632CCD" w14:textId="77777777" w:rsidTr="00A34860">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D1D1D1" w:themeFill="background2" w:themeFillShade="E6"/>
            <w:vAlign w:val="center"/>
            <w:hideMark/>
          </w:tcPr>
          <w:p w14:paraId="79C79319" w14:textId="77777777" w:rsidR="00AF13A8" w:rsidRPr="00AF13A8" w:rsidRDefault="00AF13A8" w:rsidP="00AF13A8">
            <w:pPr>
              <w:jc w:val="center"/>
              <w:rPr>
                <w:rFonts w:ascii="Arial" w:hAnsi="Arial" w:cs="Arial"/>
                <w:b w:val="0"/>
                <w:bCs w:val="0"/>
                <w:color w:val="000000" w:themeColor="text1"/>
                <w:sz w:val="13"/>
                <w:szCs w:val="13"/>
              </w:rPr>
            </w:pPr>
            <w:r w:rsidRPr="00AF13A8">
              <w:rPr>
                <w:rStyle w:val="Strong"/>
                <w:rFonts w:ascii="Arial" w:hAnsi="Arial" w:cs="Arial"/>
                <w:color w:val="000000" w:themeColor="text1"/>
                <w:sz w:val="13"/>
                <w:szCs w:val="13"/>
              </w:rPr>
              <w:t>Stress (not related to metal pathways)</w:t>
            </w:r>
          </w:p>
        </w:tc>
      </w:tr>
      <w:tr w:rsidR="00AF13A8" w:rsidRPr="00041217" w14:paraId="423D8A4A" w14:textId="77777777" w:rsidTr="00211D69">
        <w:trPr>
          <w:trHeight w:val="659"/>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tcBorders>
            <w:vAlign w:val="center"/>
            <w:hideMark/>
          </w:tcPr>
          <w:p w14:paraId="0FBAA4F1" w14:textId="26DD3A21"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 xml:space="preserve">Multidrug transporter </w:t>
            </w:r>
            <w:proofErr w:type="spellStart"/>
            <w:r w:rsidRPr="00AF13A8">
              <w:rPr>
                <w:rFonts w:ascii="Arial" w:hAnsi="Arial" w:cs="Arial"/>
                <w:b w:val="0"/>
                <w:bCs w:val="0"/>
                <w:color w:val="000000" w:themeColor="text1"/>
                <w:sz w:val="13"/>
                <w:szCs w:val="13"/>
              </w:rPr>
              <w:t>EmrE</w:t>
            </w:r>
            <w:proofErr w:type="spellEnd"/>
          </w:p>
        </w:tc>
        <w:tc>
          <w:tcPr>
            <w:tcW w:w="0" w:type="auto"/>
            <w:tcBorders>
              <w:top w:val="single" w:sz="8" w:space="0" w:color="auto"/>
            </w:tcBorders>
            <w:vAlign w:val="center"/>
            <w:hideMark/>
          </w:tcPr>
          <w:p w14:paraId="06567DC2" w14:textId="100BDCEE"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glycine betaine transport [GO:0031460] amino-acid betaine transmembrane transporter activity [GO:0015199]; antiporter activity [GO:0015297]; choline transmembrane transporter activity [GO:0015220]</w:t>
            </w:r>
          </w:p>
        </w:tc>
        <w:tc>
          <w:tcPr>
            <w:tcW w:w="0" w:type="auto"/>
            <w:tcBorders>
              <w:top w:val="single" w:sz="8" w:space="0" w:color="auto"/>
            </w:tcBorders>
            <w:vAlign w:val="center"/>
            <w:hideMark/>
          </w:tcPr>
          <w:p w14:paraId="3F23248A" w14:textId="77777777"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p>
        </w:tc>
      </w:tr>
      <w:tr w:rsidR="00AF13A8" w:rsidRPr="00041217" w14:paraId="35BB48E7" w14:textId="77777777" w:rsidTr="00A34860">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4DEF0FA6" w14:textId="3227613E"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Thymidine phosphorylase (EC 2.4.2.4) (</w:t>
            </w:r>
            <w:proofErr w:type="spellStart"/>
            <w:r w:rsidRPr="00AF13A8">
              <w:rPr>
                <w:rFonts w:ascii="Arial" w:hAnsi="Arial" w:cs="Arial"/>
                <w:b w:val="0"/>
                <w:bCs w:val="0"/>
                <w:color w:val="000000" w:themeColor="text1"/>
                <w:sz w:val="13"/>
                <w:szCs w:val="13"/>
              </w:rPr>
              <w:t>TdRPase</w:t>
            </w:r>
            <w:proofErr w:type="spellEnd"/>
            <w:r w:rsidRPr="00AF13A8">
              <w:rPr>
                <w:rFonts w:ascii="Arial" w:hAnsi="Arial" w:cs="Arial"/>
                <w:b w:val="0"/>
                <w:bCs w:val="0"/>
                <w:color w:val="000000" w:themeColor="text1"/>
                <w:sz w:val="13"/>
                <w:szCs w:val="13"/>
              </w:rPr>
              <w:t>)</w:t>
            </w:r>
          </w:p>
        </w:tc>
        <w:tc>
          <w:tcPr>
            <w:tcW w:w="0" w:type="auto"/>
            <w:shd w:val="clear" w:color="auto" w:fill="auto"/>
            <w:vAlign w:val="center"/>
            <w:hideMark/>
          </w:tcPr>
          <w:p w14:paraId="67383A2E" w14:textId="2BCA45A4"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pyrimidine nucleobase metabolic process [GO:0006206]; thymidine metabolic process [GO:0046104] 1,4-alpha-oligoglucan phosphorylase activity [GO:0004645]; thymidine phosphorylase activity [GO:0009032]</w:t>
            </w:r>
          </w:p>
        </w:tc>
        <w:tc>
          <w:tcPr>
            <w:tcW w:w="0" w:type="auto"/>
            <w:shd w:val="clear" w:color="auto" w:fill="auto"/>
            <w:vAlign w:val="center"/>
            <w:hideMark/>
          </w:tcPr>
          <w:p w14:paraId="731CDF9C" w14:textId="77777777"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p>
        </w:tc>
      </w:tr>
      <w:tr w:rsidR="00AF13A8" w:rsidRPr="00041217" w14:paraId="009D6BF1" w14:textId="77777777" w:rsidTr="00211D69">
        <w:trPr>
          <w:trHeight w:val="279"/>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auto"/>
            </w:tcBorders>
            <w:vAlign w:val="center"/>
            <w:hideMark/>
          </w:tcPr>
          <w:p w14:paraId="6CE888AD" w14:textId="09DE6E50"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Transcription elongation protein SprT</w:t>
            </w:r>
          </w:p>
        </w:tc>
        <w:tc>
          <w:tcPr>
            <w:tcW w:w="0" w:type="auto"/>
            <w:tcBorders>
              <w:bottom w:val="single" w:sz="8" w:space="0" w:color="auto"/>
            </w:tcBorders>
            <w:vAlign w:val="center"/>
            <w:hideMark/>
          </w:tcPr>
          <w:p w14:paraId="2FD04EFB" w14:textId="353A9C59"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response to stress [GO:0006950]</w:t>
            </w:r>
          </w:p>
        </w:tc>
        <w:tc>
          <w:tcPr>
            <w:tcW w:w="0" w:type="auto"/>
            <w:tcBorders>
              <w:bottom w:val="single" w:sz="8" w:space="0" w:color="auto"/>
            </w:tcBorders>
            <w:vAlign w:val="center"/>
            <w:hideMark/>
          </w:tcPr>
          <w:p w14:paraId="6572CFDE" w14:textId="77777777"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p>
        </w:tc>
      </w:tr>
      <w:tr w:rsidR="00AF13A8" w:rsidRPr="00041217" w14:paraId="42DDD46C" w14:textId="77777777" w:rsidTr="00A34860">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D1D1D1" w:themeFill="background2" w:themeFillShade="E6"/>
            <w:vAlign w:val="center"/>
            <w:hideMark/>
          </w:tcPr>
          <w:p w14:paraId="3242AC6E" w14:textId="77777777" w:rsidR="00AF13A8" w:rsidRPr="00AF13A8" w:rsidRDefault="00AF13A8" w:rsidP="00AF13A8">
            <w:pPr>
              <w:jc w:val="center"/>
              <w:rPr>
                <w:rFonts w:ascii="Arial" w:hAnsi="Arial" w:cs="Arial"/>
                <w:b w:val="0"/>
                <w:bCs w:val="0"/>
                <w:color w:val="000000" w:themeColor="text1"/>
                <w:sz w:val="13"/>
                <w:szCs w:val="13"/>
              </w:rPr>
            </w:pPr>
            <w:r w:rsidRPr="00AF13A8">
              <w:rPr>
                <w:rStyle w:val="Strong"/>
                <w:rFonts w:ascii="Arial" w:hAnsi="Arial" w:cs="Arial"/>
                <w:color w:val="000000" w:themeColor="text1"/>
                <w:sz w:val="13"/>
                <w:szCs w:val="13"/>
              </w:rPr>
              <w:t>Other</w:t>
            </w:r>
          </w:p>
        </w:tc>
      </w:tr>
      <w:tr w:rsidR="00AF13A8" w:rsidRPr="00041217" w14:paraId="2858D00C" w14:textId="77777777" w:rsidTr="00211D69">
        <w:trPr>
          <w:trHeight w:val="659"/>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tcBorders>
            <w:vAlign w:val="center"/>
            <w:hideMark/>
          </w:tcPr>
          <w:p w14:paraId="532B1E1E" w14:textId="248CDF65"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Acetate/propionate family kinase (EC 2.7.2.1)</w:t>
            </w:r>
          </w:p>
        </w:tc>
        <w:tc>
          <w:tcPr>
            <w:tcW w:w="0" w:type="auto"/>
            <w:tcBorders>
              <w:top w:val="single" w:sz="8" w:space="0" w:color="auto"/>
            </w:tcBorders>
            <w:vAlign w:val="center"/>
            <w:hideMark/>
          </w:tcPr>
          <w:p w14:paraId="382F5631" w14:textId="4B62F018"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acetate metabolic process [GO:0006083] acetate kinase activity [GO:0008776]; acyltransferase activity, transferring groups other than amino-acyl groups [GO:0016747]; ATP binding [GO:0005524]</w:t>
            </w:r>
          </w:p>
        </w:tc>
        <w:tc>
          <w:tcPr>
            <w:tcW w:w="0" w:type="auto"/>
            <w:tcBorders>
              <w:top w:val="single" w:sz="8" w:space="0" w:color="auto"/>
            </w:tcBorders>
            <w:vAlign w:val="center"/>
            <w:hideMark/>
          </w:tcPr>
          <w:p w14:paraId="0B0A61DB" w14:textId="77777777"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p>
        </w:tc>
      </w:tr>
      <w:tr w:rsidR="00AF13A8" w:rsidRPr="00041217" w14:paraId="3BF9A90C" w14:textId="77777777" w:rsidTr="00A34860">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72322CC1" w14:textId="2DA1B0B8"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ADP-L-glycero-D-manno-heptose-6-epimerase (EC 5.1.3.20) (ADP-L-glycero-beta-D-manno-heptose-6-epimerase) (ADP-</w:t>
            </w:r>
            <w:proofErr w:type="spellStart"/>
            <w:r w:rsidRPr="00AF13A8">
              <w:rPr>
                <w:rFonts w:ascii="Arial" w:hAnsi="Arial" w:cs="Arial"/>
                <w:b w:val="0"/>
                <w:bCs w:val="0"/>
                <w:color w:val="000000" w:themeColor="text1"/>
                <w:sz w:val="13"/>
                <w:szCs w:val="13"/>
              </w:rPr>
              <w:t>glyceromanno</w:t>
            </w:r>
            <w:proofErr w:type="spellEnd"/>
            <w:r w:rsidRPr="00AF13A8">
              <w:rPr>
                <w:rFonts w:ascii="Arial" w:hAnsi="Arial" w:cs="Arial"/>
                <w:b w:val="0"/>
                <w:bCs w:val="0"/>
                <w:color w:val="000000" w:themeColor="text1"/>
                <w:sz w:val="13"/>
                <w:szCs w:val="13"/>
              </w:rPr>
              <w:t>-heptose 6-epimerase) (ADP-hep 6-epimerase) (AGME)</w:t>
            </w:r>
          </w:p>
        </w:tc>
        <w:tc>
          <w:tcPr>
            <w:tcW w:w="0" w:type="auto"/>
            <w:shd w:val="clear" w:color="auto" w:fill="auto"/>
            <w:vAlign w:val="center"/>
            <w:hideMark/>
          </w:tcPr>
          <w:p w14:paraId="09EBE47F" w14:textId="2F05612E"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ADP-L-</w:t>
            </w:r>
            <w:proofErr w:type="spellStart"/>
            <w:r w:rsidRPr="00AF13A8">
              <w:rPr>
                <w:rFonts w:ascii="Arial" w:hAnsi="Arial" w:cs="Arial"/>
                <w:color w:val="000000" w:themeColor="text1"/>
                <w:sz w:val="13"/>
                <w:szCs w:val="13"/>
              </w:rPr>
              <w:t>glycero</w:t>
            </w:r>
            <w:proofErr w:type="spellEnd"/>
            <w:r w:rsidRPr="00AF13A8">
              <w:rPr>
                <w:rFonts w:ascii="Arial" w:hAnsi="Arial" w:cs="Arial"/>
                <w:color w:val="000000" w:themeColor="text1"/>
                <w:sz w:val="13"/>
                <w:szCs w:val="13"/>
              </w:rPr>
              <w:t>-beta-D-</w:t>
            </w:r>
            <w:proofErr w:type="spellStart"/>
            <w:r w:rsidRPr="00AF13A8">
              <w:rPr>
                <w:rFonts w:ascii="Arial" w:hAnsi="Arial" w:cs="Arial"/>
                <w:color w:val="000000" w:themeColor="text1"/>
                <w:sz w:val="13"/>
                <w:szCs w:val="13"/>
              </w:rPr>
              <w:t>manno</w:t>
            </w:r>
            <w:proofErr w:type="spellEnd"/>
            <w:r w:rsidRPr="00AF13A8">
              <w:rPr>
                <w:rFonts w:ascii="Arial" w:hAnsi="Arial" w:cs="Arial"/>
                <w:color w:val="000000" w:themeColor="text1"/>
                <w:sz w:val="13"/>
                <w:szCs w:val="13"/>
              </w:rPr>
              <w:t>-heptose biosynthetic process [GO:0097171]; carbohydrate metabolic process [GO:0005975] ADP-</w:t>
            </w:r>
            <w:proofErr w:type="spellStart"/>
            <w:r w:rsidRPr="00AF13A8">
              <w:rPr>
                <w:rFonts w:ascii="Arial" w:hAnsi="Arial" w:cs="Arial"/>
                <w:color w:val="000000" w:themeColor="text1"/>
                <w:sz w:val="13"/>
                <w:szCs w:val="13"/>
              </w:rPr>
              <w:t>glyceromanno</w:t>
            </w:r>
            <w:proofErr w:type="spellEnd"/>
            <w:r w:rsidRPr="00AF13A8">
              <w:rPr>
                <w:rFonts w:ascii="Arial" w:hAnsi="Arial" w:cs="Arial"/>
                <w:color w:val="000000" w:themeColor="text1"/>
                <w:sz w:val="13"/>
                <w:szCs w:val="13"/>
              </w:rPr>
              <w:t>-heptose 6-epimerase activity [GO:0008712]; NADP binding [GO:0050661]</w:t>
            </w:r>
          </w:p>
        </w:tc>
        <w:tc>
          <w:tcPr>
            <w:tcW w:w="0" w:type="auto"/>
            <w:shd w:val="clear" w:color="auto" w:fill="auto"/>
            <w:vAlign w:val="center"/>
            <w:hideMark/>
          </w:tcPr>
          <w:p w14:paraId="39A9A3B2" w14:textId="77777777"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p>
        </w:tc>
      </w:tr>
      <w:tr w:rsidR="00AF13A8" w:rsidRPr="00041217" w14:paraId="09914048" w14:textId="77777777" w:rsidTr="00A34860">
        <w:trPr>
          <w:trHeight w:val="65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3D712D7" w14:textId="7C6DEF7C"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lastRenderedPageBreak/>
              <w:t>AGE family epimerase/isomerase</w:t>
            </w:r>
          </w:p>
        </w:tc>
        <w:tc>
          <w:tcPr>
            <w:tcW w:w="0" w:type="auto"/>
            <w:vAlign w:val="center"/>
            <w:hideMark/>
          </w:tcPr>
          <w:p w14:paraId="1CFAA803" w14:textId="208956B8"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 xml:space="preserve">6-sulfoquinovose(1-) catabolic process to </w:t>
            </w:r>
            <w:proofErr w:type="spellStart"/>
            <w:r w:rsidRPr="00AF13A8">
              <w:rPr>
                <w:rFonts w:ascii="Arial" w:hAnsi="Arial" w:cs="Arial"/>
                <w:color w:val="000000" w:themeColor="text1"/>
                <w:sz w:val="13"/>
                <w:szCs w:val="13"/>
              </w:rPr>
              <w:t>glycerone</w:t>
            </w:r>
            <w:proofErr w:type="spellEnd"/>
            <w:r w:rsidRPr="00AF13A8">
              <w:rPr>
                <w:rFonts w:ascii="Arial" w:hAnsi="Arial" w:cs="Arial"/>
                <w:color w:val="000000" w:themeColor="text1"/>
                <w:sz w:val="13"/>
                <w:szCs w:val="13"/>
              </w:rPr>
              <w:t xml:space="preserve"> phosphate and 3-sulfolactaldehyde [GO:0061720]; carbohydrate metabolic process [GO:0005975] </w:t>
            </w:r>
            <w:proofErr w:type="spellStart"/>
            <w:r w:rsidRPr="00AF13A8">
              <w:rPr>
                <w:rFonts w:ascii="Arial" w:hAnsi="Arial" w:cs="Arial"/>
                <w:color w:val="000000" w:themeColor="text1"/>
                <w:sz w:val="13"/>
                <w:szCs w:val="13"/>
              </w:rPr>
              <w:t>sulfoquinovose</w:t>
            </w:r>
            <w:proofErr w:type="spellEnd"/>
            <w:r w:rsidRPr="00AF13A8">
              <w:rPr>
                <w:rFonts w:ascii="Arial" w:hAnsi="Arial" w:cs="Arial"/>
                <w:color w:val="000000" w:themeColor="text1"/>
                <w:sz w:val="13"/>
                <w:szCs w:val="13"/>
              </w:rPr>
              <w:t xml:space="preserve"> isomerase activity [GO:0061593]</w:t>
            </w:r>
          </w:p>
        </w:tc>
        <w:tc>
          <w:tcPr>
            <w:tcW w:w="0" w:type="auto"/>
            <w:vAlign w:val="center"/>
            <w:hideMark/>
          </w:tcPr>
          <w:p w14:paraId="570C2FC3" w14:textId="77777777"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p>
        </w:tc>
      </w:tr>
      <w:tr w:rsidR="00AF13A8" w:rsidRPr="00041217" w14:paraId="63C7BBD2" w14:textId="77777777" w:rsidTr="00A34860">
        <w:trPr>
          <w:cnfStyle w:val="000000100000" w:firstRow="0" w:lastRow="0" w:firstColumn="0" w:lastColumn="0" w:oddVBand="0" w:evenVBand="0" w:oddHBand="1" w:evenHBand="0" w:firstRowFirstColumn="0" w:firstRowLastColumn="0" w:lastRowFirstColumn="0" w:lastRowLastColumn="0"/>
          <w:trHeight w:val="771"/>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245BC7F9" w14:textId="4FD08F42"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D-glycero-beta-D-manno-heptose-7-phosphate kinase</w:t>
            </w:r>
          </w:p>
        </w:tc>
        <w:tc>
          <w:tcPr>
            <w:tcW w:w="0" w:type="auto"/>
            <w:shd w:val="clear" w:color="auto" w:fill="auto"/>
            <w:vAlign w:val="center"/>
            <w:hideMark/>
          </w:tcPr>
          <w:p w14:paraId="70136FAC" w14:textId="0F14BC95"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ADP-L-</w:t>
            </w:r>
            <w:proofErr w:type="spellStart"/>
            <w:r w:rsidRPr="00AF13A8">
              <w:rPr>
                <w:rFonts w:ascii="Arial" w:hAnsi="Arial" w:cs="Arial"/>
                <w:color w:val="000000" w:themeColor="text1"/>
                <w:sz w:val="13"/>
                <w:szCs w:val="13"/>
              </w:rPr>
              <w:t>glycero</w:t>
            </w:r>
            <w:proofErr w:type="spellEnd"/>
            <w:r w:rsidRPr="00AF13A8">
              <w:rPr>
                <w:rFonts w:ascii="Arial" w:hAnsi="Arial" w:cs="Arial"/>
                <w:color w:val="000000" w:themeColor="text1"/>
                <w:sz w:val="13"/>
                <w:szCs w:val="13"/>
              </w:rPr>
              <w:t>-beta-D-</w:t>
            </w:r>
            <w:proofErr w:type="spellStart"/>
            <w:r w:rsidRPr="00AF13A8">
              <w:rPr>
                <w:rFonts w:ascii="Arial" w:hAnsi="Arial" w:cs="Arial"/>
                <w:color w:val="000000" w:themeColor="text1"/>
                <w:sz w:val="13"/>
                <w:szCs w:val="13"/>
              </w:rPr>
              <w:t>manno</w:t>
            </w:r>
            <w:proofErr w:type="spellEnd"/>
            <w:r w:rsidRPr="00AF13A8">
              <w:rPr>
                <w:rFonts w:ascii="Arial" w:hAnsi="Arial" w:cs="Arial"/>
                <w:color w:val="000000" w:themeColor="text1"/>
                <w:sz w:val="13"/>
                <w:szCs w:val="13"/>
              </w:rPr>
              <w:t xml:space="preserve">-heptose biosynthetic process [GO:0097171]; lipopolysaccharide core region biosynthetic process [GO:0009244]; ATP binding [GO:0005524]; heptose 7-phosphate kinase activity [GO:0033785]; heptose-1-phosphate </w:t>
            </w:r>
            <w:proofErr w:type="spellStart"/>
            <w:r w:rsidRPr="00AF13A8">
              <w:rPr>
                <w:rFonts w:ascii="Arial" w:hAnsi="Arial" w:cs="Arial"/>
                <w:color w:val="000000" w:themeColor="text1"/>
                <w:sz w:val="13"/>
                <w:szCs w:val="13"/>
              </w:rPr>
              <w:t>adenylyltransferase</w:t>
            </w:r>
            <w:proofErr w:type="spellEnd"/>
            <w:r w:rsidRPr="00AF13A8">
              <w:rPr>
                <w:rFonts w:ascii="Arial" w:hAnsi="Arial" w:cs="Arial"/>
                <w:color w:val="000000" w:themeColor="text1"/>
                <w:sz w:val="13"/>
                <w:szCs w:val="13"/>
              </w:rPr>
              <w:t xml:space="preserve"> activity [GO:0033786]; phosphotransferase activity, alcohol group as acceptor [GO:0016773]</w:t>
            </w:r>
          </w:p>
        </w:tc>
        <w:tc>
          <w:tcPr>
            <w:tcW w:w="0" w:type="auto"/>
            <w:shd w:val="clear" w:color="auto" w:fill="auto"/>
            <w:vAlign w:val="center"/>
            <w:hideMark/>
          </w:tcPr>
          <w:p w14:paraId="34B01FFB" w14:textId="77777777"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p>
        </w:tc>
      </w:tr>
      <w:tr w:rsidR="00AF13A8" w:rsidRPr="00041217" w14:paraId="650FD3EA" w14:textId="77777777" w:rsidTr="00A34860">
        <w:trPr>
          <w:trHeight w:val="49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07D46C0" w14:textId="29935F4C"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NERD domain-containing protein</w:t>
            </w:r>
          </w:p>
        </w:tc>
        <w:tc>
          <w:tcPr>
            <w:tcW w:w="0" w:type="auto"/>
            <w:vAlign w:val="center"/>
            <w:hideMark/>
          </w:tcPr>
          <w:p w14:paraId="610FF6F6" w14:textId="15BB9ECF"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recombinational repair [GO:0000725]; 3'-5' DNA helicase activity [GO:0043138]; ATP binding [GO:0005524]; DNA binding [GO:0003677]</w:t>
            </w:r>
          </w:p>
        </w:tc>
        <w:tc>
          <w:tcPr>
            <w:tcW w:w="0" w:type="auto"/>
            <w:vAlign w:val="center"/>
            <w:hideMark/>
          </w:tcPr>
          <w:p w14:paraId="3C821296" w14:textId="77777777"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p>
        </w:tc>
      </w:tr>
      <w:tr w:rsidR="00AF13A8" w:rsidRPr="00041217" w14:paraId="588814CD" w14:textId="77777777" w:rsidTr="00A34860">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2B41A687" w14:textId="59C82784"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Oleate hydratase (EC 4.2.1.53) (Fatty acid double bond hydratase) (Fatty acid hydratase) (Linoleate hydratase) (Myosin cross-reactive antigen) (MCRA)</w:t>
            </w:r>
          </w:p>
        </w:tc>
        <w:tc>
          <w:tcPr>
            <w:tcW w:w="0" w:type="auto"/>
            <w:shd w:val="clear" w:color="auto" w:fill="auto"/>
            <w:vAlign w:val="center"/>
            <w:hideMark/>
          </w:tcPr>
          <w:p w14:paraId="109E5FD0" w14:textId="6EA0D542"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fatty acid metabolic process [GO:0006631]; response to toxic substance [GO:0009636] FAD binding [GO:0071949]; fatty acid binding [GO:0005504]; oleate hydratase activity [GO:0050151]; protein homodimerization activity [GO:0042803]</w:t>
            </w:r>
          </w:p>
        </w:tc>
        <w:tc>
          <w:tcPr>
            <w:tcW w:w="0" w:type="auto"/>
            <w:shd w:val="clear" w:color="auto" w:fill="auto"/>
            <w:vAlign w:val="center"/>
            <w:hideMark/>
          </w:tcPr>
          <w:p w14:paraId="26CE6F14" w14:textId="77777777"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p>
        </w:tc>
      </w:tr>
      <w:tr w:rsidR="00AF13A8" w:rsidRPr="00041217" w14:paraId="3CB989FC" w14:textId="77777777" w:rsidTr="00A34860">
        <w:trPr>
          <w:trHeight w:val="49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792E1B3" w14:textId="2B222ACE"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type II restriction endonuclease</w:t>
            </w:r>
          </w:p>
        </w:tc>
        <w:tc>
          <w:tcPr>
            <w:tcW w:w="0" w:type="auto"/>
            <w:vAlign w:val="center"/>
            <w:hideMark/>
          </w:tcPr>
          <w:p w14:paraId="58E97913" w14:textId="58D0F4FB"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 xml:space="preserve">DNA restriction-modification system [GO:0009307]; DNA binding [GO:0003677]; restriction </w:t>
            </w:r>
            <w:proofErr w:type="spellStart"/>
            <w:r w:rsidRPr="00AF13A8">
              <w:rPr>
                <w:rFonts w:ascii="Arial" w:hAnsi="Arial" w:cs="Arial"/>
                <w:color w:val="000000" w:themeColor="text1"/>
                <w:sz w:val="13"/>
                <w:szCs w:val="13"/>
              </w:rPr>
              <w:t>endodeoxyribonuclease</w:t>
            </w:r>
            <w:proofErr w:type="spellEnd"/>
            <w:r w:rsidRPr="00AF13A8">
              <w:rPr>
                <w:rFonts w:ascii="Arial" w:hAnsi="Arial" w:cs="Arial"/>
                <w:color w:val="000000" w:themeColor="text1"/>
                <w:sz w:val="13"/>
                <w:szCs w:val="13"/>
              </w:rPr>
              <w:t xml:space="preserve"> activity [GO:0015666]</w:t>
            </w:r>
          </w:p>
        </w:tc>
        <w:tc>
          <w:tcPr>
            <w:tcW w:w="0" w:type="auto"/>
            <w:vAlign w:val="center"/>
            <w:hideMark/>
          </w:tcPr>
          <w:p w14:paraId="0FD6C112" w14:textId="77777777"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p>
        </w:tc>
      </w:tr>
      <w:tr w:rsidR="00AF13A8" w:rsidRPr="00041217" w14:paraId="026D1E49" w14:textId="77777777" w:rsidTr="00A34860">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34EF5619" w14:textId="63531A59"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 xml:space="preserve">Type-IV secretion system protein </w:t>
            </w:r>
            <w:proofErr w:type="spellStart"/>
            <w:r w:rsidRPr="00AF13A8">
              <w:rPr>
                <w:rFonts w:ascii="Arial" w:hAnsi="Arial" w:cs="Arial"/>
                <w:b w:val="0"/>
                <w:bCs w:val="0"/>
                <w:color w:val="000000" w:themeColor="text1"/>
                <w:sz w:val="13"/>
                <w:szCs w:val="13"/>
              </w:rPr>
              <w:t>TraC</w:t>
            </w:r>
            <w:proofErr w:type="spellEnd"/>
          </w:p>
        </w:tc>
        <w:tc>
          <w:tcPr>
            <w:tcW w:w="0" w:type="auto"/>
            <w:shd w:val="clear" w:color="auto" w:fill="auto"/>
            <w:vAlign w:val="center"/>
            <w:hideMark/>
          </w:tcPr>
          <w:p w14:paraId="5CC6D6D8" w14:textId="0626A805"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ATP hydrolysis activity [GO:0016887]</w:t>
            </w:r>
          </w:p>
        </w:tc>
        <w:tc>
          <w:tcPr>
            <w:tcW w:w="0" w:type="auto"/>
            <w:shd w:val="clear" w:color="auto" w:fill="auto"/>
            <w:vAlign w:val="center"/>
            <w:hideMark/>
          </w:tcPr>
          <w:p w14:paraId="532D0D89" w14:textId="77777777"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p>
        </w:tc>
      </w:tr>
      <w:tr w:rsidR="00AF13A8" w:rsidRPr="00041217" w14:paraId="0AD77D70" w14:textId="77777777" w:rsidTr="00A34860">
        <w:trPr>
          <w:trHeight w:val="65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F2F7E02" w14:textId="14087992"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XRE family transcriptional regulator</w:t>
            </w:r>
          </w:p>
        </w:tc>
        <w:tc>
          <w:tcPr>
            <w:tcW w:w="0" w:type="auto"/>
            <w:vAlign w:val="center"/>
            <w:hideMark/>
          </w:tcPr>
          <w:p w14:paraId="4C01E201" w14:textId="242CA0E5"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 xml:space="preserve">regulation of DNA-templated transcription [GO:0006355]; </w:t>
            </w:r>
            <w:proofErr w:type="spellStart"/>
            <w:r w:rsidRPr="00AF13A8">
              <w:rPr>
                <w:rFonts w:ascii="Arial" w:hAnsi="Arial" w:cs="Arial"/>
                <w:color w:val="000000" w:themeColor="text1"/>
                <w:sz w:val="13"/>
                <w:szCs w:val="13"/>
              </w:rPr>
              <w:t>phosphorelay</w:t>
            </w:r>
            <w:proofErr w:type="spellEnd"/>
            <w:r w:rsidRPr="00AF13A8">
              <w:rPr>
                <w:rFonts w:ascii="Arial" w:hAnsi="Arial" w:cs="Arial"/>
                <w:color w:val="000000" w:themeColor="text1"/>
                <w:sz w:val="13"/>
                <w:szCs w:val="13"/>
              </w:rPr>
              <w:t xml:space="preserve"> response regulator activity [GO:0000156]; transcription cis-regulatory region binding [GO:0000976]</w:t>
            </w:r>
          </w:p>
        </w:tc>
        <w:tc>
          <w:tcPr>
            <w:tcW w:w="0" w:type="auto"/>
            <w:vAlign w:val="center"/>
            <w:hideMark/>
          </w:tcPr>
          <w:p w14:paraId="7F481195" w14:textId="77777777"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p>
        </w:tc>
      </w:tr>
      <w:tr w:rsidR="00AF13A8" w:rsidRPr="00041217" w14:paraId="270EA91C" w14:textId="77777777" w:rsidTr="00A34860">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07F3F25B" w14:textId="5F253646" w:rsidR="00AF13A8" w:rsidRPr="00AF13A8" w:rsidRDefault="00AF13A8" w:rsidP="00AF13A8">
            <w:pPr>
              <w:rPr>
                <w:rFonts w:ascii="Arial" w:hAnsi="Arial" w:cs="Arial"/>
                <w:b w:val="0"/>
                <w:bCs w:val="0"/>
                <w:color w:val="000000" w:themeColor="text1"/>
                <w:sz w:val="13"/>
                <w:szCs w:val="13"/>
              </w:rPr>
            </w:pPr>
            <w:proofErr w:type="spellStart"/>
            <w:r w:rsidRPr="00AF13A8">
              <w:rPr>
                <w:rFonts w:ascii="Arial" w:hAnsi="Arial" w:cs="Arial"/>
                <w:b w:val="0"/>
                <w:bCs w:val="0"/>
                <w:color w:val="000000" w:themeColor="text1"/>
                <w:sz w:val="13"/>
                <w:szCs w:val="13"/>
              </w:rPr>
              <w:t>YgjV</w:t>
            </w:r>
            <w:proofErr w:type="spellEnd"/>
            <w:r w:rsidRPr="00AF13A8">
              <w:rPr>
                <w:rFonts w:ascii="Arial" w:hAnsi="Arial" w:cs="Arial"/>
                <w:b w:val="0"/>
                <w:bCs w:val="0"/>
                <w:color w:val="000000" w:themeColor="text1"/>
                <w:sz w:val="13"/>
                <w:szCs w:val="13"/>
              </w:rPr>
              <w:t xml:space="preserve"> family protein</w:t>
            </w:r>
          </w:p>
        </w:tc>
        <w:tc>
          <w:tcPr>
            <w:tcW w:w="0" w:type="auto"/>
            <w:shd w:val="clear" w:color="auto" w:fill="auto"/>
            <w:vAlign w:val="center"/>
            <w:hideMark/>
          </w:tcPr>
          <w:p w14:paraId="34A5372B" w14:textId="31A00767"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r w:rsidRPr="00AF13A8">
              <w:rPr>
                <w:rFonts w:ascii="Arial" w:hAnsi="Arial" w:cs="Arial"/>
                <w:color w:val="000000" w:themeColor="text1"/>
                <w:sz w:val="13"/>
                <w:szCs w:val="13"/>
              </w:rPr>
              <w:t>membrane [GO:0016020]</w:t>
            </w:r>
          </w:p>
        </w:tc>
        <w:tc>
          <w:tcPr>
            <w:tcW w:w="0" w:type="auto"/>
            <w:shd w:val="clear" w:color="auto" w:fill="auto"/>
            <w:vAlign w:val="center"/>
            <w:hideMark/>
          </w:tcPr>
          <w:p w14:paraId="4142499B" w14:textId="77777777" w:rsidR="00AF13A8" w:rsidRPr="00AF13A8" w:rsidRDefault="00AF13A8" w:rsidP="00AF13A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3"/>
                <w:szCs w:val="13"/>
              </w:rPr>
            </w:pPr>
          </w:p>
        </w:tc>
      </w:tr>
      <w:tr w:rsidR="00AF13A8" w:rsidRPr="00041217" w14:paraId="2E70D252" w14:textId="77777777" w:rsidTr="00211D69">
        <w:trPr>
          <w:trHeight w:val="279"/>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auto"/>
            </w:tcBorders>
            <w:vAlign w:val="center"/>
            <w:hideMark/>
          </w:tcPr>
          <w:p w14:paraId="787A5CED" w14:textId="6348CA71" w:rsidR="00AF13A8" w:rsidRPr="00AF13A8" w:rsidRDefault="00AF13A8" w:rsidP="00AF13A8">
            <w:pPr>
              <w:rPr>
                <w:rFonts w:ascii="Arial" w:hAnsi="Arial" w:cs="Arial"/>
                <w:b w:val="0"/>
                <w:bCs w:val="0"/>
                <w:color w:val="000000" w:themeColor="text1"/>
                <w:sz w:val="13"/>
                <w:szCs w:val="13"/>
              </w:rPr>
            </w:pPr>
            <w:proofErr w:type="spellStart"/>
            <w:r w:rsidRPr="00AF13A8">
              <w:rPr>
                <w:rFonts w:ascii="Arial" w:hAnsi="Arial" w:cs="Arial"/>
                <w:b w:val="0"/>
                <w:bCs w:val="0"/>
                <w:color w:val="000000" w:themeColor="text1"/>
                <w:sz w:val="13"/>
                <w:szCs w:val="13"/>
              </w:rPr>
              <w:t>DsbC</w:t>
            </w:r>
            <w:proofErr w:type="spellEnd"/>
            <w:r w:rsidRPr="00AF13A8">
              <w:rPr>
                <w:rFonts w:ascii="Arial" w:hAnsi="Arial" w:cs="Arial"/>
                <w:b w:val="0"/>
                <w:bCs w:val="0"/>
                <w:color w:val="000000" w:themeColor="text1"/>
                <w:sz w:val="13"/>
                <w:szCs w:val="13"/>
              </w:rPr>
              <w:t xml:space="preserve"> family protein</w:t>
            </w:r>
          </w:p>
        </w:tc>
        <w:tc>
          <w:tcPr>
            <w:tcW w:w="0" w:type="auto"/>
            <w:vAlign w:val="center"/>
            <w:hideMark/>
          </w:tcPr>
          <w:p w14:paraId="094BF46D" w14:textId="77777777"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p>
        </w:tc>
        <w:tc>
          <w:tcPr>
            <w:tcW w:w="0" w:type="auto"/>
            <w:tcBorders>
              <w:bottom w:val="single" w:sz="8" w:space="0" w:color="auto"/>
            </w:tcBorders>
            <w:vAlign w:val="center"/>
            <w:hideMark/>
          </w:tcPr>
          <w:p w14:paraId="41ECA488" w14:textId="77777777"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p>
        </w:tc>
      </w:tr>
      <w:tr w:rsidR="00AF13A8" w:rsidRPr="00041217" w14:paraId="19B0BDDC" w14:textId="77777777" w:rsidTr="00A34860">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8" w:space="0" w:color="auto"/>
            </w:tcBorders>
            <w:shd w:val="clear" w:color="auto" w:fill="D1D1D1" w:themeFill="background2" w:themeFillShade="E6"/>
            <w:vAlign w:val="center"/>
            <w:hideMark/>
          </w:tcPr>
          <w:p w14:paraId="39415042" w14:textId="77777777" w:rsidR="00AF13A8" w:rsidRPr="00AF13A8" w:rsidRDefault="00AF13A8" w:rsidP="00AF13A8">
            <w:pPr>
              <w:jc w:val="center"/>
              <w:rPr>
                <w:rFonts w:ascii="Arial" w:hAnsi="Arial" w:cs="Arial"/>
                <w:b w:val="0"/>
                <w:bCs w:val="0"/>
                <w:color w:val="000000" w:themeColor="text1"/>
                <w:sz w:val="13"/>
                <w:szCs w:val="13"/>
              </w:rPr>
            </w:pPr>
            <w:r w:rsidRPr="00AF13A8">
              <w:rPr>
                <w:rStyle w:val="Strong"/>
                <w:rFonts w:ascii="Arial" w:hAnsi="Arial" w:cs="Arial"/>
                <w:color w:val="000000" w:themeColor="text1"/>
                <w:sz w:val="13"/>
                <w:szCs w:val="13"/>
              </w:rPr>
              <w:t>Unknown Function</w:t>
            </w:r>
          </w:p>
        </w:tc>
      </w:tr>
      <w:tr w:rsidR="00AF13A8" w:rsidRPr="00041217" w14:paraId="73483BCE" w14:textId="77777777" w:rsidTr="00211D69">
        <w:trPr>
          <w:trHeight w:val="279"/>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tcBorders>
            <w:vAlign w:val="center"/>
            <w:hideMark/>
          </w:tcPr>
          <w:p w14:paraId="2C705825" w14:textId="7A8B2A96" w:rsidR="00AF13A8" w:rsidRPr="00AF13A8" w:rsidRDefault="00AF13A8" w:rsidP="00AF13A8">
            <w:pPr>
              <w:rPr>
                <w:rFonts w:ascii="Arial" w:hAnsi="Arial" w:cs="Arial"/>
                <w:b w:val="0"/>
                <w:bCs w:val="0"/>
                <w:color w:val="000000" w:themeColor="text1"/>
                <w:sz w:val="13"/>
                <w:szCs w:val="13"/>
              </w:rPr>
            </w:pPr>
            <w:r w:rsidRPr="00AF13A8">
              <w:rPr>
                <w:rFonts w:ascii="Arial" w:hAnsi="Arial" w:cs="Arial"/>
                <w:b w:val="0"/>
                <w:bCs w:val="0"/>
                <w:color w:val="000000" w:themeColor="text1"/>
                <w:sz w:val="13"/>
                <w:szCs w:val="13"/>
              </w:rPr>
              <w:t>TIGR02391 family protein</w:t>
            </w:r>
          </w:p>
        </w:tc>
        <w:tc>
          <w:tcPr>
            <w:tcW w:w="0" w:type="auto"/>
            <w:tcBorders>
              <w:top w:val="single" w:sz="8" w:space="0" w:color="auto"/>
            </w:tcBorders>
            <w:vAlign w:val="center"/>
            <w:hideMark/>
          </w:tcPr>
          <w:p w14:paraId="6CF25842" w14:textId="77777777"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p>
        </w:tc>
        <w:tc>
          <w:tcPr>
            <w:tcW w:w="0" w:type="auto"/>
            <w:tcBorders>
              <w:top w:val="single" w:sz="8" w:space="0" w:color="auto"/>
            </w:tcBorders>
            <w:vAlign w:val="center"/>
            <w:hideMark/>
          </w:tcPr>
          <w:p w14:paraId="2830CD7F" w14:textId="77777777" w:rsidR="00AF13A8" w:rsidRPr="00AF13A8" w:rsidRDefault="00AF13A8" w:rsidP="00AF13A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3"/>
                <w:szCs w:val="13"/>
              </w:rPr>
            </w:pPr>
          </w:p>
        </w:tc>
      </w:tr>
    </w:tbl>
    <w:p w14:paraId="45AC3650" w14:textId="77777777" w:rsidR="00AF13A8" w:rsidRDefault="00AF13A8">
      <w:pPr>
        <w:rPr>
          <w:lang w:val="en-US"/>
        </w:rPr>
      </w:pPr>
    </w:p>
    <w:p w14:paraId="45AE8C59" w14:textId="77777777" w:rsidR="00AF13A8" w:rsidRPr="001E6DA7" w:rsidRDefault="00AF13A8">
      <w:pPr>
        <w:rPr>
          <w:sz w:val="12"/>
          <w:szCs w:val="12"/>
          <w:lang w:val="en-US"/>
        </w:rPr>
      </w:pPr>
    </w:p>
    <w:p w14:paraId="219D3951" w14:textId="77777777" w:rsidR="001E6DA7" w:rsidRPr="001E6DA7" w:rsidRDefault="001E6DA7" w:rsidP="001E6DA7">
      <w:pPr>
        <w:spacing w:after="160"/>
        <w:rPr>
          <w:rFonts w:ascii="Arial" w:hAnsi="Arial" w:cs="Arial"/>
          <w:color w:val="00B050"/>
          <w:sz w:val="12"/>
          <w:szCs w:val="12"/>
          <w:lang w:val="en-US"/>
        </w:rPr>
      </w:pPr>
      <w:r w:rsidRPr="001E6DA7">
        <w:rPr>
          <w:rFonts w:ascii="Arial" w:hAnsi="Arial" w:cs="Arial"/>
          <w:color w:val="00B050"/>
          <w:sz w:val="12"/>
          <w:szCs w:val="12"/>
          <w:lang w:val="en-US"/>
        </w:rPr>
        <w:t>Reference</w:t>
      </w:r>
    </w:p>
    <w:p w14:paraId="1BA29CB6" w14:textId="08B431A0" w:rsidR="001E6DA7" w:rsidRPr="001E6DA7" w:rsidRDefault="001E6DA7" w:rsidP="001E6DA7">
      <w:pPr>
        <w:spacing w:after="160"/>
        <w:rPr>
          <w:rFonts w:ascii="Arial" w:hAnsi="Arial" w:cs="Arial"/>
          <w:color w:val="00B050"/>
          <w:sz w:val="12"/>
          <w:szCs w:val="12"/>
          <w:lang w:val="en-US"/>
        </w:rPr>
      </w:pPr>
      <w:r w:rsidRPr="001E6DA7">
        <w:rPr>
          <w:rFonts w:ascii="Arial" w:hAnsi="Arial" w:cs="Arial"/>
          <w:color w:val="00B050"/>
          <w:sz w:val="12"/>
          <w:szCs w:val="12"/>
          <w:lang w:val="en-US"/>
        </w:rPr>
        <w:t xml:space="preserve">Prjibelski, A., Antipov, D., Meleshko, D., Lapidus, A. &amp; </w:t>
      </w:r>
      <w:proofErr w:type="spellStart"/>
      <w:r w:rsidRPr="001E6DA7">
        <w:rPr>
          <w:rFonts w:ascii="Arial" w:hAnsi="Arial" w:cs="Arial"/>
          <w:color w:val="00B050"/>
          <w:sz w:val="12"/>
          <w:szCs w:val="12"/>
          <w:lang w:val="en-US"/>
        </w:rPr>
        <w:t>Korobeynikov</w:t>
      </w:r>
      <w:proofErr w:type="spellEnd"/>
      <w:r w:rsidRPr="001E6DA7">
        <w:rPr>
          <w:rFonts w:ascii="Arial" w:hAnsi="Arial" w:cs="Arial"/>
          <w:color w:val="00B050"/>
          <w:sz w:val="12"/>
          <w:szCs w:val="12"/>
          <w:lang w:val="en-US"/>
        </w:rPr>
        <w:t xml:space="preserve">, A. Using </w:t>
      </w:r>
      <w:proofErr w:type="spellStart"/>
      <w:r w:rsidRPr="001E6DA7">
        <w:rPr>
          <w:rFonts w:ascii="Arial" w:hAnsi="Arial" w:cs="Arial"/>
          <w:color w:val="00B050"/>
          <w:sz w:val="12"/>
          <w:szCs w:val="12"/>
          <w:lang w:val="en-US"/>
        </w:rPr>
        <w:t>SPAdes</w:t>
      </w:r>
      <w:proofErr w:type="spellEnd"/>
      <w:r w:rsidRPr="001E6DA7">
        <w:rPr>
          <w:rFonts w:ascii="Arial" w:hAnsi="Arial" w:cs="Arial"/>
          <w:color w:val="00B050"/>
          <w:sz w:val="12"/>
          <w:szCs w:val="12"/>
          <w:lang w:val="en-US"/>
        </w:rPr>
        <w:t xml:space="preserve"> De Novo Assembler. Curr. </w:t>
      </w:r>
      <w:proofErr w:type="spellStart"/>
      <w:r w:rsidRPr="001E6DA7">
        <w:rPr>
          <w:rFonts w:ascii="Arial" w:hAnsi="Arial" w:cs="Arial"/>
          <w:color w:val="00B050"/>
          <w:sz w:val="12"/>
          <w:szCs w:val="12"/>
          <w:lang w:val="en-US"/>
        </w:rPr>
        <w:t>Protoc</w:t>
      </w:r>
      <w:proofErr w:type="spellEnd"/>
      <w:r w:rsidRPr="001E6DA7">
        <w:rPr>
          <w:rFonts w:ascii="Arial" w:hAnsi="Arial" w:cs="Arial"/>
          <w:color w:val="00B050"/>
          <w:sz w:val="12"/>
          <w:szCs w:val="12"/>
          <w:lang w:val="en-US"/>
        </w:rPr>
        <w:t xml:space="preserve">. </w:t>
      </w:r>
      <w:proofErr w:type="spellStart"/>
      <w:r w:rsidRPr="001E6DA7">
        <w:rPr>
          <w:rFonts w:ascii="Arial" w:hAnsi="Arial" w:cs="Arial"/>
          <w:color w:val="00B050"/>
          <w:sz w:val="12"/>
          <w:szCs w:val="12"/>
          <w:lang w:val="en-US"/>
        </w:rPr>
        <w:t>Bioinforma</w:t>
      </w:r>
      <w:proofErr w:type="spellEnd"/>
      <w:r w:rsidRPr="001E6DA7">
        <w:rPr>
          <w:rFonts w:ascii="Arial" w:hAnsi="Arial" w:cs="Arial"/>
          <w:color w:val="00B050"/>
          <w:sz w:val="12"/>
          <w:szCs w:val="12"/>
          <w:lang w:val="en-US"/>
        </w:rPr>
        <w:t>. 70, e102 (2020).</w:t>
      </w:r>
    </w:p>
    <w:p w14:paraId="0BA867B2" w14:textId="03E08C36" w:rsidR="001E6DA7" w:rsidRPr="001E6DA7" w:rsidRDefault="001E6DA7" w:rsidP="001E6DA7">
      <w:pPr>
        <w:spacing w:after="160"/>
        <w:rPr>
          <w:rFonts w:ascii="Arial" w:hAnsi="Arial" w:cs="Arial"/>
          <w:color w:val="00B050"/>
          <w:sz w:val="12"/>
          <w:szCs w:val="12"/>
          <w:lang w:val="en-US"/>
        </w:rPr>
      </w:pPr>
      <w:r w:rsidRPr="001E6DA7">
        <w:rPr>
          <w:rFonts w:ascii="Arial" w:hAnsi="Arial" w:cs="Arial"/>
          <w:color w:val="00B050"/>
          <w:sz w:val="12"/>
          <w:szCs w:val="12"/>
          <w:lang w:val="en-US"/>
        </w:rPr>
        <w:t xml:space="preserve">Alonge, M. et al. Automated assembly scaffolding using </w:t>
      </w:r>
      <w:proofErr w:type="spellStart"/>
      <w:r w:rsidRPr="001E6DA7">
        <w:rPr>
          <w:rFonts w:ascii="Arial" w:hAnsi="Arial" w:cs="Arial"/>
          <w:color w:val="00B050"/>
          <w:sz w:val="12"/>
          <w:szCs w:val="12"/>
          <w:lang w:val="en-US"/>
        </w:rPr>
        <w:t>RagTag</w:t>
      </w:r>
      <w:proofErr w:type="spellEnd"/>
      <w:r w:rsidRPr="001E6DA7">
        <w:rPr>
          <w:rFonts w:ascii="Arial" w:hAnsi="Arial" w:cs="Arial"/>
          <w:color w:val="00B050"/>
          <w:sz w:val="12"/>
          <w:szCs w:val="12"/>
          <w:lang w:val="en-US"/>
        </w:rPr>
        <w:t xml:space="preserve"> elevates a new tomato system for high-throughput genome editing. Genome Biol. 23, 258 (2022).</w:t>
      </w:r>
    </w:p>
    <w:p w14:paraId="25D28B05" w14:textId="586FB939" w:rsidR="001E6DA7" w:rsidRPr="001E6DA7" w:rsidRDefault="001E6DA7" w:rsidP="001E6DA7">
      <w:pPr>
        <w:spacing w:after="160"/>
        <w:rPr>
          <w:rFonts w:ascii="Arial" w:hAnsi="Arial" w:cs="Arial"/>
          <w:color w:val="00B050"/>
          <w:sz w:val="12"/>
          <w:szCs w:val="12"/>
          <w:lang w:val="en-US"/>
        </w:rPr>
      </w:pPr>
      <w:r w:rsidRPr="001E6DA7">
        <w:rPr>
          <w:rFonts w:ascii="Arial" w:hAnsi="Arial" w:cs="Arial"/>
          <w:color w:val="00B050"/>
          <w:sz w:val="12"/>
          <w:szCs w:val="12"/>
          <w:lang w:val="en-US"/>
        </w:rPr>
        <w:t xml:space="preserve">Manni, M., Berkeley, M. R., </w:t>
      </w:r>
      <w:proofErr w:type="spellStart"/>
      <w:r w:rsidRPr="001E6DA7">
        <w:rPr>
          <w:rFonts w:ascii="Arial" w:hAnsi="Arial" w:cs="Arial"/>
          <w:color w:val="00B050"/>
          <w:sz w:val="12"/>
          <w:szCs w:val="12"/>
          <w:lang w:val="en-US"/>
        </w:rPr>
        <w:t>Seppey</w:t>
      </w:r>
      <w:proofErr w:type="spellEnd"/>
      <w:r w:rsidRPr="001E6DA7">
        <w:rPr>
          <w:rFonts w:ascii="Arial" w:hAnsi="Arial" w:cs="Arial"/>
          <w:color w:val="00B050"/>
          <w:sz w:val="12"/>
          <w:szCs w:val="12"/>
          <w:lang w:val="en-US"/>
        </w:rPr>
        <w:t>, M., Simão, F. A. &amp; Zdobnov, E. M. BUSCO Update: Novel and Streamlined Workflows along with Broader and Deeper Phylogenetic Coverage for Scoring of Eukaryotic, Prokaryotic, and Viral Genomes. Mol. Biol. Evol. 38, 4647–4654 (2021).</w:t>
      </w:r>
    </w:p>
    <w:p w14:paraId="46655422" w14:textId="5121B618" w:rsidR="001E6DA7" w:rsidRPr="001E6DA7" w:rsidRDefault="001E6DA7" w:rsidP="001E6DA7">
      <w:pPr>
        <w:spacing w:after="160"/>
        <w:rPr>
          <w:rFonts w:ascii="Arial" w:hAnsi="Arial" w:cs="Arial"/>
          <w:color w:val="00B050"/>
          <w:sz w:val="12"/>
          <w:szCs w:val="12"/>
          <w:lang w:val="en-US"/>
        </w:rPr>
      </w:pPr>
      <w:r w:rsidRPr="001E6DA7">
        <w:rPr>
          <w:rFonts w:ascii="Arial" w:hAnsi="Arial" w:cs="Arial"/>
          <w:color w:val="00B050"/>
          <w:sz w:val="12"/>
          <w:szCs w:val="12"/>
          <w:lang w:val="en-US"/>
        </w:rPr>
        <w:t xml:space="preserve">Challis, R. </w:t>
      </w:r>
      <w:proofErr w:type="spellStart"/>
      <w:r w:rsidRPr="001E6DA7">
        <w:rPr>
          <w:rFonts w:ascii="Arial" w:hAnsi="Arial" w:cs="Arial"/>
          <w:color w:val="00B050"/>
          <w:sz w:val="12"/>
          <w:szCs w:val="12"/>
          <w:lang w:val="en-US"/>
        </w:rPr>
        <w:t>rjchallis</w:t>
      </w:r>
      <w:proofErr w:type="spellEnd"/>
      <w:r w:rsidRPr="001E6DA7">
        <w:rPr>
          <w:rFonts w:ascii="Arial" w:hAnsi="Arial" w:cs="Arial"/>
          <w:color w:val="00B050"/>
          <w:sz w:val="12"/>
          <w:szCs w:val="12"/>
          <w:lang w:val="en-US"/>
        </w:rPr>
        <w:t>/assembly-stats. (2017).</w:t>
      </w:r>
    </w:p>
    <w:p w14:paraId="5B2C2691" w14:textId="15539043" w:rsidR="001E6DA7" w:rsidRPr="001E6DA7" w:rsidRDefault="001E6DA7" w:rsidP="001E6DA7">
      <w:pPr>
        <w:spacing w:after="160"/>
        <w:rPr>
          <w:rFonts w:ascii="Arial" w:hAnsi="Arial" w:cs="Arial"/>
          <w:color w:val="00B050"/>
          <w:sz w:val="12"/>
          <w:szCs w:val="12"/>
          <w:lang w:val="en-US"/>
        </w:rPr>
      </w:pPr>
      <w:r w:rsidRPr="001E6DA7">
        <w:rPr>
          <w:rFonts w:ascii="Arial" w:hAnsi="Arial" w:cs="Arial"/>
          <w:color w:val="00B050"/>
          <w:sz w:val="12"/>
          <w:szCs w:val="12"/>
          <w:lang w:val="en-US"/>
        </w:rPr>
        <w:t>Pritchard, L., Glover, R. H., Humphris, S., Elphinstone, J. G. &amp; Toth, I. K. Genomics and taxonomy in diagnostics for food security: soft-rotting enterobacterial plant pathogens. Anal. Methods 8, 12–24 (2016).</w:t>
      </w:r>
    </w:p>
    <w:p w14:paraId="21BC03FB" w14:textId="41D21023" w:rsidR="001E6DA7" w:rsidRPr="001E6DA7" w:rsidRDefault="001E6DA7" w:rsidP="001E6DA7">
      <w:pPr>
        <w:spacing w:after="160"/>
        <w:rPr>
          <w:rFonts w:ascii="Arial" w:hAnsi="Arial" w:cs="Arial"/>
          <w:color w:val="00B050"/>
          <w:sz w:val="12"/>
          <w:szCs w:val="12"/>
          <w:lang w:val="en-US"/>
        </w:rPr>
      </w:pPr>
      <w:r w:rsidRPr="001E6DA7">
        <w:rPr>
          <w:rFonts w:ascii="Arial" w:hAnsi="Arial" w:cs="Arial"/>
          <w:color w:val="00B050"/>
          <w:sz w:val="12"/>
          <w:szCs w:val="12"/>
          <w:lang w:val="en-US"/>
        </w:rPr>
        <w:t>Minh, B. Q. et al. IQ-TREE 2: New Models and Efficient Methods for Phylogenetic Inference in the Genomic Era. Mol. Biol. Evol. 37, 1530–1534 (2020).</w:t>
      </w:r>
    </w:p>
    <w:p w14:paraId="7C1430B6" w14:textId="32C1F897" w:rsidR="001E6DA7" w:rsidRPr="001E6DA7" w:rsidRDefault="001E6DA7" w:rsidP="001E6DA7">
      <w:pPr>
        <w:spacing w:after="160"/>
        <w:rPr>
          <w:rFonts w:ascii="Arial" w:hAnsi="Arial" w:cs="Arial"/>
          <w:color w:val="00B050"/>
          <w:sz w:val="12"/>
          <w:szCs w:val="12"/>
          <w:lang w:val="en-US"/>
        </w:rPr>
      </w:pPr>
      <w:proofErr w:type="spellStart"/>
      <w:r w:rsidRPr="001E6DA7">
        <w:rPr>
          <w:rFonts w:ascii="Arial" w:hAnsi="Arial" w:cs="Arial"/>
          <w:color w:val="00B050"/>
          <w:sz w:val="12"/>
          <w:szCs w:val="12"/>
          <w:lang w:val="en-US"/>
        </w:rPr>
        <w:t>Kalyaanamoorthy</w:t>
      </w:r>
      <w:proofErr w:type="spellEnd"/>
      <w:r w:rsidRPr="001E6DA7">
        <w:rPr>
          <w:rFonts w:ascii="Arial" w:hAnsi="Arial" w:cs="Arial"/>
          <w:color w:val="00B050"/>
          <w:sz w:val="12"/>
          <w:szCs w:val="12"/>
          <w:lang w:val="en-US"/>
        </w:rPr>
        <w:t xml:space="preserve">, S., Minh, B. Q., Wong, T. K. F., Von Haeseler, A. &amp; Jermiin, L. S. </w:t>
      </w:r>
      <w:proofErr w:type="spellStart"/>
      <w:r w:rsidRPr="001E6DA7">
        <w:rPr>
          <w:rFonts w:ascii="Arial" w:hAnsi="Arial" w:cs="Arial"/>
          <w:color w:val="00B050"/>
          <w:sz w:val="12"/>
          <w:szCs w:val="12"/>
          <w:lang w:val="en-US"/>
        </w:rPr>
        <w:t>ModelFinder</w:t>
      </w:r>
      <w:proofErr w:type="spellEnd"/>
      <w:r w:rsidRPr="001E6DA7">
        <w:rPr>
          <w:rFonts w:ascii="Arial" w:hAnsi="Arial" w:cs="Arial"/>
          <w:color w:val="00B050"/>
          <w:sz w:val="12"/>
          <w:szCs w:val="12"/>
          <w:lang w:val="en-US"/>
        </w:rPr>
        <w:t>: fast model selection for accurate phylogenetic estimates. Nat. Methods 14, 587–589 (2017).</w:t>
      </w:r>
    </w:p>
    <w:p w14:paraId="13ADB8E4" w14:textId="566A8595" w:rsidR="001E6DA7" w:rsidRPr="001E6DA7" w:rsidRDefault="001E6DA7" w:rsidP="001E6DA7">
      <w:pPr>
        <w:spacing w:after="160"/>
        <w:rPr>
          <w:rFonts w:ascii="Arial" w:hAnsi="Arial" w:cs="Arial"/>
          <w:color w:val="00B050"/>
          <w:sz w:val="12"/>
          <w:szCs w:val="12"/>
          <w:lang w:val="en-US"/>
        </w:rPr>
      </w:pPr>
      <w:r w:rsidRPr="001E6DA7">
        <w:rPr>
          <w:rFonts w:ascii="Arial" w:hAnsi="Arial" w:cs="Arial"/>
          <w:color w:val="00B050"/>
          <w:sz w:val="12"/>
          <w:szCs w:val="12"/>
          <w:lang w:val="en-US"/>
        </w:rPr>
        <w:t>Yu, G., Smith, D. K., Zhu, H., Guan, Y. &amp; Lam, T. T. GGTREE : an R package for visualization and annotation of phylogenetic trees with their covariates and other associated data. Methods Ecol. Evol. 8, 28–36 (2017).</w:t>
      </w:r>
    </w:p>
    <w:p w14:paraId="6CD7B9ED" w14:textId="4F937EF8" w:rsidR="001E6DA7" w:rsidRPr="001E6DA7" w:rsidRDefault="001E6DA7" w:rsidP="001E6DA7">
      <w:pPr>
        <w:spacing w:after="160"/>
        <w:rPr>
          <w:rFonts w:ascii="Arial" w:hAnsi="Arial" w:cs="Arial"/>
          <w:color w:val="00B050"/>
          <w:sz w:val="12"/>
          <w:szCs w:val="12"/>
          <w:lang w:val="en-US"/>
        </w:rPr>
      </w:pPr>
      <w:r w:rsidRPr="001E6DA7">
        <w:rPr>
          <w:rFonts w:ascii="Arial" w:hAnsi="Arial" w:cs="Arial"/>
          <w:color w:val="00B050"/>
          <w:sz w:val="12"/>
          <w:szCs w:val="12"/>
          <w:lang w:val="en-US"/>
        </w:rPr>
        <w:t xml:space="preserve">Jones, P. et al. </w:t>
      </w:r>
      <w:proofErr w:type="spellStart"/>
      <w:r w:rsidRPr="001E6DA7">
        <w:rPr>
          <w:rFonts w:ascii="Arial" w:hAnsi="Arial" w:cs="Arial"/>
          <w:color w:val="00B050"/>
          <w:sz w:val="12"/>
          <w:szCs w:val="12"/>
          <w:lang w:val="en-US"/>
        </w:rPr>
        <w:t>InterProScan</w:t>
      </w:r>
      <w:proofErr w:type="spellEnd"/>
      <w:r w:rsidRPr="001E6DA7">
        <w:rPr>
          <w:rFonts w:ascii="Arial" w:hAnsi="Arial" w:cs="Arial"/>
          <w:color w:val="00B050"/>
          <w:sz w:val="12"/>
          <w:szCs w:val="12"/>
          <w:lang w:val="en-US"/>
        </w:rPr>
        <w:t xml:space="preserve"> 5: genome-scale protein function classification. </w:t>
      </w:r>
      <w:proofErr w:type="spellStart"/>
      <w:r w:rsidRPr="001E6DA7">
        <w:rPr>
          <w:rFonts w:ascii="Arial" w:hAnsi="Arial" w:cs="Arial"/>
          <w:color w:val="00B050"/>
          <w:sz w:val="12"/>
          <w:szCs w:val="12"/>
          <w:lang w:val="en-US"/>
        </w:rPr>
        <w:t>Bioinforma</w:t>
      </w:r>
      <w:proofErr w:type="spellEnd"/>
      <w:r w:rsidRPr="001E6DA7">
        <w:rPr>
          <w:rFonts w:ascii="Arial" w:hAnsi="Arial" w:cs="Arial"/>
          <w:color w:val="00B050"/>
          <w:sz w:val="12"/>
          <w:szCs w:val="12"/>
          <w:lang w:val="en-US"/>
        </w:rPr>
        <w:t xml:space="preserve">. </w:t>
      </w:r>
      <w:proofErr w:type="spellStart"/>
      <w:r w:rsidRPr="001E6DA7">
        <w:rPr>
          <w:rFonts w:ascii="Arial" w:hAnsi="Arial" w:cs="Arial"/>
          <w:color w:val="00B050"/>
          <w:sz w:val="12"/>
          <w:szCs w:val="12"/>
          <w:lang w:val="en-US"/>
        </w:rPr>
        <w:t>Oxf</w:t>
      </w:r>
      <w:proofErr w:type="spellEnd"/>
      <w:r w:rsidRPr="001E6DA7">
        <w:rPr>
          <w:rFonts w:ascii="Arial" w:hAnsi="Arial" w:cs="Arial"/>
          <w:color w:val="00B050"/>
          <w:sz w:val="12"/>
          <w:szCs w:val="12"/>
          <w:lang w:val="en-US"/>
        </w:rPr>
        <w:t>. Engl. 30, 1236–1240 (2014).</w:t>
      </w:r>
    </w:p>
    <w:p w14:paraId="6EEC74A7" w14:textId="687AC1C3" w:rsidR="001E6DA7" w:rsidRPr="001E6DA7" w:rsidRDefault="001E6DA7" w:rsidP="001E6DA7">
      <w:pPr>
        <w:spacing w:after="160"/>
        <w:rPr>
          <w:rFonts w:ascii="Arial" w:hAnsi="Arial" w:cs="Arial"/>
          <w:color w:val="00B050"/>
          <w:sz w:val="12"/>
          <w:szCs w:val="12"/>
          <w:lang w:val="en-US"/>
        </w:rPr>
      </w:pPr>
      <w:proofErr w:type="spellStart"/>
      <w:r w:rsidRPr="001E6DA7">
        <w:rPr>
          <w:rFonts w:ascii="Arial" w:hAnsi="Arial" w:cs="Arial"/>
          <w:color w:val="00B050"/>
          <w:sz w:val="12"/>
          <w:szCs w:val="12"/>
          <w:lang w:val="en-US"/>
        </w:rPr>
        <w:t>Supek</w:t>
      </w:r>
      <w:proofErr w:type="spellEnd"/>
      <w:r w:rsidRPr="001E6DA7">
        <w:rPr>
          <w:rFonts w:ascii="Arial" w:hAnsi="Arial" w:cs="Arial"/>
          <w:color w:val="00B050"/>
          <w:sz w:val="12"/>
          <w:szCs w:val="12"/>
          <w:lang w:val="en-US"/>
        </w:rPr>
        <w:t xml:space="preserve">, F., Bošnjak, M., </w:t>
      </w:r>
      <w:proofErr w:type="spellStart"/>
      <w:r w:rsidRPr="001E6DA7">
        <w:rPr>
          <w:rFonts w:ascii="Arial" w:hAnsi="Arial" w:cs="Arial"/>
          <w:color w:val="00B050"/>
          <w:sz w:val="12"/>
          <w:szCs w:val="12"/>
          <w:lang w:val="en-US"/>
        </w:rPr>
        <w:t>Škunca</w:t>
      </w:r>
      <w:proofErr w:type="spellEnd"/>
      <w:r w:rsidRPr="001E6DA7">
        <w:rPr>
          <w:rFonts w:ascii="Arial" w:hAnsi="Arial" w:cs="Arial"/>
          <w:color w:val="00B050"/>
          <w:sz w:val="12"/>
          <w:szCs w:val="12"/>
          <w:lang w:val="en-US"/>
        </w:rPr>
        <w:t xml:space="preserve">, N. &amp; </w:t>
      </w:r>
      <w:proofErr w:type="spellStart"/>
      <w:r w:rsidRPr="001E6DA7">
        <w:rPr>
          <w:rFonts w:ascii="Arial" w:hAnsi="Arial" w:cs="Arial"/>
          <w:color w:val="00B050"/>
          <w:sz w:val="12"/>
          <w:szCs w:val="12"/>
          <w:lang w:val="en-US"/>
        </w:rPr>
        <w:t>Šmuc</w:t>
      </w:r>
      <w:proofErr w:type="spellEnd"/>
      <w:r w:rsidRPr="001E6DA7">
        <w:rPr>
          <w:rFonts w:ascii="Arial" w:hAnsi="Arial" w:cs="Arial"/>
          <w:color w:val="00B050"/>
          <w:sz w:val="12"/>
          <w:szCs w:val="12"/>
          <w:lang w:val="en-US"/>
        </w:rPr>
        <w:t>, T. REVIGO Summarizes and Visualizes Long Lists of Gene Ontology Terms. PLOS ONE 6, e21800 (2011).</w:t>
      </w:r>
    </w:p>
    <w:p w14:paraId="4E424BD1" w14:textId="48685598" w:rsidR="001E6DA7" w:rsidRPr="001E6DA7" w:rsidRDefault="001E6DA7" w:rsidP="001E6DA7">
      <w:pPr>
        <w:spacing w:after="160"/>
        <w:rPr>
          <w:rFonts w:ascii="Arial" w:hAnsi="Arial" w:cs="Arial"/>
          <w:color w:val="00B050"/>
          <w:sz w:val="12"/>
          <w:szCs w:val="12"/>
          <w:lang w:val="en-US"/>
        </w:rPr>
      </w:pPr>
      <w:r w:rsidRPr="001E6DA7">
        <w:rPr>
          <w:rFonts w:ascii="Arial" w:hAnsi="Arial" w:cs="Arial"/>
          <w:color w:val="00B050"/>
          <w:sz w:val="12"/>
          <w:szCs w:val="12"/>
          <w:lang w:val="en-US"/>
        </w:rPr>
        <w:t xml:space="preserve">van der Velden, N. </w:t>
      </w:r>
      <w:proofErr w:type="spellStart"/>
      <w:r w:rsidRPr="001E6DA7">
        <w:rPr>
          <w:rFonts w:ascii="Arial" w:hAnsi="Arial" w:cs="Arial"/>
          <w:color w:val="00B050"/>
          <w:sz w:val="12"/>
          <w:szCs w:val="12"/>
          <w:lang w:val="en-US"/>
        </w:rPr>
        <w:t>geneviewer</w:t>
      </w:r>
      <w:proofErr w:type="spellEnd"/>
      <w:r w:rsidRPr="001E6DA7">
        <w:rPr>
          <w:rFonts w:ascii="Arial" w:hAnsi="Arial" w:cs="Arial"/>
          <w:color w:val="00B050"/>
          <w:sz w:val="12"/>
          <w:szCs w:val="12"/>
          <w:lang w:val="en-US"/>
        </w:rPr>
        <w:t>: Gene Cluster Visualizations. (2025).</w:t>
      </w:r>
    </w:p>
    <w:p w14:paraId="1502A11F" w14:textId="60637D1F" w:rsidR="00A34860" w:rsidRDefault="001E6DA7" w:rsidP="001E6DA7">
      <w:pPr>
        <w:spacing w:after="160"/>
        <w:rPr>
          <w:lang w:val="en-US"/>
        </w:rPr>
      </w:pPr>
      <w:r w:rsidRPr="001E6DA7">
        <w:rPr>
          <w:rFonts w:ascii="Arial" w:hAnsi="Arial" w:cs="Arial"/>
          <w:color w:val="00B050"/>
          <w:sz w:val="12"/>
          <w:szCs w:val="12"/>
          <w:lang w:val="en-US"/>
        </w:rPr>
        <w:t xml:space="preserve">Tonkin-Hill, G. et al. Producing polished prokaryotic pangenomes with the </w:t>
      </w:r>
      <w:proofErr w:type="spellStart"/>
      <w:r w:rsidRPr="001E6DA7">
        <w:rPr>
          <w:rFonts w:ascii="Arial" w:hAnsi="Arial" w:cs="Arial"/>
          <w:color w:val="00B050"/>
          <w:sz w:val="12"/>
          <w:szCs w:val="12"/>
          <w:lang w:val="en-US"/>
        </w:rPr>
        <w:t>Panaroo</w:t>
      </w:r>
      <w:proofErr w:type="spellEnd"/>
      <w:r w:rsidRPr="001E6DA7">
        <w:rPr>
          <w:rFonts w:ascii="Arial" w:hAnsi="Arial" w:cs="Arial"/>
          <w:color w:val="00B050"/>
          <w:sz w:val="12"/>
          <w:szCs w:val="12"/>
          <w:lang w:val="en-US"/>
        </w:rPr>
        <w:t xml:space="preserve"> pipeline. Genome Biol. 21, 180 (2020).</w:t>
      </w:r>
      <w:r w:rsidR="00A34860">
        <w:rPr>
          <w:lang w:val="en-US"/>
        </w:rPr>
        <w:br w:type="page"/>
      </w:r>
    </w:p>
    <w:p w14:paraId="64A32E75" w14:textId="563EE4AB" w:rsidR="00984734" w:rsidRDefault="00A34860" w:rsidP="00166343">
      <w:pPr>
        <w:spacing w:line="360" w:lineRule="auto"/>
        <w:jc w:val="both"/>
        <w:rPr>
          <w:b/>
          <w:bCs/>
          <w:sz w:val="22"/>
          <w:szCs w:val="22"/>
          <w:lang w:val="en-US"/>
        </w:rPr>
      </w:pPr>
      <w:r>
        <w:rPr>
          <w:b/>
          <w:bCs/>
          <w:sz w:val="22"/>
          <w:szCs w:val="22"/>
          <w:lang w:val="en-US"/>
        </w:rPr>
        <w:lastRenderedPageBreak/>
        <w:t xml:space="preserve">Supplementary </w:t>
      </w:r>
      <w:r w:rsidR="00984734" w:rsidRPr="00984734">
        <w:rPr>
          <w:b/>
          <w:bCs/>
          <w:sz w:val="22"/>
          <w:szCs w:val="22"/>
          <w:lang w:val="en-US"/>
        </w:rPr>
        <w:t xml:space="preserve">Table 1. </w:t>
      </w:r>
      <w:r w:rsidR="00166343" w:rsidRPr="00166343">
        <w:rPr>
          <w:b/>
          <w:bCs/>
          <w:sz w:val="22"/>
          <w:szCs w:val="22"/>
          <w:lang w:val="en-US"/>
        </w:rPr>
        <w:t xml:space="preserve">The list of proteins </w:t>
      </w:r>
      <w:proofErr w:type="gramStart"/>
      <w:r w:rsidR="00166343" w:rsidRPr="00166343">
        <w:rPr>
          <w:b/>
          <w:bCs/>
          <w:sz w:val="22"/>
          <w:szCs w:val="22"/>
          <w:lang w:val="en-US"/>
        </w:rPr>
        <w:t>present</w:t>
      </w:r>
      <w:proofErr w:type="gramEnd"/>
      <w:r w:rsidR="00166343" w:rsidRPr="00166343">
        <w:rPr>
          <w:b/>
          <w:bCs/>
          <w:sz w:val="22"/>
          <w:szCs w:val="22"/>
          <w:lang w:val="en-US"/>
        </w:rPr>
        <w:t xml:space="preserve"> in at least one ISS sample and absent in all ground samples</w:t>
      </w:r>
    </w:p>
    <w:tbl>
      <w:tblPr>
        <w:tblW w:w="936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2971"/>
        <w:gridCol w:w="6390"/>
      </w:tblGrid>
      <w:tr w:rsidR="00166343" w14:paraId="5ACE5CAD" w14:textId="77777777" w:rsidTr="00047A75">
        <w:trPr>
          <w:trHeight w:val="280"/>
        </w:trPr>
        <w:tc>
          <w:tcPr>
            <w:tcW w:w="2971" w:type="dxa"/>
            <w:tcBorders>
              <w:top w:val="single" w:sz="8" w:space="0" w:color="auto"/>
              <w:bottom w:val="single" w:sz="8" w:space="0" w:color="auto"/>
              <w:right w:val="single" w:sz="8" w:space="0" w:color="auto"/>
            </w:tcBorders>
            <w:shd w:val="clear" w:color="000000" w:fill="ADADAD"/>
            <w:vAlign w:val="center"/>
            <w:hideMark/>
          </w:tcPr>
          <w:p w14:paraId="501134E5" w14:textId="1055A329" w:rsidR="00166343" w:rsidRPr="00166343" w:rsidRDefault="00166343" w:rsidP="00166343">
            <w:pPr>
              <w:jc w:val="center"/>
              <w:rPr>
                <w:rFonts w:ascii="Arial" w:hAnsi="Arial" w:cs="Arial"/>
                <w:b/>
                <w:bCs/>
                <w:color w:val="000000"/>
                <w:sz w:val="12"/>
                <w:szCs w:val="12"/>
              </w:rPr>
            </w:pPr>
            <w:r w:rsidRPr="00166343">
              <w:rPr>
                <w:rFonts w:ascii="Arial" w:hAnsi="Arial" w:cs="Arial"/>
                <w:b/>
                <w:bCs/>
                <w:color w:val="000000"/>
                <w:sz w:val="12"/>
                <w:szCs w:val="12"/>
              </w:rPr>
              <w:t>Protein Name</w:t>
            </w:r>
          </w:p>
        </w:tc>
        <w:tc>
          <w:tcPr>
            <w:tcW w:w="6389" w:type="dxa"/>
            <w:tcBorders>
              <w:top w:val="single" w:sz="8" w:space="0" w:color="auto"/>
              <w:left w:val="single" w:sz="8" w:space="0" w:color="auto"/>
              <w:bottom w:val="single" w:sz="8" w:space="0" w:color="auto"/>
            </w:tcBorders>
            <w:shd w:val="clear" w:color="000000" w:fill="ADADAD"/>
            <w:vAlign w:val="center"/>
            <w:hideMark/>
          </w:tcPr>
          <w:p w14:paraId="3F271E9E" w14:textId="77777777" w:rsidR="00166343" w:rsidRPr="00166343" w:rsidRDefault="00166343" w:rsidP="00166343">
            <w:pPr>
              <w:jc w:val="center"/>
              <w:rPr>
                <w:rFonts w:ascii="Arial" w:hAnsi="Arial" w:cs="Arial"/>
                <w:b/>
                <w:bCs/>
                <w:color w:val="000000"/>
                <w:sz w:val="12"/>
                <w:szCs w:val="12"/>
              </w:rPr>
            </w:pPr>
            <w:r w:rsidRPr="00166343">
              <w:rPr>
                <w:rFonts w:ascii="Arial" w:hAnsi="Arial" w:cs="Arial"/>
                <w:b/>
                <w:bCs/>
                <w:color w:val="000000"/>
                <w:sz w:val="12"/>
                <w:szCs w:val="12"/>
              </w:rPr>
              <w:t>Functional Details</w:t>
            </w:r>
          </w:p>
        </w:tc>
      </w:tr>
      <w:tr w:rsidR="00166343" w14:paraId="6DF2C8FA" w14:textId="77777777" w:rsidTr="00047A75">
        <w:trPr>
          <w:trHeight w:val="280"/>
        </w:trPr>
        <w:tc>
          <w:tcPr>
            <w:tcW w:w="9361" w:type="dxa"/>
            <w:gridSpan w:val="2"/>
            <w:shd w:val="clear" w:color="000000" w:fill="D0D0D0"/>
            <w:vAlign w:val="center"/>
            <w:hideMark/>
          </w:tcPr>
          <w:p w14:paraId="1AB2DFD8" w14:textId="77777777" w:rsidR="00166343" w:rsidRPr="00166343" w:rsidRDefault="00166343" w:rsidP="00166343">
            <w:pPr>
              <w:jc w:val="center"/>
              <w:rPr>
                <w:rFonts w:ascii="Arial" w:hAnsi="Arial" w:cs="Arial"/>
                <w:color w:val="000000"/>
                <w:sz w:val="12"/>
                <w:szCs w:val="12"/>
              </w:rPr>
            </w:pPr>
            <w:r w:rsidRPr="00166343">
              <w:rPr>
                <w:rFonts w:ascii="Arial" w:hAnsi="Arial" w:cs="Arial"/>
                <w:color w:val="000000"/>
                <w:sz w:val="12"/>
                <w:szCs w:val="12"/>
              </w:rPr>
              <w:t>Metal Ion Pathways</w:t>
            </w:r>
          </w:p>
          <w:p w14:paraId="0747F0F0" w14:textId="5B420F66" w:rsidR="00166343" w:rsidRPr="00166343" w:rsidRDefault="00166343" w:rsidP="00166343">
            <w:pPr>
              <w:jc w:val="center"/>
              <w:rPr>
                <w:rFonts w:ascii="Arial" w:hAnsi="Arial" w:cs="Arial"/>
                <w:color w:val="000000"/>
                <w:sz w:val="12"/>
                <w:szCs w:val="12"/>
              </w:rPr>
            </w:pPr>
          </w:p>
        </w:tc>
      </w:tr>
      <w:tr w:rsidR="00166343" w14:paraId="5E846111" w14:textId="77777777" w:rsidTr="00211D69">
        <w:trPr>
          <w:trHeight w:val="280"/>
        </w:trPr>
        <w:tc>
          <w:tcPr>
            <w:tcW w:w="2971" w:type="dxa"/>
            <w:tcBorders>
              <w:top w:val="single" w:sz="8" w:space="0" w:color="auto"/>
            </w:tcBorders>
            <w:vAlign w:val="center"/>
            <w:hideMark/>
          </w:tcPr>
          <w:p w14:paraId="16151BF4"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Sulfurtransferase/chromate resistance protein</w:t>
            </w:r>
          </w:p>
        </w:tc>
        <w:tc>
          <w:tcPr>
            <w:tcW w:w="6389" w:type="dxa"/>
            <w:tcBorders>
              <w:top w:val="single" w:sz="8" w:space="0" w:color="auto"/>
            </w:tcBorders>
            <w:vAlign w:val="center"/>
            <w:hideMark/>
          </w:tcPr>
          <w:p w14:paraId="42DE2027"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55655E65" w14:textId="77777777" w:rsidTr="00047A75">
        <w:trPr>
          <w:trHeight w:val="280"/>
        </w:trPr>
        <w:tc>
          <w:tcPr>
            <w:tcW w:w="2971" w:type="dxa"/>
            <w:vAlign w:val="center"/>
            <w:hideMark/>
          </w:tcPr>
          <w:p w14:paraId="178CAE68"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Hg(II)-responsive transcriptional regulator</w:t>
            </w:r>
          </w:p>
        </w:tc>
        <w:tc>
          <w:tcPr>
            <w:tcW w:w="6389" w:type="dxa"/>
            <w:vAlign w:val="center"/>
            <w:hideMark/>
          </w:tcPr>
          <w:p w14:paraId="0B0B8E79"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DNA binding [GO:0003677]; DNA-binding transcription factor activity [GO:0003700]</w:t>
            </w:r>
          </w:p>
        </w:tc>
      </w:tr>
      <w:tr w:rsidR="00166343" w14:paraId="3FB5897D" w14:textId="77777777" w:rsidTr="00047A75">
        <w:trPr>
          <w:trHeight w:val="280"/>
        </w:trPr>
        <w:tc>
          <w:tcPr>
            <w:tcW w:w="2971" w:type="dxa"/>
            <w:vAlign w:val="center"/>
            <w:hideMark/>
          </w:tcPr>
          <w:p w14:paraId="2CE32980"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Heavy metal-responsive transcriptional regulator</w:t>
            </w:r>
          </w:p>
        </w:tc>
        <w:tc>
          <w:tcPr>
            <w:tcW w:w="6389" w:type="dxa"/>
            <w:vAlign w:val="center"/>
            <w:hideMark/>
          </w:tcPr>
          <w:p w14:paraId="21BBE10E"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DNA binding [GO:0003677]; DNA-binding transcription factor activity [GO:0003700]</w:t>
            </w:r>
          </w:p>
        </w:tc>
      </w:tr>
      <w:tr w:rsidR="00166343" w14:paraId="06951B37" w14:textId="77777777" w:rsidTr="00047A75">
        <w:trPr>
          <w:trHeight w:val="505"/>
        </w:trPr>
        <w:tc>
          <w:tcPr>
            <w:tcW w:w="2971" w:type="dxa"/>
            <w:vAlign w:val="center"/>
            <w:hideMark/>
          </w:tcPr>
          <w:p w14:paraId="32684B1D"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Mercuric resistance transcriptional repressor protein MerD</w:t>
            </w:r>
          </w:p>
        </w:tc>
        <w:tc>
          <w:tcPr>
            <w:tcW w:w="6389" w:type="dxa"/>
            <w:vAlign w:val="center"/>
            <w:hideMark/>
          </w:tcPr>
          <w:p w14:paraId="6616750B"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negative regulation of DNA-templated transcription [GO:0045892]; response to mercury ion [GO:0046689] DNA binding [GO:0003677]; DNA-binding transcription factor activity [GO:0003700]</w:t>
            </w:r>
          </w:p>
        </w:tc>
      </w:tr>
      <w:tr w:rsidR="00166343" w14:paraId="210DB728" w14:textId="77777777" w:rsidTr="00047A75">
        <w:trPr>
          <w:trHeight w:val="505"/>
        </w:trPr>
        <w:tc>
          <w:tcPr>
            <w:tcW w:w="2971" w:type="dxa"/>
            <w:vAlign w:val="center"/>
            <w:hideMark/>
          </w:tcPr>
          <w:p w14:paraId="2141B5E5"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Fatty acid desaturase family protein</w:t>
            </w:r>
          </w:p>
        </w:tc>
        <w:tc>
          <w:tcPr>
            <w:tcW w:w="6389" w:type="dxa"/>
            <w:vAlign w:val="center"/>
            <w:hideMark/>
          </w:tcPr>
          <w:p w14:paraId="70EBCC68"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fatty acid biosynthetic process [GO:0006633] acyl-[acyl-carrier-protein] desaturase activity [GO:0045300]; metal ion binding [GO:0046872]</w:t>
            </w:r>
          </w:p>
        </w:tc>
      </w:tr>
      <w:tr w:rsidR="00166343" w14:paraId="14C43384" w14:textId="77777777" w:rsidTr="00047A75">
        <w:trPr>
          <w:trHeight w:val="842"/>
        </w:trPr>
        <w:tc>
          <w:tcPr>
            <w:tcW w:w="2971" w:type="dxa"/>
            <w:vAlign w:val="center"/>
            <w:hideMark/>
          </w:tcPr>
          <w:p w14:paraId="2638394C"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Light-independent protochlorophyllide reductase iron-sulfur ATP-binding protein (DPOR subunit L) (LI-POR subunit L) (EC 1.3.7.7)</w:t>
            </w:r>
          </w:p>
        </w:tc>
        <w:tc>
          <w:tcPr>
            <w:tcW w:w="6389" w:type="dxa"/>
            <w:vAlign w:val="center"/>
            <w:hideMark/>
          </w:tcPr>
          <w:p w14:paraId="55FAE230"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light-independent bacteriochlorophyll biosynthetic process [GO:0036070]; photosynthesis, dark reaction [GO:0019685] 4 iron, 4 sulfur cluster binding [GO:0051539]; ATP binding [GO:0005524]; metal ion binding [GO:0046872]; oxidoreductase activity, acting on iron-sulfur proteins as donors [GO:0016730]; oxidoreductase activity, acting on the CH-CH group of donors, iron-sulfur protein as acceptor [GO:0016636]</w:t>
            </w:r>
          </w:p>
        </w:tc>
      </w:tr>
      <w:tr w:rsidR="00166343" w14:paraId="7B49F482" w14:textId="77777777" w:rsidTr="00047A75">
        <w:trPr>
          <w:trHeight w:val="674"/>
        </w:trPr>
        <w:tc>
          <w:tcPr>
            <w:tcW w:w="2971" w:type="dxa"/>
            <w:vAlign w:val="center"/>
            <w:hideMark/>
          </w:tcPr>
          <w:p w14:paraId="45F90DE5"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Dyp-type peroxidase C-terminal domain-containing protein</w:t>
            </w:r>
          </w:p>
        </w:tc>
        <w:tc>
          <w:tcPr>
            <w:tcW w:w="6389" w:type="dxa"/>
            <w:vAlign w:val="center"/>
            <w:hideMark/>
          </w:tcPr>
          <w:p w14:paraId="7E96D3D8"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heme binding [GO:0020037]; iron ion binding [GO:0005506]; monooxygenase activity [GO:0004497]; oxidoreductase activity, acting on paired donors, with incorporation or reduction of molecular oxygen [GO:0016705]; peroxidase activity [GO:0004601]</w:t>
            </w:r>
          </w:p>
        </w:tc>
      </w:tr>
      <w:tr w:rsidR="00166343" w14:paraId="5C90D965" w14:textId="77777777" w:rsidTr="00047A75">
        <w:trPr>
          <w:trHeight w:val="505"/>
        </w:trPr>
        <w:tc>
          <w:tcPr>
            <w:tcW w:w="2971" w:type="dxa"/>
            <w:vAlign w:val="center"/>
            <w:hideMark/>
          </w:tcPr>
          <w:p w14:paraId="5F3626C5"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45-DOPA dioxygenase extradiol-like protein (EC 1.13.11.41)</w:t>
            </w:r>
          </w:p>
        </w:tc>
        <w:tc>
          <w:tcPr>
            <w:tcW w:w="6389" w:type="dxa"/>
            <w:vAlign w:val="center"/>
            <w:hideMark/>
          </w:tcPr>
          <w:p w14:paraId="3B7A4409"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2,4'-dihydroxyacetophenone dioxygenase activity [GO:0047073]; ferrous iron binding [GO:0008198]; zinc ion binding [GO:0008270]</w:t>
            </w:r>
          </w:p>
        </w:tc>
      </w:tr>
      <w:tr w:rsidR="00166343" w14:paraId="4A164A0A" w14:textId="77777777" w:rsidTr="00047A75">
        <w:trPr>
          <w:trHeight w:val="280"/>
        </w:trPr>
        <w:tc>
          <w:tcPr>
            <w:tcW w:w="2971" w:type="dxa"/>
            <w:vAlign w:val="center"/>
            <w:hideMark/>
          </w:tcPr>
          <w:p w14:paraId="3BF0E683"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Chromate efflux transporter</w:t>
            </w:r>
          </w:p>
        </w:tc>
        <w:tc>
          <w:tcPr>
            <w:tcW w:w="6389" w:type="dxa"/>
            <w:vAlign w:val="center"/>
            <w:hideMark/>
          </w:tcPr>
          <w:p w14:paraId="23C7FBDE"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chromate transmembrane transporter activity [GO:0015109]</w:t>
            </w:r>
          </w:p>
        </w:tc>
      </w:tr>
      <w:tr w:rsidR="00166343" w14:paraId="5776FDB7" w14:textId="77777777" w:rsidTr="00047A75">
        <w:trPr>
          <w:trHeight w:val="505"/>
        </w:trPr>
        <w:tc>
          <w:tcPr>
            <w:tcW w:w="2971" w:type="dxa"/>
            <w:vAlign w:val="center"/>
            <w:hideMark/>
          </w:tcPr>
          <w:p w14:paraId="54234C08"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HAD-IIIA family hydrolase</w:t>
            </w:r>
          </w:p>
        </w:tc>
        <w:tc>
          <w:tcPr>
            <w:tcW w:w="6389" w:type="dxa"/>
            <w:vAlign w:val="center"/>
            <w:hideMark/>
          </w:tcPr>
          <w:p w14:paraId="6928A60C"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hydrolase activity, acting on ester bonds [GO:0016788]; metal ion binding [GO:0046872]; N-acylneuraminate cytidylyltransferase activity [GO:0008781]</w:t>
            </w:r>
          </w:p>
        </w:tc>
      </w:tr>
      <w:tr w:rsidR="00166343" w14:paraId="472CA259" w14:textId="77777777" w:rsidTr="00047A75">
        <w:trPr>
          <w:trHeight w:val="505"/>
        </w:trPr>
        <w:tc>
          <w:tcPr>
            <w:tcW w:w="2971" w:type="dxa"/>
            <w:vAlign w:val="center"/>
            <w:hideMark/>
          </w:tcPr>
          <w:p w14:paraId="0AF029C7"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Metal-sensing transcriptional repressor</w:t>
            </w:r>
          </w:p>
        </w:tc>
        <w:tc>
          <w:tcPr>
            <w:tcW w:w="6389" w:type="dxa"/>
            <w:vAlign w:val="center"/>
            <w:hideMark/>
          </w:tcPr>
          <w:p w14:paraId="3A7F7808"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negative regulation of DNA-templated transcription [GO:0045892] DNA binding [GO:0003677]; metal ion binding [GO:0046872]</w:t>
            </w:r>
          </w:p>
        </w:tc>
      </w:tr>
      <w:tr w:rsidR="00166343" w14:paraId="6EA4A4D7" w14:textId="77777777" w:rsidTr="00047A75">
        <w:trPr>
          <w:trHeight w:val="505"/>
        </w:trPr>
        <w:tc>
          <w:tcPr>
            <w:tcW w:w="2971" w:type="dxa"/>
            <w:vAlign w:val="center"/>
            <w:hideMark/>
          </w:tcPr>
          <w:p w14:paraId="165D0933"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Putative sulfate exporter family transporter</w:t>
            </w:r>
          </w:p>
        </w:tc>
        <w:tc>
          <w:tcPr>
            <w:tcW w:w="6389" w:type="dxa"/>
            <w:vAlign w:val="center"/>
            <w:hideMark/>
          </w:tcPr>
          <w:p w14:paraId="0A36AD57"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sulfur compound metabolic process [GO:0006790] heme binding [GO:0020037]; molybdenum ion binding [GO:0030151]; molybdopterin cofactor binding [GO:0043546]; sulfite oxidase activity [GO:0008482]</w:t>
            </w:r>
          </w:p>
        </w:tc>
      </w:tr>
      <w:tr w:rsidR="00166343" w14:paraId="4DB029D3" w14:textId="77777777" w:rsidTr="00047A75">
        <w:trPr>
          <w:trHeight w:val="674"/>
        </w:trPr>
        <w:tc>
          <w:tcPr>
            <w:tcW w:w="2971" w:type="dxa"/>
            <w:vAlign w:val="center"/>
            <w:hideMark/>
          </w:tcPr>
          <w:p w14:paraId="3D54BBD3"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AAA family ATPase</w:t>
            </w:r>
          </w:p>
        </w:tc>
        <w:tc>
          <w:tcPr>
            <w:tcW w:w="6389" w:type="dxa"/>
            <w:vAlign w:val="center"/>
            <w:hideMark/>
          </w:tcPr>
          <w:p w14:paraId="76B660E5"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protein catabolic process [GO:0030163]; proteolysis [GO:0006508] ATP binding [GO:0005524]; ATP hydrolysis activity [GO:0016887]; ATP-dependent peptidase activity [GO:0004176]; metalloendopeptidase activity [GO:0004222]</w:t>
            </w:r>
          </w:p>
        </w:tc>
      </w:tr>
      <w:tr w:rsidR="00166343" w14:paraId="26587618" w14:textId="77777777" w:rsidTr="00047A75">
        <w:trPr>
          <w:trHeight w:val="505"/>
        </w:trPr>
        <w:tc>
          <w:tcPr>
            <w:tcW w:w="2971" w:type="dxa"/>
            <w:vAlign w:val="center"/>
            <w:hideMark/>
          </w:tcPr>
          <w:p w14:paraId="7A416E6C"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Cadmium-translocating P-type ATPase</w:t>
            </w:r>
          </w:p>
        </w:tc>
        <w:tc>
          <w:tcPr>
            <w:tcW w:w="6389" w:type="dxa"/>
            <w:vAlign w:val="center"/>
            <w:hideMark/>
          </w:tcPr>
          <w:p w14:paraId="3B361F38"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copper ion homeostasis [GO:0055070] ATP binding [GO:0005524]; ATP hydrolysis activity [GO:0016887]; copper ion binding [GO:0005507]; P-type divalent copper transporter activity [GO:0043682]</w:t>
            </w:r>
          </w:p>
        </w:tc>
      </w:tr>
      <w:tr w:rsidR="00166343" w14:paraId="00731B83" w14:textId="77777777" w:rsidTr="00047A75">
        <w:trPr>
          <w:trHeight w:val="505"/>
        </w:trPr>
        <w:tc>
          <w:tcPr>
            <w:tcW w:w="2971" w:type="dxa"/>
            <w:vAlign w:val="center"/>
            <w:hideMark/>
          </w:tcPr>
          <w:p w14:paraId="2AB74CE3"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Mercury(II) reductase (EC 1.16.1.1)</w:t>
            </w:r>
          </w:p>
        </w:tc>
        <w:tc>
          <w:tcPr>
            <w:tcW w:w="6389" w:type="dxa"/>
            <w:vAlign w:val="center"/>
            <w:hideMark/>
          </w:tcPr>
          <w:p w14:paraId="550D75F5"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detoxification of mercury ion [GO:0050787] flavin adenine dinucleotide binding [GO:0050660]; mercury (II) reductase activity [GO:0016152]; mercury ion binding [GO:0045340]; NADP binding [GO:0050661]</w:t>
            </w:r>
          </w:p>
        </w:tc>
      </w:tr>
      <w:tr w:rsidR="00166343" w14:paraId="3CD9CA71" w14:textId="77777777" w:rsidTr="00047A75">
        <w:trPr>
          <w:trHeight w:val="280"/>
        </w:trPr>
        <w:tc>
          <w:tcPr>
            <w:tcW w:w="2971" w:type="dxa"/>
            <w:vAlign w:val="center"/>
            <w:hideMark/>
          </w:tcPr>
          <w:p w14:paraId="5AF32C75"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Multicopper oxidase domain-containing protein</w:t>
            </w:r>
          </w:p>
        </w:tc>
        <w:tc>
          <w:tcPr>
            <w:tcW w:w="6389" w:type="dxa"/>
            <w:vAlign w:val="center"/>
            <w:hideMark/>
          </w:tcPr>
          <w:p w14:paraId="3DFD635D"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copper ion binding [GO:0005507]; oxidoreductase activity [GO:0016491]</w:t>
            </w:r>
          </w:p>
        </w:tc>
      </w:tr>
      <w:tr w:rsidR="00166343" w14:paraId="18D8094A" w14:textId="77777777" w:rsidTr="00047A75">
        <w:trPr>
          <w:trHeight w:val="280"/>
        </w:trPr>
        <w:tc>
          <w:tcPr>
            <w:tcW w:w="2971" w:type="dxa"/>
            <w:vAlign w:val="center"/>
            <w:hideMark/>
          </w:tcPr>
          <w:p w14:paraId="0A381ADC"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DksA/TraR family C4-type zinc finger protein</w:t>
            </w:r>
          </w:p>
        </w:tc>
        <w:tc>
          <w:tcPr>
            <w:tcW w:w="6389" w:type="dxa"/>
            <w:vAlign w:val="center"/>
            <w:hideMark/>
          </w:tcPr>
          <w:p w14:paraId="256B1A2D"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positive regulation of secondary metabolite biosynthetic process [GO:1900378] zinc ion binding [GO:0008270]</w:t>
            </w:r>
          </w:p>
        </w:tc>
      </w:tr>
      <w:tr w:rsidR="00166343" w14:paraId="18572C1B" w14:textId="77777777" w:rsidTr="00047A75">
        <w:trPr>
          <w:trHeight w:val="280"/>
        </w:trPr>
        <w:tc>
          <w:tcPr>
            <w:tcW w:w="2971" w:type="dxa"/>
            <w:vAlign w:val="center"/>
            <w:hideMark/>
          </w:tcPr>
          <w:p w14:paraId="32E926AA"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Broad-spectrum mercury transporter MerE</w:t>
            </w:r>
          </w:p>
        </w:tc>
        <w:tc>
          <w:tcPr>
            <w:tcW w:w="6389" w:type="dxa"/>
            <w:vAlign w:val="center"/>
            <w:hideMark/>
          </w:tcPr>
          <w:p w14:paraId="357D05E0"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mercury ion transmembrane transporter activity [GO:0015097]</w:t>
            </w:r>
          </w:p>
        </w:tc>
      </w:tr>
      <w:tr w:rsidR="00166343" w14:paraId="672A0514" w14:textId="77777777" w:rsidTr="00047A75">
        <w:trPr>
          <w:trHeight w:val="505"/>
        </w:trPr>
        <w:tc>
          <w:tcPr>
            <w:tcW w:w="2971" w:type="dxa"/>
            <w:vAlign w:val="center"/>
            <w:hideMark/>
          </w:tcPr>
          <w:p w14:paraId="6343D775"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Glutathione-independent formaldehyde dehydrogenase</w:t>
            </w:r>
          </w:p>
        </w:tc>
        <w:tc>
          <w:tcPr>
            <w:tcW w:w="6389" w:type="dxa"/>
            <w:vAlign w:val="center"/>
            <w:hideMark/>
          </w:tcPr>
          <w:p w14:paraId="3CAD8091"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oxidoreductase activity [GO:0016491]; zinc ion binding [GO:0008270]</w:t>
            </w:r>
          </w:p>
        </w:tc>
      </w:tr>
      <w:tr w:rsidR="00166343" w14:paraId="2B6A3869" w14:textId="77777777" w:rsidTr="00047A75">
        <w:trPr>
          <w:trHeight w:val="280"/>
        </w:trPr>
        <w:tc>
          <w:tcPr>
            <w:tcW w:w="2971" w:type="dxa"/>
            <w:vAlign w:val="center"/>
            <w:hideMark/>
          </w:tcPr>
          <w:p w14:paraId="5211B844"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Organomercurial lyase MerB</w:t>
            </w:r>
          </w:p>
        </w:tc>
        <w:tc>
          <w:tcPr>
            <w:tcW w:w="6389" w:type="dxa"/>
            <w:vAlign w:val="center"/>
            <w:hideMark/>
          </w:tcPr>
          <w:p w14:paraId="0CD6E70B"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alkylmercury lyase activity [GO:0018836]</w:t>
            </w:r>
          </w:p>
        </w:tc>
      </w:tr>
      <w:tr w:rsidR="00166343" w14:paraId="3D7BA952" w14:textId="77777777" w:rsidTr="00047A75">
        <w:trPr>
          <w:trHeight w:val="674"/>
        </w:trPr>
        <w:tc>
          <w:tcPr>
            <w:tcW w:w="2971" w:type="dxa"/>
            <w:vAlign w:val="center"/>
            <w:hideMark/>
          </w:tcPr>
          <w:p w14:paraId="2502DC74"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Chloride channel protein</w:t>
            </w:r>
          </w:p>
        </w:tc>
        <w:tc>
          <w:tcPr>
            <w:tcW w:w="6389" w:type="dxa"/>
            <w:vAlign w:val="center"/>
            <w:hideMark/>
          </w:tcPr>
          <w:p w14:paraId="79D00C7A"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ATP binding [GO:0005524]; ATP-dependent chromatin remodeler activity [GO:0140658]; DNA binding [GO:0003677]; hydrolase activity [GO:0016787]; voltage-gated chloride channel activity [GO:0005247]; zinc ion binding [GO:0008270]</w:t>
            </w:r>
          </w:p>
        </w:tc>
      </w:tr>
      <w:tr w:rsidR="00166343" w14:paraId="45EC9916" w14:textId="77777777" w:rsidTr="00047A75">
        <w:trPr>
          <w:trHeight w:val="280"/>
        </w:trPr>
        <w:tc>
          <w:tcPr>
            <w:tcW w:w="2971" w:type="dxa"/>
            <w:vAlign w:val="center"/>
            <w:hideMark/>
          </w:tcPr>
          <w:p w14:paraId="4C1B7226"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Alcohol dehydrogenase AdhP</w:t>
            </w:r>
          </w:p>
        </w:tc>
        <w:tc>
          <w:tcPr>
            <w:tcW w:w="6389" w:type="dxa"/>
            <w:vAlign w:val="center"/>
            <w:hideMark/>
          </w:tcPr>
          <w:p w14:paraId="53F700F5"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oxidoreductase activity [GO:0016491]</w:t>
            </w:r>
          </w:p>
        </w:tc>
      </w:tr>
      <w:tr w:rsidR="00166343" w14:paraId="71C7461F" w14:textId="77777777" w:rsidTr="00047A75">
        <w:trPr>
          <w:trHeight w:val="280"/>
        </w:trPr>
        <w:tc>
          <w:tcPr>
            <w:tcW w:w="2971" w:type="dxa"/>
            <w:vAlign w:val="center"/>
            <w:hideMark/>
          </w:tcPr>
          <w:p w14:paraId="20B9B1EB"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Bestrophin family protein</w:t>
            </w:r>
          </w:p>
        </w:tc>
        <w:tc>
          <w:tcPr>
            <w:tcW w:w="6389" w:type="dxa"/>
            <w:vAlign w:val="center"/>
            <w:hideMark/>
          </w:tcPr>
          <w:p w14:paraId="0EEB3E72"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chloride channel activity [GO:0005254]</w:t>
            </w:r>
          </w:p>
        </w:tc>
      </w:tr>
      <w:tr w:rsidR="00166343" w14:paraId="78C21E32" w14:textId="77777777" w:rsidTr="00047A75">
        <w:trPr>
          <w:trHeight w:val="280"/>
        </w:trPr>
        <w:tc>
          <w:tcPr>
            <w:tcW w:w="2971" w:type="dxa"/>
            <w:vAlign w:val="center"/>
            <w:hideMark/>
          </w:tcPr>
          <w:p w14:paraId="04DA01A3"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Nickel/cobalt efflux transporter RcnA</w:t>
            </w:r>
          </w:p>
        </w:tc>
        <w:tc>
          <w:tcPr>
            <w:tcW w:w="6389" w:type="dxa"/>
            <w:vAlign w:val="center"/>
            <w:hideMark/>
          </w:tcPr>
          <w:p w14:paraId="3A7D6CC2"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2AFEE1AE" w14:textId="77777777" w:rsidTr="00047A75">
        <w:trPr>
          <w:trHeight w:val="280"/>
        </w:trPr>
        <w:tc>
          <w:tcPr>
            <w:tcW w:w="2971" w:type="dxa"/>
            <w:vAlign w:val="center"/>
            <w:hideMark/>
          </w:tcPr>
          <w:p w14:paraId="4A0D6E8E"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Mercuric ion transporter MerT</w:t>
            </w:r>
          </w:p>
        </w:tc>
        <w:tc>
          <w:tcPr>
            <w:tcW w:w="6389" w:type="dxa"/>
            <w:vAlign w:val="center"/>
            <w:hideMark/>
          </w:tcPr>
          <w:p w14:paraId="00572A50"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567731D7" w14:textId="77777777" w:rsidTr="00047A75">
        <w:trPr>
          <w:trHeight w:val="505"/>
        </w:trPr>
        <w:tc>
          <w:tcPr>
            <w:tcW w:w="2971" w:type="dxa"/>
            <w:vAlign w:val="center"/>
            <w:hideMark/>
          </w:tcPr>
          <w:p w14:paraId="0F24A6E8"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Mercury resistance system periplasmic binding protein MerP</w:t>
            </w:r>
          </w:p>
        </w:tc>
        <w:tc>
          <w:tcPr>
            <w:tcW w:w="6389" w:type="dxa"/>
            <w:vAlign w:val="center"/>
            <w:hideMark/>
          </w:tcPr>
          <w:p w14:paraId="0C23DA37"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48DF7BD1" w14:textId="77777777" w:rsidTr="00047A75">
        <w:trPr>
          <w:trHeight w:val="674"/>
        </w:trPr>
        <w:tc>
          <w:tcPr>
            <w:tcW w:w="2971" w:type="dxa"/>
            <w:vAlign w:val="center"/>
            <w:hideMark/>
          </w:tcPr>
          <w:p w14:paraId="35BFF859"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lastRenderedPageBreak/>
              <w:t>Mercuric reductase (EC 1.16.1.1) (Hg(II) reductase)</w:t>
            </w:r>
          </w:p>
        </w:tc>
        <w:tc>
          <w:tcPr>
            <w:tcW w:w="6389" w:type="dxa"/>
            <w:vAlign w:val="center"/>
            <w:hideMark/>
          </w:tcPr>
          <w:p w14:paraId="20A72FBF"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detoxification of mercury ion [GO:0050787] flavin adenine dinucleotide binding [GO:0050660]; mercury (II) reductase activity [GO:0016152]; mercury ion binding [GO:0045340]; NADP binding [GO:0050661]; oxidoreductase activity, acting on a sulfur group of donors, NAD(P) as acceptor [GO:0016668]</w:t>
            </w:r>
          </w:p>
        </w:tc>
      </w:tr>
      <w:tr w:rsidR="00166343" w14:paraId="619DAC53" w14:textId="77777777" w:rsidTr="00047A75">
        <w:trPr>
          <w:trHeight w:val="505"/>
        </w:trPr>
        <w:tc>
          <w:tcPr>
            <w:tcW w:w="2971" w:type="dxa"/>
            <w:vAlign w:val="center"/>
            <w:hideMark/>
          </w:tcPr>
          <w:p w14:paraId="409DDB11"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Ubiquinone biosynthesis protein UbiV</w:t>
            </w:r>
          </w:p>
        </w:tc>
        <w:tc>
          <w:tcPr>
            <w:tcW w:w="6389" w:type="dxa"/>
            <w:vAlign w:val="center"/>
            <w:hideMark/>
          </w:tcPr>
          <w:p w14:paraId="02E9E25D"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ubiquinone biosynthetic process from chorismate [GO:0032150] 4 iron, 4 sulfur cluster binding [GO:0051539]; metal ion binding [GO:0046872]</w:t>
            </w:r>
          </w:p>
        </w:tc>
      </w:tr>
      <w:tr w:rsidR="00166343" w14:paraId="366AF062" w14:textId="77777777" w:rsidTr="00211D69">
        <w:trPr>
          <w:trHeight w:val="674"/>
        </w:trPr>
        <w:tc>
          <w:tcPr>
            <w:tcW w:w="2971" w:type="dxa"/>
            <w:tcBorders>
              <w:bottom w:val="single" w:sz="8" w:space="0" w:color="auto"/>
            </w:tcBorders>
            <w:vAlign w:val="center"/>
            <w:hideMark/>
          </w:tcPr>
          <w:p w14:paraId="78E8E23D"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Ornithine carbamoyltransferase subunit F (OTCase-2) (EC 2.1.3.3)</w:t>
            </w:r>
          </w:p>
        </w:tc>
        <w:tc>
          <w:tcPr>
            <w:tcW w:w="6389" w:type="dxa"/>
            <w:tcBorders>
              <w:bottom w:val="single" w:sz="8" w:space="0" w:color="auto"/>
            </w:tcBorders>
            <w:vAlign w:val="center"/>
            <w:hideMark/>
          </w:tcPr>
          <w:p w14:paraId="193C3932"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arginine biosynthetic process via ornithine [GO:0042450]; citrulline biosynthetic process [GO:0019240]; DNA damage response [GO:0006974] amino acid binding [GO:0016597]; metal ion binding [GO:0046872]; ornithine carbamoyltransferase activity [GO:0004585]</w:t>
            </w:r>
          </w:p>
        </w:tc>
      </w:tr>
      <w:tr w:rsidR="00166343" w14:paraId="60609729" w14:textId="77777777" w:rsidTr="00047A75">
        <w:trPr>
          <w:trHeight w:val="280"/>
        </w:trPr>
        <w:tc>
          <w:tcPr>
            <w:tcW w:w="9361" w:type="dxa"/>
            <w:gridSpan w:val="2"/>
            <w:shd w:val="clear" w:color="000000" w:fill="D0D0D0"/>
            <w:vAlign w:val="center"/>
            <w:hideMark/>
          </w:tcPr>
          <w:p w14:paraId="5F0BFEED" w14:textId="77777777" w:rsidR="00166343" w:rsidRPr="00166343" w:rsidRDefault="00166343" w:rsidP="00166343">
            <w:pPr>
              <w:jc w:val="center"/>
              <w:rPr>
                <w:rFonts w:ascii="Arial" w:hAnsi="Arial" w:cs="Arial"/>
                <w:color w:val="000000"/>
                <w:sz w:val="12"/>
                <w:szCs w:val="12"/>
              </w:rPr>
            </w:pPr>
            <w:r w:rsidRPr="00166343">
              <w:rPr>
                <w:rFonts w:ascii="Arial" w:hAnsi="Arial" w:cs="Arial"/>
                <w:color w:val="000000"/>
                <w:sz w:val="12"/>
                <w:szCs w:val="12"/>
              </w:rPr>
              <w:t>Stress Pathways (not related to metal ions)</w:t>
            </w:r>
          </w:p>
          <w:p w14:paraId="44287D6D" w14:textId="6A3FBF35" w:rsidR="00166343" w:rsidRPr="00166343" w:rsidRDefault="00166343" w:rsidP="00166343">
            <w:pPr>
              <w:jc w:val="center"/>
              <w:rPr>
                <w:rFonts w:ascii="Arial" w:hAnsi="Arial" w:cs="Arial"/>
                <w:color w:val="000000"/>
                <w:sz w:val="12"/>
                <w:szCs w:val="12"/>
              </w:rPr>
            </w:pPr>
          </w:p>
        </w:tc>
      </w:tr>
      <w:tr w:rsidR="00166343" w14:paraId="5B666257" w14:textId="77777777" w:rsidTr="00211D69">
        <w:trPr>
          <w:trHeight w:val="280"/>
        </w:trPr>
        <w:tc>
          <w:tcPr>
            <w:tcW w:w="2971" w:type="dxa"/>
            <w:tcBorders>
              <w:top w:val="single" w:sz="8" w:space="0" w:color="auto"/>
            </w:tcBorders>
            <w:vAlign w:val="center"/>
            <w:hideMark/>
          </w:tcPr>
          <w:p w14:paraId="7493F48E"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BrnT family toxin</w:t>
            </w:r>
          </w:p>
        </w:tc>
        <w:tc>
          <w:tcPr>
            <w:tcW w:w="6389" w:type="dxa"/>
            <w:tcBorders>
              <w:top w:val="single" w:sz="8" w:space="0" w:color="auto"/>
            </w:tcBorders>
            <w:vAlign w:val="center"/>
            <w:hideMark/>
          </w:tcPr>
          <w:p w14:paraId="6B19E4AB"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45329273" w14:textId="77777777" w:rsidTr="00047A75">
        <w:trPr>
          <w:trHeight w:val="280"/>
        </w:trPr>
        <w:tc>
          <w:tcPr>
            <w:tcW w:w="2971" w:type="dxa"/>
            <w:vAlign w:val="center"/>
            <w:hideMark/>
          </w:tcPr>
          <w:p w14:paraId="01D784F1"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BrnA antitoxin family protein</w:t>
            </w:r>
          </w:p>
        </w:tc>
        <w:tc>
          <w:tcPr>
            <w:tcW w:w="6389" w:type="dxa"/>
            <w:vAlign w:val="center"/>
            <w:hideMark/>
          </w:tcPr>
          <w:p w14:paraId="4413C327"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0DD9EEA0" w14:textId="77777777" w:rsidTr="00047A75">
        <w:trPr>
          <w:trHeight w:val="505"/>
        </w:trPr>
        <w:tc>
          <w:tcPr>
            <w:tcW w:w="2971" w:type="dxa"/>
            <w:vAlign w:val="center"/>
            <w:hideMark/>
          </w:tcPr>
          <w:p w14:paraId="40292A1B"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Type II toxin-antitoxin system Phd/YefM family antitoxin</w:t>
            </w:r>
          </w:p>
        </w:tc>
        <w:tc>
          <w:tcPr>
            <w:tcW w:w="6389" w:type="dxa"/>
            <w:vAlign w:val="center"/>
            <w:hideMark/>
          </w:tcPr>
          <w:p w14:paraId="06412FF8"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29F6D942" w14:textId="77777777" w:rsidTr="00047A75">
        <w:trPr>
          <w:trHeight w:val="280"/>
        </w:trPr>
        <w:tc>
          <w:tcPr>
            <w:tcW w:w="2971" w:type="dxa"/>
            <w:vAlign w:val="center"/>
            <w:hideMark/>
          </w:tcPr>
          <w:p w14:paraId="7CA42612"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Type II toxin-antitoxin system ParD family antitoxin</w:t>
            </w:r>
          </w:p>
        </w:tc>
        <w:tc>
          <w:tcPr>
            <w:tcW w:w="6389" w:type="dxa"/>
            <w:vAlign w:val="center"/>
            <w:hideMark/>
          </w:tcPr>
          <w:p w14:paraId="4055785A"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regulation of DNA-templated transcription [GO:0006355]</w:t>
            </w:r>
          </w:p>
        </w:tc>
      </w:tr>
      <w:tr w:rsidR="00166343" w14:paraId="709CF2C3" w14:textId="77777777" w:rsidTr="00047A75">
        <w:trPr>
          <w:trHeight w:val="280"/>
        </w:trPr>
        <w:tc>
          <w:tcPr>
            <w:tcW w:w="2971" w:type="dxa"/>
            <w:vAlign w:val="center"/>
            <w:hideMark/>
          </w:tcPr>
          <w:p w14:paraId="7DF9742B"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Transcription elongation protein SprT</w:t>
            </w:r>
          </w:p>
        </w:tc>
        <w:tc>
          <w:tcPr>
            <w:tcW w:w="6389" w:type="dxa"/>
            <w:vAlign w:val="center"/>
            <w:hideMark/>
          </w:tcPr>
          <w:p w14:paraId="65EA827D"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response to stress [GO:0006950]</w:t>
            </w:r>
          </w:p>
        </w:tc>
      </w:tr>
      <w:tr w:rsidR="00166343" w14:paraId="7833C7F5" w14:textId="77777777" w:rsidTr="00047A75">
        <w:trPr>
          <w:trHeight w:val="674"/>
        </w:trPr>
        <w:tc>
          <w:tcPr>
            <w:tcW w:w="2971" w:type="dxa"/>
            <w:vAlign w:val="center"/>
            <w:hideMark/>
          </w:tcPr>
          <w:p w14:paraId="501A1E9F"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LexA repressor (EC 3.4.21.88)</w:t>
            </w:r>
          </w:p>
        </w:tc>
        <w:tc>
          <w:tcPr>
            <w:tcW w:w="6389" w:type="dxa"/>
            <w:vAlign w:val="center"/>
            <w:hideMark/>
          </w:tcPr>
          <w:p w14:paraId="1515964D"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DNA repair [GO:0006281]; DNA replication [GO:0006260]; negative regulation of DNA-templated transcription [GO:0045892]; proteolysis [GO:0006508]; SOS response [GO:0009432] DNA binding [GO:0003677]; serine-type endopeptidase activity [GO:0004252]</w:t>
            </w:r>
          </w:p>
        </w:tc>
      </w:tr>
      <w:tr w:rsidR="00166343" w14:paraId="2435EEA8" w14:textId="77777777" w:rsidTr="00047A75">
        <w:trPr>
          <w:trHeight w:val="505"/>
        </w:trPr>
        <w:tc>
          <w:tcPr>
            <w:tcW w:w="2971" w:type="dxa"/>
            <w:vAlign w:val="center"/>
            <w:hideMark/>
          </w:tcPr>
          <w:p w14:paraId="758B06D9"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Thymidine phosphorylase (EC 2.4.2.4) (TdRPase)</w:t>
            </w:r>
          </w:p>
        </w:tc>
        <w:tc>
          <w:tcPr>
            <w:tcW w:w="6389" w:type="dxa"/>
            <w:vAlign w:val="center"/>
            <w:hideMark/>
          </w:tcPr>
          <w:p w14:paraId="7192B4FB"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pyrimidine nucleobase metabolic process [GO:0006206]; thymidine metabolic process [GO:0046104] 1,4-alpha-oligoglucan phosphorylase activity [GO:0004645]; thymidine phosphorylase activity [GO:0009032]</w:t>
            </w:r>
          </w:p>
        </w:tc>
      </w:tr>
      <w:tr w:rsidR="00166343" w14:paraId="3AA9B1BC" w14:textId="77777777" w:rsidTr="00047A75">
        <w:trPr>
          <w:trHeight w:val="674"/>
        </w:trPr>
        <w:tc>
          <w:tcPr>
            <w:tcW w:w="2971" w:type="dxa"/>
            <w:vAlign w:val="center"/>
            <w:hideMark/>
          </w:tcPr>
          <w:p w14:paraId="4411650B"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Translesion error-prone DNA polymerase V autoproteolytic subunit (EC 2.7.7.7)</w:t>
            </w:r>
          </w:p>
        </w:tc>
        <w:tc>
          <w:tcPr>
            <w:tcW w:w="6389" w:type="dxa"/>
            <w:vAlign w:val="center"/>
            <w:hideMark/>
          </w:tcPr>
          <w:p w14:paraId="6A5E31CF"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DNA repair [GO:0006281]; regulation of DNA-templated transcription [GO:0006355]; SOS response [GO:0009432] DNA binding [GO:0003677]; DNA-directed DNA polymerase activity [GO:0003887]; serine-type peptidase activity [GO:0008236]</w:t>
            </w:r>
          </w:p>
        </w:tc>
      </w:tr>
      <w:tr w:rsidR="00166343" w14:paraId="48CB3735" w14:textId="77777777" w:rsidTr="00047A75">
        <w:trPr>
          <w:trHeight w:val="674"/>
        </w:trPr>
        <w:tc>
          <w:tcPr>
            <w:tcW w:w="2971" w:type="dxa"/>
            <w:vAlign w:val="center"/>
            <w:hideMark/>
          </w:tcPr>
          <w:p w14:paraId="1B14437A"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Betaine aldehyde dehydrogenase (BADH) (EC 1.2.1.8)</w:t>
            </w:r>
          </w:p>
        </w:tc>
        <w:tc>
          <w:tcPr>
            <w:tcW w:w="6389" w:type="dxa"/>
            <w:vAlign w:val="center"/>
            <w:hideMark/>
          </w:tcPr>
          <w:p w14:paraId="736D726A"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glycine betaine biosynthetic process from choline [GO:0019285]; protein homotetramerization [GO:0051289]; response to osmotic stress [GO:0006970]; response to X-ray [GO:0010165] betaine-aldehyde dehydrogenase activity [GO:0008802]; identical protein binding [GO:0042802]; metal ion binding [GO:0046872]</w:t>
            </w:r>
          </w:p>
        </w:tc>
      </w:tr>
      <w:tr w:rsidR="00166343" w14:paraId="258800F6" w14:textId="77777777" w:rsidTr="00211D69">
        <w:trPr>
          <w:trHeight w:val="505"/>
        </w:trPr>
        <w:tc>
          <w:tcPr>
            <w:tcW w:w="2971" w:type="dxa"/>
            <w:tcBorders>
              <w:bottom w:val="single" w:sz="8" w:space="0" w:color="auto"/>
            </w:tcBorders>
            <w:vAlign w:val="center"/>
            <w:hideMark/>
          </w:tcPr>
          <w:p w14:paraId="3711B8E8"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ATP-binding protein Uup (EC 3.6.1.-)</w:t>
            </w:r>
          </w:p>
        </w:tc>
        <w:tc>
          <w:tcPr>
            <w:tcW w:w="6389" w:type="dxa"/>
            <w:tcBorders>
              <w:bottom w:val="single" w:sz="8" w:space="0" w:color="auto"/>
            </w:tcBorders>
            <w:vAlign w:val="center"/>
            <w:hideMark/>
          </w:tcPr>
          <w:p w14:paraId="3DEF6F27"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postreplication repair [GO:0006301]; response to radiation [GO:0009314] ATP binding [GO:0005524]; ATP hydrolysis activity [GO:0016887]; DNA binding [GO:0003677]; ribosome binding [GO:0043022]</w:t>
            </w:r>
          </w:p>
        </w:tc>
      </w:tr>
      <w:tr w:rsidR="00166343" w14:paraId="5C4BF9C3" w14:textId="77777777" w:rsidTr="00047A75">
        <w:trPr>
          <w:trHeight w:val="280"/>
        </w:trPr>
        <w:tc>
          <w:tcPr>
            <w:tcW w:w="9361" w:type="dxa"/>
            <w:gridSpan w:val="2"/>
            <w:shd w:val="clear" w:color="000000" w:fill="D0D0D0"/>
            <w:vAlign w:val="center"/>
            <w:hideMark/>
          </w:tcPr>
          <w:p w14:paraId="7E4896B6" w14:textId="77777777" w:rsidR="00166343" w:rsidRPr="00166343" w:rsidRDefault="00166343" w:rsidP="00166343">
            <w:pPr>
              <w:jc w:val="center"/>
              <w:rPr>
                <w:rFonts w:ascii="Arial" w:hAnsi="Arial" w:cs="Arial"/>
                <w:color w:val="000000"/>
                <w:sz w:val="12"/>
                <w:szCs w:val="12"/>
              </w:rPr>
            </w:pPr>
            <w:r w:rsidRPr="00166343">
              <w:rPr>
                <w:rFonts w:ascii="Arial" w:hAnsi="Arial" w:cs="Arial"/>
                <w:color w:val="000000"/>
                <w:sz w:val="12"/>
                <w:szCs w:val="12"/>
              </w:rPr>
              <w:t>Other Functions</w:t>
            </w:r>
          </w:p>
          <w:p w14:paraId="3CF69F59" w14:textId="41CAC2BF" w:rsidR="00166343" w:rsidRPr="00166343" w:rsidRDefault="00166343" w:rsidP="00166343">
            <w:pPr>
              <w:jc w:val="center"/>
              <w:rPr>
                <w:rFonts w:ascii="Arial" w:hAnsi="Arial" w:cs="Arial"/>
                <w:color w:val="000000"/>
                <w:sz w:val="12"/>
                <w:szCs w:val="12"/>
              </w:rPr>
            </w:pPr>
          </w:p>
        </w:tc>
      </w:tr>
      <w:tr w:rsidR="00166343" w14:paraId="1922ED4E" w14:textId="77777777" w:rsidTr="00211D69">
        <w:trPr>
          <w:trHeight w:val="505"/>
        </w:trPr>
        <w:tc>
          <w:tcPr>
            <w:tcW w:w="2971" w:type="dxa"/>
            <w:tcBorders>
              <w:top w:val="single" w:sz="8" w:space="0" w:color="auto"/>
            </w:tcBorders>
            <w:vAlign w:val="center"/>
            <w:hideMark/>
          </w:tcPr>
          <w:p w14:paraId="69B9A546"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Multidrug transporter EmrE</w:t>
            </w:r>
          </w:p>
        </w:tc>
        <w:tc>
          <w:tcPr>
            <w:tcW w:w="6389" w:type="dxa"/>
            <w:tcBorders>
              <w:top w:val="single" w:sz="8" w:space="0" w:color="auto"/>
            </w:tcBorders>
            <w:vAlign w:val="center"/>
            <w:hideMark/>
          </w:tcPr>
          <w:p w14:paraId="12065CCD"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glycine betaine transport [GO:0031460] amino-acid betaine transmembrane transporter activity [GO:0015199]; antiporter activity [GO:0015297]; choline transmembrane transporter activity [GO:0015220]</w:t>
            </w:r>
          </w:p>
        </w:tc>
      </w:tr>
      <w:tr w:rsidR="00166343" w14:paraId="19CF9523" w14:textId="77777777" w:rsidTr="00047A75">
        <w:trPr>
          <w:trHeight w:val="280"/>
        </w:trPr>
        <w:tc>
          <w:tcPr>
            <w:tcW w:w="2971" w:type="dxa"/>
            <w:vAlign w:val="center"/>
            <w:hideMark/>
          </w:tcPr>
          <w:p w14:paraId="6BF69217"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Membrane protein insertase YidC (Foldase YidC) (Membrane integrase YidC) (Membrane protein YidC)</w:t>
            </w:r>
          </w:p>
        </w:tc>
        <w:tc>
          <w:tcPr>
            <w:tcW w:w="6389" w:type="dxa"/>
            <w:vAlign w:val="center"/>
            <w:hideMark/>
          </w:tcPr>
          <w:p w14:paraId="6D4F6481"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protein transport [GO:0015031] membrane insertase activity [GO:0032977]</w:t>
            </w:r>
          </w:p>
        </w:tc>
      </w:tr>
      <w:tr w:rsidR="00166343" w14:paraId="394EE4E3" w14:textId="77777777" w:rsidTr="00047A75">
        <w:trPr>
          <w:trHeight w:val="674"/>
        </w:trPr>
        <w:tc>
          <w:tcPr>
            <w:tcW w:w="2971" w:type="dxa"/>
            <w:vAlign w:val="center"/>
            <w:hideMark/>
          </w:tcPr>
          <w:p w14:paraId="4B992553"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Glycosyl transferase family 2</w:t>
            </w:r>
          </w:p>
        </w:tc>
        <w:tc>
          <w:tcPr>
            <w:tcW w:w="6389" w:type="dxa"/>
            <w:vAlign w:val="center"/>
            <w:hideMark/>
          </w:tcPr>
          <w:p w14:paraId="4D39B12D"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dolichol-linked oligosaccharide biosynthetic process [GO:0006488]; GPI anchor biosynthetic process [GO:0006506]; polysaccharide biosynthetic process [GO:0000271]; protein O-linked mannosylation [GO:0035269] dolichyl-phosphate beta-D-mannosyltransferase activity [GO:0004582]</w:t>
            </w:r>
          </w:p>
        </w:tc>
      </w:tr>
      <w:tr w:rsidR="00166343" w14:paraId="3123F4BA" w14:textId="77777777" w:rsidTr="00047A75">
        <w:trPr>
          <w:trHeight w:val="280"/>
        </w:trPr>
        <w:tc>
          <w:tcPr>
            <w:tcW w:w="2971" w:type="dxa"/>
            <w:vAlign w:val="center"/>
            <w:hideMark/>
          </w:tcPr>
          <w:p w14:paraId="22AFB4A1"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Recombinase family protein</w:t>
            </w:r>
          </w:p>
        </w:tc>
        <w:tc>
          <w:tcPr>
            <w:tcW w:w="6389" w:type="dxa"/>
            <w:vAlign w:val="center"/>
            <w:hideMark/>
          </w:tcPr>
          <w:p w14:paraId="49B14800"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DNA integration [GO:0015074] DNA binding [GO:0003677]; DNA strand exchange activity [GO:0000150]</w:t>
            </w:r>
          </w:p>
        </w:tc>
      </w:tr>
      <w:tr w:rsidR="00166343" w14:paraId="445B6951" w14:textId="77777777" w:rsidTr="00047A75">
        <w:trPr>
          <w:trHeight w:val="505"/>
        </w:trPr>
        <w:tc>
          <w:tcPr>
            <w:tcW w:w="2971" w:type="dxa"/>
            <w:vAlign w:val="center"/>
            <w:hideMark/>
          </w:tcPr>
          <w:p w14:paraId="4B705D69"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Conjugative relaxase</w:t>
            </w:r>
          </w:p>
        </w:tc>
        <w:tc>
          <w:tcPr>
            <w:tcW w:w="6389" w:type="dxa"/>
            <w:vAlign w:val="center"/>
            <w:hideMark/>
          </w:tcPr>
          <w:p w14:paraId="30BC56D1"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DNA recombination [GO:0006310] 5'-3' DNA helicase activity [GO:0043139]; single-stranded DNA helicase activity [GO:0017116] exodeoxyribonuclease V complex [GO:0009338]</w:t>
            </w:r>
          </w:p>
        </w:tc>
      </w:tr>
      <w:tr w:rsidR="00166343" w14:paraId="5F598B36" w14:textId="77777777" w:rsidTr="00047A75">
        <w:trPr>
          <w:trHeight w:val="280"/>
        </w:trPr>
        <w:tc>
          <w:tcPr>
            <w:tcW w:w="2971" w:type="dxa"/>
            <w:vAlign w:val="center"/>
            <w:hideMark/>
          </w:tcPr>
          <w:p w14:paraId="01E416A8"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Antirestriction protein ArdC</w:t>
            </w:r>
          </w:p>
        </w:tc>
        <w:tc>
          <w:tcPr>
            <w:tcW w:w="6389" w:type="dxa"/>
            <w:vAlign w:val="center"/>
            <w:hideMark/>
          </w:tcPr>
          <w:p w14:paraId="2645D06C"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single-stranded DNA binding [GO:0003697]</w:t>
            </w:r>
          </w:p>
        </w:tc>
      </w:tr>
      <w:tr w:rsidR="00166343" w14:paraId="1D7817E5" w14:textId="77777777" w:rsidTr="00047A75">
        <w:trPr>
          <w:trHeight w:val="505"/>
        </w:trPr>
        <w:tc>
          <w:tcPr>
            <w:tcW w:w="2971" w:type="dxa"/>
            <w:vAlign w:val="center"/>
            <w:hideMark/>
          </w:tcPr>
          <w:p w14:paraId="093E8E82"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Bifunctional enoyl-CoA hydratase/phosphate acetyltransferase</w:t>
            </w:r>
          </w:p>
        </w:tc>
        <w:tc>
          <w:tcPr>
            <w:tcW w:w="6389" w:type="dxa"/>
            <w:vAlign w:val="center"/>
            <w:hideMark/>
          </w:tcPr>
          <w:p w14:paraId="3FEDB651"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acyltransferase activity [GO:0016746]</w:t>
            </w:r>
          </w:p>
        </w:tc>
      </w:tr>
      <w:tr w:rsidR="00166343" w14:paraId="5374CACE" w14:textId="77777777" w:rsidTr="00047A75">
        <w:trPr>
          <w:trHeight w:val="280"/>
        </w:trPr>
        <w:tc>
          <w:tcPr>
            <w:tcW w:w="2971" w:type="dxa"/>
            <w:vAlign w:val="center"/>
            <w:hideMark/>
          </w:tcPr>
          <w:p w14:paraId="23397732"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Conjugal transfer protein TraH</w:t>
            </w:r>
          </w:p>
        </w:tc>
        <w:tc>
          <w:tcPr>
            <w:tcW w:w="6389" w:type="dxa"/>
            <w:vAlign w:val="center"/>
            <w:hideMark/>
          </w:tcPr>
          <w:p w14:paraId="6E9E8C2F"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protein secretion by the type IV secretion system [GO:0030255] membrane [GO:0016020]</w:t>
            </w:r>
          </w:p>
        </w:tc>
      </w:tr>
      <w:tr w:rsidR="00166343" w14:paraId="48A994D3" w14:textId="77777777" w:rsidTr="00047A75">
        <w:trPr>
          <w:trHeight w:val="280"/>
        </w:trPr>
        <w:tc>
          <w:tcPr>
            <w:tcW w:w="2971" w:type="dxa"/>
            <w:vAlign w:val="center"/>
            <w:hideMark/>
          </w:tcPr>
          <w:p w14:paraId="429511AF"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Type IV conjugative transfer system protein TraL</w:t>
            </w:r>
          </w:p>
        </w:tc>
        <w:tc>
          <w:tcPr>
            <w:tcW w:w="6389" w:type="dxa"/>
            <w:vAlign w:val="center"/>
            <w:hideMark/>
          </w:tcPr>
          <w:p w14:paraId="6BD44009"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outer membrane [GO:0019867]</w:t>
            </w:r>
          </w:p>
        </w:tc>
      </w:tr>
      <w:tr w:rsidR="00166343" w14:paraId="0DE9C049" w14:textId="77777777" w:rsidTr="00047A75">
        <w:trPr>
          <w:trHeight w:val="280"/>
        </w:trPr>
        <w:tc>
          <w:tcPr>
            <w:tcW w:w="2971" w:type="dxa"/>
            <w:vAlign w:val="center"/>
            <w:hideMark/>
          </w:tcPr>
          <w:p w14:paraId="2CBF50B9"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RNA-dependent DNA polymerase</w:t>
            </w:r>
          </w:p>
        </w:tc>
        <w:tc>
          <w:tcPr>
            <w:tcW w:w="6389" w:type="dxa"/>
            <w:vAlign w:val="center"/>
            <w:hideMark/>
          </w:tcPr>
          <w:p w14:paraId="42889C87"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mRNA processing [GO:0006397]</w:t>
            </w:r>
          </w:p>
        </w:tc>
      </w:tr>
      <w:tr w:rsidR="00166343" w14:paraId="32520E65" w14:textId="77777777" w:rsidTr="00047A75">
        <w:trPr>
          <w:trHeight w:val="280"/>
        </w:trPr>
        <w:tc>
          <w:tcPr>
            <w:tcW w:w="2971" w:type="dxa"/>
            <w:vAlign w:val="center"/>
            <w:hideMark/>
          </w:tcPr>
          <w:p w14:paraId="5B8270CF"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Type-IV secretion system protein TraC</w:t>
            </w:r>
          </w:p>
        </w:tc>
        <w:tc>
          <w:tcPr>
            <w:tcW w:w="6389" w:type="dxa"/>
            <w:vAlign w:val="center"/>
            <w:hideMark/>
          </w:tcPr>
          <w:p w14:paraId="362E8932"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ATP hydrolysis activity [GO:0016887]</w:t>
            </w:r>
          </w:p>
        </w:tc>
      </w:tr>
      <w:tr w:rsidR="00166343" w14:paraId="69227D14" w14:textId="77777777" w:rsidTr="00047A75">
        <w:trPr>
          <w:trHeight w:val="280"/>
        </w:trPr>
        <w:tc>
          <w:tcPr>
            <w:tcW w:w="2971" w:type="dxa"/>
            <w:vAlign w:val="center"/>
            <w:hideMark/>
          </w:tcPr>
          <w:p w14:paraId="10FEFA42"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Replication initiation protein</w:t>
            </w:r>
          </w:p>
        </w:tc>
        <w:tc>
          <w:tcPr>
            <w:tcW w:w="6389" w:type="dxa"/>
            <w:vAlign w:val="center"/>
            <w:hideMark/>
          </w:tcPr>
          <w:p w14:paraId="20D366FB"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DNA replication initiation [GO:0006270] DNA-directed DNA polymerase activity [GO:0003887]</w:t>
            </w:r>
          </w:p>
        </w:tc>
      </w:tr>
      <w:tr w:rsidR="00166343" w14:paraId="6A1F4F4C" w14:textId="77777777" w:rsidTr="00047A75">
        <w:trPr>
          <w:trHeight w:val="280"/>
        </w:trPr>
        <w:tc>
          <w:tcPr>
            <w:tcW w:w="2971" w:type="dxa"/>
            <w:vAlign w:val="center"/>
            <w:hideMark/>
          </w:tcPr>
          <w:p w14:paraId="6B25568F"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Tn3 family transposase</w:t>
            </w:r>
          </w:p>
        </w:tc>
        <w:tc>
          <w:tcPr>
            <w:tcW w:w="6389" w:type="dxa"/>
            <w:vAlign w:val="center"/>
            <w:hideMark/>
          </w:tcPr>
          <w:p w14:paraId="1276942D"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DNA recombination [GO:0006310]; transposition [GO:0032196]</w:t>
            </w:r>
          </w:p>
        </w:tc>
      </w:tr>
      <w:tr w:rsidR="00166343" w14:paraId="6D19A5A9" w14:textId="77777777" w:rsidTr="00047A75">
        <w:trPr>
          <w:trHeight w:val="505"/>
        </w:trPr>
        <w:tc>
          <w:tcPr>
            <w:tcW w:w="2971" w:type="dxa"/>
            <w:vAlign w:val="center"/>
            <w:hideMark/>
          </w:tcPr>
          <w:p w14:paraId="4E32055A"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DegT/DnrJ/EryC1/StrS family aminotransferase</w:t>
            </w:r>
          </w:p>
        </w:tc>
        <w:tc>
          <w:tcPr>
            <w:tcW w:w="6389" w:type="dxa"/>
            <w:vAlign w:val="center"/>
            <w:hideMark/>
          </w:tcPr>
          <w:p w14:paraId="7004395D"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polysaccharide biosynthetic process [GO:0000271] pyridoxal phosphate binding [GO:0030170]; transaminase activity [GO:0008483]</w:t>
            </w:r>
          </w:p>
        </w:tc>
      </w:tr>
      <w:tr w:rsidR="00166343" w14:paraId="76CBCE3C" w14:textId="77777777" w:rsidTr="00047A75">
        <w:trPr>
          <w:trHeight w:val="674"/>
        </w:trPr>
        <w:tc>
          <w:tcPr>
            <w:tcW w:w="2971" w:type="dxa"/>
            <w:vAlign w:val="center"/>
            <w:hideMark/>
          </w:tcPr>
          <w:p w14:paraId="0BF52E6C"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lastRenderedPageBreak/>
              <w:t>DNA methylase N-4/N-6 domain-containing protein</w:t>
            </w:r>
          </w:p>
        </w:tc>
        <w:tc>
          <w:tcPr>
            <w:tcW w:w="6389" w:type="dxa"/>
            <w:vAlign w:val="center"/>
            <w:hideMark/>
          </w:tcPr>
          <w:p w14:paraId="5802999C"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DNA restriction-modification system [GO:0009307]; methylation [GO:0032259] DNA binding [GO:0003677]; N-methyltransferase activity [GO:0008170]; site-specific DNA-methyltransferase (cytosine-N4-specific) activity [GO:0015667]</w:t>
            </w:r>
          </w:p>
        </w:tc>
      </w:tr>
      <w:tr w:rsidR="00166343" w14:paraId="57312D95" w14:textId="77777777" w:rsidTr="00047A75">
        <w:trPr>
          <w:trHeight w:val="505"/>
        </w:trPr>
        <w:tc>
          <w:tcPr>
            <w:tcW w:w="2971" w:type="dxa"/>
            <w:vAlign w:val="center"/>
            <w:hideMark/>
          </w:tcPr>
          <w:p w14:paraId="03B3C877"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Isoprenylcysteine carboxylmethyltransferase family protein</w:t>
            </w:r>
          </w:p>
        </w:tc>
        <w:tc>
          <w:tcPr>
            <w:tcW w:w="6389" w:type="dxa"/>
            <w:vAlign w:val="center"/>
            <w:hideMark/>
          </w:tcPr>
          <w:p w14:paraId="231E29AA"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methylation [GO:0032259] protein C-terminal S-isoprenylcysteine carboxyl O-methyltransferase activity [GO:0004671]</w:t>
            </w:r>
          </w:p>
        </w:tc>
      </w:tr>
      <w:tr w:rsidR="00166343" w14:paraId="6BA3D0C8" w14:textId="77777777" w:rsidTr="00047A75">
        <w:trPr>
          <w:trHeight w:val="280"/>
        </w:trPr>
        <w:tc>
          <w:tcPr>
            <w:tcW w:w="2971" w:type="dxa"/>
            <w:vAlign w:val="center"/>
            <w:hideMark/>
          </w:tcPr>
          <w:p w14:paraId="14AE8A45"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LptF/LptG family permease</w:t>
            </w:r>
          </w:p>
        </w:tc>
        <w:tc>
          <w:tcPr>
            <w:tcW w:w="6389" w:type="dxa"/>
            <w:vAlign w:val="center"/>
            <w:hideMark/>
          </w:tcPr>
          <w:p w14:paraId="06FB2414"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lipopolysaccharide transport [GO:0015920] ATP-binding cassette (ABC) transporter complex [GO:0043190]</w:t>
            </w:r>
          </w:p>
        </w:tc>
      </w:tr>
      <w:tr w:rsidR="00166343" w14:paraId="5430887B" w14:textId="77777777" w:rsidTr="00047A75">
        <w:trPr>
          <w:trHeight w:val="505"/>
        </w:trPr>
        <w:tc>
          <w:tcPr>
            <w:tcW w:w="2971" w:type="dxa"/>
            <w:vAlign w:val="center"/>
            <w:hideMark/>
          </w:tcPr>
          <w:p w14:paraId="068D675F"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Phosphoadenosine phosphosulfate reductase family protein</w:t>
            </w:r>
          </w:p>
        </w:tc>
        <w:tc>
          <w:tcPr>
            <w:tcW w:w="6389" w:type="dxa"/>
            <w:vAlign w:val="center"/>
            <w:hideMark/>
          </w:tcPr>
          <w:p w14:paraId="79C34B66"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catalytic activity [GO:0003824]</w:t>
            </w:r>
          </w:p>
        </w:tc>
      </w:tr>
      <w:tr w:rsidR="00166343" w14:paraId="55DE657F" w14:textId="77777777" w:rsidTr="00047A75">
        <w:trPr>
          <w:trHeight w:val="280"/>
        </w:trPr>
        <w:tc>
          <w:tcPr>
            <w:tcW w:w="2971" w:type="dxa"/>
            <w:vAlign w:val="center"/>
            <w:hideMark/>
          </w:tcPr>
          <w:p w14:paraId="64F0BD42"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TrbI/VirB10 family protein</w:t>
            </w:r>
          </w:p>
        </w:tc>
        <w:tc>
          <w:tcPr>
            <w:tcW w:w="6389" w:type="dxa"/>
            <w:vAlign w:val="center"/>
            <w:hideMark/>
          </w:tcPr>
          <w:p w14:paraId="0299805F"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plasma membrane [GO:0005886]</w:t>
            </w:r>
          </w:p>
        </w:tc>
      </w:tr>
      <w:tr w:rsidR="00166343" w14:paraId="2A40AF74" w14:textId="77777777" w:rsidTr="00047A75">
        <w:trPr>
          <w:trHeight w:val="280"/>
        </w:trPr>
        <w:tc>
          <w:tcPr>
            <w:tcW w:w="2971" w:type="dxa"/>
            <w:vAlign w:val="center"/>
            <w:hideMark/>
          </w:tcPr>
          <w:p w14:paraId="4FE8A0B0"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P-type conjugative transfer protein TrbL</w:t>
            </w:r>
          </w:p>
        </w:tc>
        <w:tc>
          <w:tcPr>
            <w:tcW w:w="6389" w:type="dxa"/>
            <w:vAlign w:val="center"/>
            <w:hideMark/>
          </w:tcPr>
          <w:p w14:paraId="2A6971D5"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protein secretion by the type IV secretion system [GO:0030255]</w:t>
            </w:r>
          </w:p>
        </w:tc>
      </w:tr>
      <w:tr w:rsidR="00166343" w14:paraId="3783B89C" w14:textId="77777777" w:rsidTr="00047A75">
        <w:trPr>
          <w:trHeight w:val="280"/>
        </w:trPr>
        <w:tc>
          <w:tcPr>
            <w:tcW w:w="2971" w:type="dxa"/>
            <w:vAlign w:val="center"/>
            <w:hideMark/>
          </w:tcPr>
          <w:p w14:paraId="0E97BC07"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DsbC family protein</w:t>
            </w:r>
          </w:p>
        </w:tc>
        <w:tc>
          <w:tcPr>
            <w:tcW w:w="6389" w:type="dxa"/>
            <w:vAlign w:val="center"/>
            <w:hideMark/>
          </w:tcPr>
          <w:p w14:paraId="6E150593"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periplasmic space [GO:0042597]</w:t>
            </w:r>
          </w:p>
        </w:tc>
      </w:tr>
      <w:tr w:rsidR="00166343" w14:paraId="3870C80C" w14:textId="77777777" w:rsidTr="00047A75">
        <w:trPr>
          <w:trHeight w:val="674"/>
        </w:trPr>
        <w:tc>
          <w:tcPr>
            <w:tcW w:w="2971" w:type="dxa"/>
            <w:vAlign w:val="center"/>
            <w:hideMark/>
          </w:tcPr>
          <w:p w14:paraId="534E1B34"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ATP-grasp domain-containing protein</w:t>
            </w:r>
          </w:p>
        </w:tc>
        <w:tc>
          <w:tcPr>
            <w:tcW w:w="6389" w:type="dxa"/>
            <w:vAlign w:val="center"/>
            <w:hideMark/>
          </w:tcPr>
          <w:p w14:paraId="76766E42"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de novo' UMP biosynthetic process [GO:0044205]; arginine biosynthetic process [GO:0006526] ATP binding [GO:0005524]; carbamoyl-phosphate synthase (glutamine-hydrolyzing) activity [GO:0004088]; metal ion binding [GO:0046872]</w:t>
            </w:r>
          </w:p>
        </w:tc>
      </w:tr>
      <w:tr w:rsidR="00166343" w14:paraId="66E20751" w14:textId="77777777" w:rsidTr="00047A75">
        <w:trPr>
          <w:trHeight w:val="842"/>
        </w:trPr>
        <w:tc>
          <w:tcPr>
            <w:tcW w:w="2971" w:type="dxa"/>
            <w:vAlign w:val="center"/>
            <w:hideMark/>
          </w:tcPr>
          <w:p w14:paraId="59B747C1"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Amino acid adenylation domain-containing protein</w:t>
            </w:r>
          </w:p>
        </w:tc>
        <w:tc>
          <w:tcPr>
            <w:tcW w:w="6389" w:type="dxa"/>
            <w:vAlign w:val="center"/>
            <w:hideMark/>
          </w:tcPr>
          <w:p w14:paraId="67489752"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amino acid activation for nonribosomal peptide biosynthetic process [GO:0043041]; fatty acid biosynthetic process [GO:0006633]; secondary metabolite biosynthetic process [GO:0044550] 3-oxoacyl-[acyl-carrier-protein] synthase activity [GO:0004315]; phosphopantetheine binding [GO:0031177]; pyridoxal phosphate binding [GO:0030170]; transaminase activity [GO:0008483]</w:t>
            </w:r>
          </w:p>
        </w:tc>
      </w:tr>
      <w:tr w:rsidR="00166343" w14:paraId="50CC5444" w14:textId="77777777" w:rsidTr="00047A75">
        <w:trPr>
          <w:trHeight w:val="674"/>
        </w:trPr>
        <w:tc>
          <w:tcPr>
            <w:tcW w:w="2971" w:type="dxa"/>
            <w:vAlign w:val="center"/>
            <w:hideMark/>
          </w:tcPr>
          <w:p w14:paraId="083FA929"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Restriction endonuclease</w:t>
            </w:r>
          </w:p>
        </w:tc>
        <w:tc>
          <w:tcPr>
            <w:tcW w:w="6389" w:type="dxa"/>
            <w:vAlign w:val="center"/>
            <w:hideMark/>
          </w:tcPr>
          <w:p w14:paraId="0D49519B"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DNA restriction-modification system [GO:0009307]; methylation [GO:0032259] DNA binding [GO:0003677]; endonuclease activity [GO:0004519]; N-methyltransferase activity [GO:0008170]; site-specific DNA-methyltransferase (cytosine-N4-specific) activity [GO:0015667]</w:t>
            </w:r>
          </w:p>
        </w:tc>
      </w:tr>
      <w:tr w:rsidR="00166343" w14:paraId="31D3C7E3" w14:textId="77777777" w:rsidTr="00047A75">
        <w:trPr>
          <w:trHeight w:val="280"/>
        </w:trPr>
        <w:tc>
          <w:tcPr>
            <w:tcW w:w="2971" w:type="dxa"/>
            <w:vAlign w:val="center"/>
            <w:hideMark/>
          </w:tcPr>
          <w:p w14:paraId="49C98DF1"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TrbI F-type domain-containing protein</w:t>
            </w:r>
          </w:p>
        </w:tc>
        <w:tc>
          <w:tcPr>
            <w:tcW w:w="6389" w:type="dxa"/>
            <w:vAlign w:val="center"/>
            <w:hideMark/>
          </w:tcPr>
          <w:p w14:paraId="54573D34"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membrane [GO:0016020]</w:t>
            </w:r>
          </w:p>
        </w:tc>
      </w:tr>
      <w:tr w:rsidR="00166343" w14:paraId="1BEAE870" w14:textId="77777777" w:rsidTr="00047A75">
        <w:trPr>
          <w:trHeight w:val="280"/>
        </w:trPr>
        <w:tc>
          <w:tcPr>
            <w:tcW w:w="2971" w:type="dxa"/>
            <w:vAlign w:val="center"/>
            <w:hideMark/>
          </w:tcPr>
          <w:p w14:paraId="24A81AB2"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VacJ family lipoprotein</w:t>
            </w:r>
          </w:p>
        </w:tc>
        <w:tc>
          <w:tcPr>
            <w:tcW w:w="6389" w:type="dxa"/>
            <w:vAlign w:val="center"/>
            <w:hideMark/>
          </w:tcPr>
          <w:p w14:paraId="6014E03A"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intermembrane phospholipid transfer [GO:0120010]</w:t>
            </w:r>
          </w:p>
        </w:tc>
      </w:tr>
      <w:tr w:rsidR="00166343" w14:paraId="067E8377" w14:textId="77777777" w:rsidTr="00047A75">
        <w:trPr>
          <w:trHeight w:val="280"/>
        </w:trPr>
        <w:tc>
          <w:tcPr>
            <w:tcW w:w="2971" w:type="dxa"/>
            <w:vAlign w:val="center"/>
            <w:hideMark/>
          </w:tcPr>
          <w:p w14:paraId="1DE3E296"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Putative entry exclusion protein TrbK-alt</w:t>
            </w:r>
          </w:p>
        </w:tc>
        <w:tc>
          <w:tcPr>
            <w:tcW w:w="6389" w:type="dxa"/>
            <w:vAlign w:val="center"/>
            <w:hideMark/>
          </w:tcPr>
          <w:p w14:paraId="4A785C6C"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membrane [GO:0016020]</w:t>
            </w:r>
          </w:p>
        </w:tc>
      </w:tr>
      <w:tr w:rsidR="00166343" w14:paraId="1E0183E8" w14:textId="77777777" w:rsidTr="00047A75">
        <w:trPr>
          <w:trHeight w:val="505"/>
        </w:trPr>
        <w:tc>
          <w:tcPr>
            <w:tcW w:w="2971" w:type="dxa"/>
            <w:vAlign w:val="center"/>
            <w:hideMark/>
          </w:tcPr>
          <w:p w14:paraId="3E8612BE"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F0F1 ATP synthase subunit epsilon</w:t>
            </w:r>
          </w:p>
        </w:tc>
        <w:tc>
          <w:tcPr>
            <w:tcW w:w="6389" w:type="dxa"/>
            <w:vAlign w:val="center"/>
            <w:hideMark/>
          </w:tcPr>
          <w:p w14:paraId="3889EACD"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proton-transporting ATP synthase activity, rotational mechanism [GO:0046933] proton-transporting ATP synthase complex, catalytic core F(1) [GO:0045261]</w:t>
            </w:r>
          </w:p>
        </w:tc>
      </w:tr>
      <w:tr w:rsidR="00166343" w14:paraId="53BB04C2" w14:textId="77777777" w:rsidTr="00047A75">
        <w:trPr>
          <w:trHeight w:val="280"/>
        </w:trPr>
        <w:tc>
          <w:tcPr>
            <w:tcW w:w="2971" w:type="dxa"/>
            <w:vAlign w:val="center"/>
            <w:hideMark/>
          </w:tcPr>
          <w:p w14:paraId="3B2E0F0F"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50S ribosome-binding GTPase</w:t>
            </w:r>
          </w:p>
        </w:tc>
        <w:tc>
          <w:tcPr>
            <w:tcW w:w="6389" w:type="dxa"/>
            <w:vAlign w:val="center"/>
            <w:hideMark/>
          </w:tcPr>
          <w:p w14:paraId="710479A1"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tRNA methylation [GO:0030488]; tRNA wobble uridine modification [GO:0002098] GTP binding [GO:0005525]</w:t>
            </w:r>
          </w:p>
        </w:tc>
      </w:tr>
      <w:tr w:rsidR="00166343" w14:paraId="53918C1F" w14:textId="77777777" w:rsidTr="00047A75">
        <w:trPr>
          <w:trHeight w:val="1067"/>
        </w:trPr>
        <w:tc>
          <w:tcPr>
            <w:tcW w:w="2971" w:type="dxa"/>
            <w:vAlign w:val="center"/>
            <w:hideMark/>
          </w:tcPr>
          <w:p w14:paraId="48B25646"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Bifunctional protein HldE [Includes: D-beta-D-heptose 7-phosphate kinase (EC 2.7.1.167) (D-beta-D-heptose 7-phosphotransferase) (D-glycero-beta-D-manno-heptose-7-phosphate kinase); D-beta-D-heptose 1-phosphate adenylyltransferase (EC 2.7.7.70) (D-glycero-beta-D-manno-heptose 1-phosphate adenylyltransferase)]</w:t>
            </w:r>
          </w:p>
        </w:tc>
        <w:tc>
          <w:tcPr>
            <w:tcW w:w="6389" w:type="dxa"/>
            <w:vAlign w:val="center"/>
            <w:hideMark/>
          </w:tcPr>
          <w:p w14:paraId="7CA4A66D"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ADP-L-glycero-beta-D-manno-heptose biosynthetic process [GO:0097171] ATP binding [GO:0005524]; heptose 7-phosphate kinase activity [GO:0033785]; heptose-1-phosphate adenylyltransferase activity [GO:0033786]; phosphotransferase activity, alcohol group as acceptor [GO:0016773]</w:t>
            </w:r>
          </w:p>
        </w:tc>
      </w:tr>
      <w:tr w:rsidR="00166343" w14:paraId="3A08006C" w14:textId="77777777" w:rsidTr="00047A75">
        <w:trPr>
          <w:trHeight w:val="280"/>
        </w:trPr>
        <w:tc>
          <w:tcPr>
            <w:tcW w:w="2971" w:type="dxa"/>
            <w:vAlign w:val="center"/>
            <w:hideMark/>
          </w:tcPr>
          <w:p w14:paraId="11B96A17"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ATP synthase subunit I</w:t>
            </w:r>
          </w:p>
        </w:tc>
        <w:tc>
          <w:tcPr>
            <w:tcW w:w="6389" w:type="dxa"/>
            <w:vAlign w:val="center"/>
            <w:hideMark/>
          </w:tcPr>
          <w:p w14:paraId="1127AC41"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membrane [GO:0016020]</w:t>
            </w:r>
          </w:p>
        </w:tc>
      </w:tr>
      <w:tr w:rsidR="00166343" w14:paraId="7A6CA95C" w14:textId="77777777" w:rsidTr="00047A75">
        <w:trPr>
          <w:trHeight w:val="842"/>
        </w:trPr>
        <w:tc>
          <w:tcPr>
            <w:tcW w:w="2971" w:type="dxa"/>
            <w:vAlign w:val="center"/>
            <w:hideMark/>
          </w:tcPr>
          <w:p w14:paraId="6004FBA9"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ADP-L-glycero-D-manno-heptose-6-epimerase (EC 5.1.3.20) (ADP-L-glycero-beta-D-manno-heptose-6-epimerase) (ADP-glyceromanno-heptose 6-epimerase) (ADP-hep 6-epimerase) (AGME)</w:t>
            </w:r>
          </w:p>
        </w:tc>
        <w:tc>
          <w:tcPr>
            <w:tcW w:w="6389" w:type="dxa"/>
            <w:vAlign w:val="center"/>
            <w:hideMark/>
          </w:tcPr>
          <w:p w14:paraId="3A3766B9"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ADP-L-glycero-beta-D-manno-heptose biosynthetic process [GO:0097171]; carbohydrate metabolic process [GO:0005975] ADP-glyceromanno-heptose 6-epimerase activity [GO:0008712]; NADP binding [GO:0050661]</w:t>
            </w:r>
          </w:p>
        </w:tc>
      </w:tr>
      <w:tr w:rsidR="00166343" w14:paraId="531B6736" w14:textId="77777777" w:rsidTr="00047A75">
        <w:trPr>
          <w:trHeight w:val="505"/>
        </w:trPr>
        <w:tc>
          <w:tcPr>
            <w:tcW w:w="2971" w:type="dxa"/>
            <w:vAlign w:val="center"/>
            <w:hideMark/>
          </w:tcPr>
          <w:p w14:paraId="35AA2CAD"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AGE family epimerase/isomerase</w:t>
            </w:r>
          </w:p>
        </w:tc>
        <w:tc>
          <w:tcPr>
            <w:tcW w:w="6389" w:type="dxa"/>
            <w:vAlign w:val="center"/>
            <w:hideMark/>
          </w:tcPr>
          <w:p w14:paraId="5C80C53C"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6-sulfoquinovose(1-) catabolic process to glycerone phosphate and 3-sulfolactaldehyde [GO:0061720]; carbohydrate metabolic process [GO:0005975] sulfoquinovose isomerase activity [GO:0061593]</w:t>
            </w:r>
          </w:p>
        </w:tc>
      </w:tr>
      <w:tr w:rsidR="00166343" w14:paraId="0324AAEF" w14:textId="77777777" w:rsidTr="00047A75">
        <w:trPr>
          <w:trHeight w:val="280"/>
        </w:trPr>
        <w:tc>
          <w:tcPr>
            <w:tcW w:w="2971" w:type="dxa"/>
            <w:vAlign w:val="center"/>
            <w:hideMark/>
          </w:tcPr>
          <w:p w14:paraId="5D536958"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Bacteriocin family protein</w:t>
            </w:r>
          </w:p>
        </w:tc>
        <w:tc>
          <w:tcPr>
            <w:tcW w:w="6389" w:type="dxa"/>
            <w:vAlign w:val="center"/>
            <w:hideMark/>
          </w:tcPr>
          <w:p w14:paraId="63FD2FEE"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encapsulin nanocompartment [GO:0140737]</w:t>
            </w:r>
          </w:p>
        </w:tc>
      </w:tr>
      <w:tr w:rsidR="00166343" w14:paraId="2CA9843C" w14:textId="77777777" w:rsidTr="00047A75">
        <w:trPr>
          <w:trHeight w:val="280"/>
        </w:trPr>
        <w:tc>
          <w:tcPr>
            <w:tcW w:w="2971" w:type="dxa"/>
            <w:vAlign w:val="center"/>
            <w:hideMark/>
          </w:tcPr>
          <w:p w14:paraId="30BE54C3"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HAD hydrolase family protein</w:t>
            </w:r>
          </w:p>
        </w:tc>
        <w:tc>
          <w:tcPr>
            <w:tcW w:w="6389" w:type="dxa"/>
            <w:vAlign w:val="center"/>
            <w:hideMark/>
          </w:tcPr>
          <w:p w14:paraId="10C690B1"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hydrolase activity [GO:0016787]</w:t>
            </w:r>
          </w:p>
        </w:tc>
      </w:tr>
      <w:tr w:rsidR="00166343" w14:paraId="1816358F" w14:textId="77777777" w:rsidTr="00047A75">
        <w:trPr>
          <w:trHeight w:val="280"/>
        </w:trPr>
        <w:tc>
          <w:tcPr>
            <w:tcW w:w="2971" w:type="dxa"/>
            <w:vAlign w:val="center"/>
            <w:hideMark/>
          </w:tcPr>
          <w:p w14:paraId="7E42B288"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Antitoxin VbhA family protein</w:t>
            </w:r>
          </w:p>
        </w:tc>
        <w:tc>
          <w:tcPr>
            <w:tcW w:w="6389" w:type="dxa"/>
            <w:vAlign w:val="center"/>
            <w:hideMark/>
          </w:tcPr>
          <w:p w14:paraId="5FC80936"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negative regulation of protein adenylylation [GO:1900723]</w:t>
            </w:r>
          </w:p>
        </w:tc>
      </w:tr>
      <w:tr w:rsidR="00166343" w14:paraId="6002F173" w14:textId="77777777" w:rsidTr="00047A75">
        <w:trPr>
          <w:trHeight w:val="280"/>
        </w:trPr>
        <w:tc>
          <w:tcPr>
            <w:tcW w:w="2971" w:type="dxa"/>
            <w:vAlign w:val="center"/>
            <w:hideMark/>
          </w:tcPr>
          <w:p w14:paraId="271179BB"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Type IV conjugative transfer system protein TraE</w:t>
            </w:r>
          </w:p>
        </w:tc>
        <w:tc>
          <w:tcPr>
            <w:tcW w:w="6389" w:type="dxa"/>
            <w:vAlign w:val="center"/>
            <w:hideMark/>
          </w:tcPr>
          <w:p w14:paraId="6477B90C"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membrane [GO:0016020]</w:t>
            </w:r>
          </w:p>
        </w:tc>
      </w:tr>
      <w:tr w:rsidR="00166343" w14:paraId="540D67D1" w14:textId="77777777" w:rsidTr="00047A75">
        <w:trPr>
          <w:trHeight w:val="280"/>
        </w:trPr>
        <w:tc>
          <w:tcPr>
            <w:tcW w:w="2971" w:type="dxa"/>
            <w:vAlign w:val="center"/>
            <w:hideMark/>
          </w:tcPr>
          <w:p w14:paraId="6BF5BEC9"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YgjV family protein</w:t>
            </w:r>
          </w:p>
        </w:tc>
        <w:tc>
          <w:tcPr>
            <w:tcW w:w="6389" w:type="dxa"/>
            <w:vAlign w:val="center"/>
            <w:hideMark/>
          </w:tcPr>
          <w:p w14:paraId="4DA52871"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membrane [GO:0016020]</w:t>
            </w:r>
          </w:p>
        </w:tc>
      </w:tr>
      <w:tr w:rsidR="00166343" w14:paraId="2EC5CE1A" w14:textId="77777777" w:rsidTr="00047A75">
        <w:trPr>
          <w:trHeight w:val="280"/>
        </w:trPr>
        <w:tc>
          <w:tcPr>
            <w:tcW w:w="2971" w:type="dxa"/>
            <w:vAlign w:val="center"/>
            <w:hideMark/>
          </w:tcPr>
          <w:p w14:paraId="2154A4EE"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Relaxase domain-containing protein</w:t>
            </w:r>
          </w:p>
        </w:tc>
        <w:tc>
          <w:tcPr>
            <w:tcW w:w="6389" w:type="dxa"/>
            <w:vAlign w:val="center"/>
            <w:hideMark/>
          </w:tcPr>
          <w:p w14:paraId="4747F66F"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ATP hydrolysis activity [GO:0016887]</w:t>
            </w:r>
          </w:p>
        </w:tc>
      </w:tr>
      <w:tr w:rsidR="00166343" w14:paraId="081ADDC7" w14:textId="77777777" w:rsidTr="00047A75">
        <w:trPr>
          <w:trHeight w:val="280"/>
        </w:trPr>
        <w:tc>
          <w:tcPr>
            <w:tcW w:w="2971" w:type="dxa"/>
            <w:vAlign w:val="center"/>
            <w:hideMark/>
          </w:tcPr>
          <w:p w14:paraId="758083C0"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SsDNA-binding domain-containing protein</w:t>
            </w:r>
          </w:p>
        </w:tc>
        <w:tc>
          <w:tcPr>
            <w:tcW w:w="6389" w:type="dxa"/>
            <w:vAlign w:val="center"/>
            <w:hideMark/>
          </w:tcPr>
          <w:p w14:paraId="5E4B4174"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single-stranded DNA binding [GO:0003697]</w:t>
            </w:r>
          </w:p>
        </w:tc>
      </w:tr>
      <w:tr w:rsidR="00166343" w14:paraId="662C9D7A" w14:textId="77777777" w:rsidTr="00047A75">
        <w:trPr>
          <w:trHeight w:val="505"/>
        </w:trPr>
        <w:tc>
          <w:tcPr>
            <w:tcW w:w="2971" w:type="dxa"/>
            <w:vAlign w:val="center"/>
            <w:hideMark/>
          </w:tcPr>
          <w:p w14:paraId="09BADE95"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Type IV secretion system DNA-binding domain-containing protein</w:t>
            </w:r>
          </w:p>
        </w:tc>
        <w:tc>
          <w:tcPr>
            <w:tcW w:w="6389" w:type="dxa"/>
            <w:vAlign w:val="center"/>
            <w:hideMark/>
          </w:tcPr>
          <w:p w14:paraId="60F9B1F3"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cell division [GO:0051301] ATP binding [GO:0005524]; DNA binding [GO:0003677]</w:t>
            </w:r>
          </w:p>
        </w:tc>
      </w:tr>
      <w:tr w:rsidR="00166343" w14:paraId="4A5532A4" w14:textId="77777777" w:rsidTr="00047A75">
        <w:trPr>
          <w:trHeight w:val="505"/>
        </w:trPr>
        <w:tc>
          <w:tcPr>
            <w:tcW w:w="2971" w:type="dxa"/>
            <w:vAlign w:val="center"/>
            <w:hideMark/>
          </w:tcPr>
          <w:p w14:paraId="58A2483B"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Strawberry notch family protein</w:t>
            </w:r>
          </w:p>
        </w:tc>
        <w:tc>
          <w:tcPr>
            <w:tcW w:w="6389" w:type="dxa"/>
            <w:vAlign w:val="center"/>
            <w:hideMark/>
          </w:tcPr>
          <w:p w14:paraId="64B9E363"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methylation [GO:0032259]; regulation of DNA-templated transcription [GO:0006355] chromatin DNA binding [GO:0031490]; histone binding [GO:0042393]; methyltransferase activity [GO:0008168]</w:t>
            </w:r>
          </w:p>
        </w:tc>
      </w:tr>
      <w:tr w:rsidR="00166343" w14:paraId="7D0B6DA8" w14:textId="77777777" w:rsidTr="00047A75">
        <w:trPr>
          <w:trHeight w:val="505"/>
        </w:trPr>
        <w:tc>
          <w:tcPr>
            <w:tcW w:w="2971" w:type="dxa"/>
            <w:vAlign w:val="center"/>
            <w:hideMark/>
          </w:tcPr>
          <w:p w14:paraId="4184AA13"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lastRenderedPageBreak/>
              <w:t>Flp pilus assembly complex ATPase component TadA</w:t>
            </w:r>
          </w:p>
        </w:tc>
        <w:tc>
          <w:tcPr>
            <w:tcW w:w="6389" w:type="dxa"/>
            <w:vAlign w:val="center"/>
            <w:hideMark/>
          </w:tcPr>
          <w:p w14:paraId="197D7558"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protein secretion by the type II secretion system [GO:0015628] ATP hydrolysis activity [GO:0016887]; nucleotide binding [GO:0000166] plasma membrane [GO:0005886]; type II protein secretion system complex [GO:0015627]</w:t>
            </w:r>
          </w:p>
        </w:tc>
      </w:tr>
      <w:tr w:rsidR="00166343" w14:paraId="6582AAA3" w14:textId="77777777" w:rsidTr="00047A75">
        <w:trPr>
          <w:trHeight w:val="505"/>
        </w:trPr>
        <w:tc>
          <w:tcPr>
            <w:tcW w:w="2971" w:type="dxa"/>
            <w:vAlign w:val="center"/>
            <w:hideMark/>
          </w:tcPr>
          <w:p w14:paraId="3A7ACB2E"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Acetate/propionate family kinase (EC 2.7.2.1)</w:t>
            </w:r>
          </w:p>
        </w:tc>
        <w:tc>
          <w:tcPr>
            <w:tcW w:w="6389" w:type="dxa"/>
            <w:vAlign w:val="center"/>
            <w:hideMark/>
          </w:tcPr>
          <w:p w14:paraId="13D17503"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acetate metabolic process [GO:0006083] acetate kinase activity [GO:0008776]; acyltransferase activity, transferring groups other than amino-acyl groups [GO:0016747]; ATP binding [GO:0005524]</w:t>
            </w:r>
          </w:p>
        </w:tc>
      </w:tr>
      <w:tr w:rsidR="00166343" w14:paraId="545FA1BF" w14:textId="77777777" w:rsidTr="00047A75">
        <w:trPr>
          <w:trHeight w:val="280"/>
        </w:trPr>
        <w:tc>
          <w:tcPr>
            <w:tcW w:w="2971" w:type="dxa"/>
            <w:vAlign w:val="center"/>
            <w:hideMark/>
          </w:tcPr>
          <w:p w14:paraId="60D9120B"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MlaA family lipoprotein</w:t>
            </w:r>
          </w:p>
        </w:tc>
        <w:tc>
          <w:tcPr>
            <w:tcW w:w="6389" w:type="dxa"/>
            <w:vAlign w:val="center"/>
            <w:hideMark/>
          </w:tcPr>
          <w:p w14:paraId="0296203E"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intermembrane phospholipid transfer [GO:0120010]</w:t>
            </w:r>
          </w:p>
        </w:tc>
      </w:tr>
      <w:tr w:rsidR="00166343" w14:paraId="11D5740A" w14:textId="77777777" w:rsidTr="00047A75">
        <w:trPr>
          <w:trHeight w:val="280"/>
        </w:trPr>
        <w:tc>
          <w:tcPr>
            <w:tcW w:w="2971" w:type="dxa"/>
            <w:vAlign w:val="center"/>
            <w:hideMark/>
          </w:tcPr>
          <w:p w14:paraId="73CCF134"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MlaD family protein</w:t>
            </w:r>
          </w:p>
        </w:tc>
        <w:tc>
          <w:tcPr>
            <w:tcW w:w="6389" w:type="dxa"/>
            <w:vAlign w:val="center"/>
            <w:hideMark/>
          </w:tcPr>
          <w:p w14:paraId="184E606A"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membrane [GO:0016020]</w:t>
            </w:r>
          </w:p>
        </w:tc>
      </w:tr>
      <w:tr w:rsidR="00166343" w14:paraId="2C794440" w14:textId="77777777" w:rsidTr="00047A75">
        <w:trPr>
          <w:trHeight w:val="280"/>
        </w:trPr>
        <w:tc>
          <w:tcPr>
            <w:tcW w:w="2971" w:type="dxa"/>
            <w:vAlign w:val="center"/>
            <w:hideMark/>
          </w:tcPr>
          <w:p w14:paraId="44D15995"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Anti-phage defense ZorAB system protein ZorA</w:t>
            </w:r>
          </w:p>
        </w:tc>
        <w:tc>
          <w:tcPr>
            <w:tcW w:w="6389" w:type="dxa"/>
            <w:vAlign w:val="center"/>
            <w:hideMark/>
          </w:tcPr>
          <w:p w14:paraId="2E667A94"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membrane [GO:0016020]</w:t>
            </w:r>
          </w:p>
        </w:tc>
      </w:tr>
      <w:tr w:rsidR="00166343" w14:paraId="7558C9D6" w14:textId="77777777" w:rsidTr="00047A75">
        <w:trPr>
          <w:trHeight w:val="674"/>
        </w:trPr>
        <w:tc>
          <w:tcPr>
            <w:tcW w:w="2971" w:type="dxa"/>
            <w:vAlign w:val="center"/>
            <w:hideMark/>
          </w:tcPr>
          <w:p w14:paraId="433C25D7"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Oleate hydratase (EC 4.2.1.53) (Fatty acid double bond hydratase) (Fatty acid hydratase) (Linoleate hydratase) (Myosin cross-reactive antigen) (MCRA)</w:t>
            </w:r>
          </w:p>
        </w:tc>
        <w:tc>
          <w:tcPr>
            <w:tcW w:w="6389" w:type="dxa"/>
            <w:vAlign w:val="center"/>
            <w:hideMark/>
          </w:tcPr>
          <w:p w14:paraId="758473BB"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fatty acid metabolic process [GO:0006631]; response to toxic substance [GO:0009636] FAD binding [GO:0071949]; fatty acid binding [GO:0005504]; oleate hydratase activity [GO:0050151]; protein homodimerization activity [GO:0042803]</w:t>
            </w:r>
          </w:p>
        </w:tc>
      </w:tr>
      <w:tr w:rsidR="00166343" w14:paraId="16311620" w14:textId="77777777" w:rsidTr="00047A75">
        <w:trPr>
          <w:trHeight w:val="674"/>
        </w:trPr>
        <w:tc>
          <w:tcPr>
            <w:tcW w:w="2971" w:type="dxa"/>
            <w:vAlign w:val="center"/>
            <w:hideMark/>
          </w:tcPr>
          <w:p w14:paraId="6A440F26"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Non-ribosomal peptide synthetase CmlP (EC 6.2.1.-)</w:t>
            </w:r>
          </w:p>
        </w:tc>
        <w:tc>
          <w:tcPr>
            <w:tcW w:w="6389" w:type="dxa"/>
            <w:vAlign w:val="center"/>
            <w:hideMark/>
          </w:tcPr>
          <w:p w14:paraId="5006211C"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amino acid activation for nonribosomal peptide biosynthetic process [GO:0043041]; antibiotic biosynthetic process [GO:0017000]; secondary metabolite biosynthetic process [GO:0044550] ATP binding [GO:0005524]; ligase activity [GO:0016874]; phosphopantetheine binding [GO:0031177]</w:t>
            </w:r>
          </w:p>
        </w:tc>
      </w:tr>
      <w:tr w:rsidR="00166343" w14:paraId="66D09424" w14:textId="77777777" w:rsidTr="00047A75">
        <w:trPr>
          <w:trHeight w:val="842"/>
        </w:trPr>
        <w:tc>
          <w:tcPr>
            <w:tcW w:w="2971" w:type="dxa"/>
            <w:vAlign w:val="center"/>
            <w:hideMark/>
          </w:tcPr>
          <w:p w14:paraId="742A9320"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Fatty acid oxidation complex subunit alpha [Includes: Enoyl-CoA hydratase/3-hydroxybutyryl-CoA epimerase (EC 4.2.1.17) (EC 5.1.2.3); 3-hydroxyacyl-CoA dehydrogenase (EC 1.1.1.35)]</w:t>
            </w:r>
          </w:p>
        </w:tc>
        <w:tc>
          <w:tcPr>
            <w:tcW w:w="6389" w:type="dxa"/>
            <w:vAlign w:val="center"/>
            <w:hideMark/>
          </w:tcPr>
          <w:p w14:paraId="205B3A19"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fatty acid beta-oxidation [GO:0006635] 3-hydroxyacyl-CoA dehydrogenase activity [GO:0003857]; 3-hydroxybutyryl-CoA epimerase activity [GO:0008692]; enoyl-CoA hydratase activity [GO:0004300]; long-chain-3-hydroxyacyl-CoA dehydrogenase activity [GO:0016509]; NAD+ binding [GO:0070403] cytoplasm [GO:0005737]; fatty acid beta-oxidation multienzyme complex [GO:0036125]</w:t>
            </w:r>
          </w:p>
        </w:tc>
      </w:tr>
      <w:tr w:rsidR="00166343" w14:paraId="63ADB4A4" w14:textId="77777777" w:rsidTr="00047A75">
        <w:trPr>
          <w:trHeight w:val="842"/>
        </w:trPr>
        <w:tc>
          <w:tcPr>
            <w:tcW w:w="2971" w:type="dxa"/>
            <w:vAlign w:val="center"/>
            <w:hideMark/>
          </w:tcPr>
          <w:p w14:paraId="6AD018B8"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ATP synthase subunit b' (ATP synthase F(0) sector subunit b') (ATPase subunit II) (F-type ATPase subunit b') (F-ATPase subunit b')</w:t>
            </w:r>
          </w:p>
        </w:tc>
        <w:tc>
          <w:tcPr>
            <w:tcW w:w="6389" w:type="dxa"/>
            <w:vAlign w:val="center"/>
            <w:hideMark/>
          </w:tcPr>
          <w:p w14:paraId="4C513D69"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proton-transporting ATP synthase activity, rotational mechanism [GO:0046933]; proton-transporting ATPase activity, rotational mechanism [GO:0046961] plasma membrane-derived thylakoid membrane [GO:0031676]; proton-transporting ATP synthase complex, coupling factor F(o) [GO:0045263]</w:t>
            </w:r>
          </w:p>
        </w:tc>
      </w:tr>
      <w:tr w:rsidR="00166343" w14:paraId="78579A8A" w14:textId="77777777" w:rsidTr="00047A75">
        <w:trPr>
          <w:trHeight w:val="842"/>
        </w:trPr>
        <w:tc>
          <w:tcPr>
            <w:tcW w:w="2971" w:type="dxa"/>
            <w:vAlign w:val="center"/>
            <w:hideMark/>
          </w:tcPr>
          <w:p w14:paraId="19F7ED11"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Aldehyde dehydrogenase (EC 1.2.1.3) (EC 1.2.1.4) (NAD/NADP-dependent aldehyde dehydrogenase)</w:t>
            </w:r>
          </w:p>
        </w:tc>
        <w:tc>
          <w:tcPr>
            <w:tcW w:w="6389" w:type="dxa"/>
            <w:vAlign w:val="center"/>
            <w:hideMark/>
          </w:tcPr>
          <w:p w14:paraId="574E77D2"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D-xylose catabolic process [GO:0042843] aldehyde dehydrogenase (NAD+) activity [GO:0004029]; aldehyde dehydrogenase (NADP+) activity [GO:0033721]; aldehyde dehydrogenase [NAD(P)+] activity [GO:0004030]; glyceraldehyde-3-phosphate dehydrogenase (NAD+) (non-phosphorylating) activity [GO:0043878]; NAD binding [GO:0051287]; NADP binding [GO:0050661]</w:t>
            </w:r>
          </w:p>
        </w:tc>
      </w:tr>
      <w:tr w:rsidR="00166343" w14:paraId="42B6B969" w14:textId="77777777" w:rsidTr="00211D69">
        <w:trPr>
          <w:trHeight w:val="674"/>
        </w:trPr>
        <w:tc>
          <w:tcPr>
            <w:tcW w:w="2971" w:type="dxa"/>
            <w:tcBorders>
              <w:bottom w:val="single" w:sz="8" w:space="0" w:color="auto"/>
            </w:tcBorders>
            <w:vAlign w:val="center"/>
            <w:hideMark/>
          </w:tcPr>
          <w:p w14:paraId="53D08583"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ATP-binding protein (Transposase) (IS21 family transposition helper protein) (IS21-like element helper ATPase IstB)</w:t>
            </w:r>
          </w:p>
        </w:tc>
        <w:tc>
          <w:tcPr>
            <w:tcW w:w="6389" w:type="dxa"/>
            <w:tcBorders>
              <w:bottom w:val="single" w:sz="8" w:space="0" w:color="auto"/>
            </w:tcBorders>
            <w:vAlign w:val="center"/>
            <w:hideMark/>
          </w:tcPr>
          <w:p w14:paraId="019EC34B"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DNA replication [GO:0006260] ATP binding [GO:0005524]; ATP hydrolysis activity [GO:0016887]</w:t>
            </w:r>
          </w:p>
        </w:tc>
      </w:tr>
      <w:tr w:rsidR="00166343" w14:paraId="450A9FC6" w14:textId="77777777" w:rsidTr="00047A75">
        <w:trPr>
          <w:trHeight w:val="280"/>
        </w:trPr>
        <w:tc>
          <w:tcPr>
            <w:tcW w:w="9361" w:type="dxa"/>
            <w:gridSpan w:val="2"/>
            <w:shd w:val="clear" w:color="000000" w:fill="D0D0D0"/>
            <w:vAlign w:val="center"/>
            <w:hideMark/>
          </w:tcPr>
          <w:p w14:paraId="585EB64A" w14:textId="77777777" w:rsidR="00166343" w:rsidRPr="00166343" w:rsidRDefault="00166343" w:rsidP="00166343">
            <w:pPr>
              <w:jc w:val="center"/>
              <w:rPr>
                <w:rFonts w:ascii="Arial" w:hAnsi="Arial" w:cs="Arial"/>
                <w:color w:val="000000"/>
                <w:sz w:val="12"/>
                <w:szCs w:val="12"/>
              </w:rPr>
            </w:pPr>
            <w:r w:rsidRPr="00166343">
              <w:rPr>
                <w:rFonts w:ascii="Arial" w:hAnsi="Arial" w:cs="Arial"/>
                <w:color w:val="000000"/>
                <w:sz w:val="12"/>
                <w:szCs w:val="12"/>
              </w:rPr>
              <w:t>Unknown Functions</w:t>
            </w:r>
          </w:p>
          <w:p w14:paraId="0248FC7B" w14:textId="448428F2" w:rsidR="00166343" w:rsidRPr="00166343" w:rsidRDefault="00166343" w:rsidP="00166343">
            <w:pPr>
              <w:jc w:val="center"/>
              <w:rPr>
                <w:rFonts w:ascii="Arial" w:hAnsi="Arial" w:cs="Arial"/>
                <w:color w:val="000000"/>
                <w:sz w:val="12"/>
                <w:szCs w:val="12"/>
              </w:rPr>
            </w:pPr>
          </w:p>
        </w:tc>
      </w:tr>
      <w:tr w:rsidR="00166343" w14:paraId="0973FBC5" w14:textId="77777777" w:rsidTr="00211D69">
        <w:trPr>
          <w:trHeight w:val="280"/>
        </w:trPr>
        <w:tc>
          <w:tcPr>
            <w:tcW w:w="2971" w:type="dxa"/>
            <w:tcBorders>
              <w:top w:val="single" w:sz="8" w:space="0" w:color="auto"/>
            </w:tcBorders>
            <w:vAlign w:val="center"/>
            <w:hideMark/>
          </w:tcPr>
          <w:p w14:paraId="43A04566"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Type-F conjugative transfer system protein TraW</w:t>
            </w:r>
          </w:p>
        </w:tc>
        <w:tc>
          <w:tcPr>
            <w:tcW w:w="6389" w:type="dxa"/>
            <w:tcBorders>
              <w:top w:val="single" w:sz="8" w:space="0" w:color="auto"/>
            </w:tcBorders>
            <w:vAlign w:val="center"/>
            <w:hideMark/>
          </w:tcPr>
          <w:p w14:paraId="76933C0F"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5044ECC4" w14:textId="77777777" w:rsidTr="00047A75">
        <w:trPr>
          <w:trHeight w:val="280"/>
        </w:trPr>
        <w:tc>
          <w:tcPr>
            <w:tcW w:w="2971" w:type="dxa"/>
            <w:vAlign w:val="center"/>
            <w:hideMark/>
          </w:tcPr>
          <w:p w14:paraId="418E72D5"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Conjugal transfer protein</w:t>
            </w:r>
          </w:p>
        </w:tc>
        <w:tc>
          <w:tcPr>
            <w:tcW w:w="6389" w:type="dxa"/>
            <w:vAlign w:val="center"/>
            <w:hideMark/>
          </w:tcPr>
          <w:p w14:paraId="10D82D0C"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5E99FDCA" w14:textId="77777777" w:rsidTr="00047A75">
        <w:trPr>
          <w:trHeight w:val="280"/>
        </w:trPr>
        <w:tc>
          <w:tcPr>
            <w:tcW w:w="2971" w:type="dxa"/>
            <w:vAlign w:val="center"/>
            <w:hideMark/>
          </w:tcPr>
          <w:p w14:paraId="7F3BF903"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Conjugal transfer protein TraF</w:t>
            </w:r>
          </w:p>
        </w:tc>
        <w:tc>
          <w:tcPr>
            <w:tcW w:w="6389" w:type="dxa"/>
            <w:vAlign w:val="center"/>
            <w:hideMark/>
          </w:tcPr>
          <w:p w14:paraId="3ACCD1D0"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08C40E70" w14:textId="77777777" w:rsidTr="00047A75">
        <w:trPr>
          <w:trHeight w:val="280"/>
        </w:trPr>
        <w:tc>
          <w:tcPr>
            <w:tcW w:w="2971" w:type="dxa"/>
            <w:vAlign w:val="center"/>
            <w:hideMark/>
          </w:tcPr>
          <w:p w14:paraId="54AA176E"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Conjugal transfer protein TraN</w:t>
            </w:r>
          </w:p>
        </w:tc>
        <w:tc>
          <w:tcPr>
            <w:tcW w:w="6389" w:type="dxa"/>
            <w:vAlign w:val="center"/>
            <w:hideMark/>
          </w:tcPr>
          <w:p w14:paraId="1C51CA21"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15A47BC9" w14:textId="77777777" w:rsidTr="00047A75">
        <w:trPr>
          <w:trHeight w:val="280"/>
        </w:trPr>
        <w:tc>
          <w:tcPr>
            <w:tcW w:w="2971" w:type="dxa"/>
            <w:vAlign w:val="center"/>
            <w:hideMark/>
          </w:tcPr>
          <w:p w14:paraId="646A85E0"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TIGR02391 family protein</w:t>
            </w:r>
          </w:p>
        </w:tc>
        <w:tc>
          <w:tcPr>
            <w:tcW w:w="6389" w:type="dxa"/>
            <w:vAlign w:val="center"/>
            <w:hideMark/>
          </w:tcPr>
          <w:p w14:paraId="659EBC23"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3865413B" w14:textId="77777777" w:rsidTr="00047A75">
        <w:trPr>
          <w:trHeight w:val="280"/>
        </w:trPr>
        <w:tc>
          <w:tcPr>
            <w:tcW w:w="2971" w:type="dxa"/>
            <w:vAlign w:val="center"/>
            <w:hideMark/>
          </w:tcPr>
          <w:p w14:paraId="622D852A"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Terminase small subunit</w:t>
            </w:r>
          </w:p>
        </w:tc>
        <w:tc>
          <w:tcPr>
            <w:tcW w:w="6389" w:type="dxa"/>
            <w:vAlign w:val="center"/>
            <w:hideMark/>
          </w:tcPr>
          <w:p w14:paraId="075A907A"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4B7AE9FE" w14:textId="77777777" w:rsidTr="00047A75">
        <w:trPr>
          <w:trHeight w:val="280"/>
        </w:trPr>
        <w:tc>
          <w:tcPr>
            <w:tcW w:w="2971" w:type="dxa"/>
            <w:vAlign w:val="center"/>
            <w:hideMark/>
          </w:tcPr>
          <w:p w14:paraId="1F845505"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NERD domain-containing protein</w:t>
            </w:r>
          </w:p>
        </w:tc>
        <w:tc>
          <w:tcPr>
            <w:tcW w:w="6389" w:type="dxa"/>
            <w:vAlign w:val="center"/>
            <w:hideMark/>
          </w:tcPr>
          <w:p w14:paraId="32BE5977"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21DB5964" w14:textId="77777777" w:rsidTr="00047A75">
        <w:trPr>
          <w:trHeight w:val="505"/>
        </w:trPr>
        <w:tc>
          <w:tcPr>
            <w:tcW w:w="2971" w:type="dxa"/>
            <w:vAlign w:val="center"/>
            <w:hideMark/>
          </w:tcPr>
          <w:p w14:paraId="456FA537"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Type-F conjugative transfer system pilin assembly protein TrbC</w:t>
            </w:r>
          </w:p>
        </w:tc>
        <w:tc>
          <w:tcPr>
            <w:tcW w:w="6389" w:type="dxa"/>
            <w:vAlign w:val="center"/>
            <w:hideMark/>
          </w:tcPr>
          <w:p w14:paraId="6722170E"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2349D841" w14:textId="77777777" w:rsidTr="00047A75">
        <w:trPr>
          <w:trHeight w:val="280"/>
        </w:trPr>
        <w:tc>
          <w:tcPr>
            <w:tcW w:w="2971" w:type="dxa"/>
            <w:vAlign w:val="center"/>
            <w:hideMark/>
          </w:tcPr>
          <w:p w14:paraId="77011AFB"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Type VI secretion system baseplate subunit TssG</w:t>
            </w:r>
          </w:p>
        </w:tc>
        <w:tc>
          <w:tcPr>
            <w:tcW w:w="6389" w:type="dxa"/>
            <w:vAlign w:val="center"/>
            <w:hideMark/>
          </w:tcPr>
          <w:p w14:paraId="0074FE3B"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12CF4836" w14:textId="77777777" w:rsidTr="00047A75">
        <w:trPr>
          <w:trHeight w:val="280"/>
        </w:trPr>
        <w:tc>
          <w:tcPr>
            <w:tcW w:w="2971" w:type="dxa"/>
            <w:vAlign w:val="center"/>
            <w:hideMark/>
          </w:tcPr>
          <w:p w14:paraId="62F9FFA4"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Conjugal transfer protein TraB</w:t>
            </w:r>
          </w:p>
        </w:tc>
        <w:tc>
          <w:tcPr>
            <w:tcW w:w="6389" w:type="dxa"/>
            <w:vAlign w:val="center"/>
            <w:hideMark/>
          </w:tcPr>
          <w:p w14:paraId="2BD12D9A"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25DB9961" w14:textId="77777777" w:rsidTr="00047A75">
        <w:trPr>
          <w:trHeight w:val="280"/>
        </w:trPr>
        <w:tc>
          <w:tcPr>
            <w:tcW w:w="2971" w:type="dxa"/>
            <w:vAlign w:val="center"/>
            <w:hideMark/>
          </w:tcPr>
          <w:p w14:paraId="3511FC3C"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IS1380 family transposase IS1247</w:t>
            </w:r>
          </w:p>
        </w:tc>
        <w:tc>
          <w:tcPr>
            <w:tcW w:w="6389" w:type="dxa"/>
            <w:vAlign w:val="center"/>
            <w:hideMark/>
          </w:tcPr>
          <w:p w14:paraId="0E06619E"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008B84E3" w14:textId="77777777" w:rsidTr="00047A75">
        <w:trPr>
          <w:trHeight w:val="280"/>
        </w:trPr>
        <w:tc>
          <w:tcPr>
            <w:tcW w:w="2971" w:type="dxa"/>
            <w:vAlign w:val="center"/>
            <w:hideMark/>
          </w:tcPr>
          <w:p w14:paraId="7497F3CE"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HupE/UreJ family protein</w:t>
            </w:r>
          </w:p>
        </w:tc>
        <w:tc>
          <w:tcPr>
            <w:tcW w:w="6389" w:type="dxa"/>
            <w:vAlign w:val="center"/>
            <w:hideMark/>
          </w:tcPr>
          <w:p w14:paraId="04711050"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7E5AC58E" w14:textId="77777777" w:rsidTr="00047A75">
        <w:trPr>
          <w:trHeight w:val="280"/>
        </w:trPr>
        <w:tc>
          <w:tcPr>
            <w:tcW w:w="2971" w:type="dxa"/>
            <w:vAlign w:val="center"/>
            <w:hideMark/>
          </w:tcPr>
          <w:p w14:paraId="0375B84F"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Replication protein C</w:t>
            </w:r>
          </w:p>
        </w:tc>
        <w:tc>
          <w:tcPr>
            <w:tcW w:w="6389" w:type="dxa"/>
            <w:vAlign w:val="center"/>
            <w:hideMark/>
          </w:tcPr>
          <w:p w14:paraId="562C58E2"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25B06AB3" w14:textId="77777777" w:rsidTr="00047A75">
        <w:trPr>
          <w:trHeight w:val="280"/>
        </w:trPr>
        <w:tc>
          <w:tcPr>
            <w:tcW w:w="2971" w:type="dxa"/>
            <w:vAlign w:val="center"/>
            <w:hideMark/>
          </w:tcPr>
          <w:p w14:paraId="7B59CCF2"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ISL3 family transposase</w:t>
            </w:r>
          </w:p>
        </w:tc>
        <w:tc>
          <w:tcPr>
            <w:tcW w:w="6389" w:type="dxa"/>
            <w:vAlign w:val="center"/>
            <w:hideMark/>
          </w:tcPr>
          <w:p w14:paraId="3F186390"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08D9DC72" w14:textId="77777777" w:rsidTr="00047A75">
        <w:trPr>
          <w:trHeight w:val="280"/>
        </w:trPr>
        <w:tc>
          <w:tcPr>
            <w:tcW w:w="2971" w:type="dxa"/>
            <w:vAlign w:val="center"/>
            <w:hideMark/>
          </w:tcPr>
          <w:p w14:paraId="7BFA1144"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TraU family protein</w:t>
            </w:r>
          </w:p>
        </w:tc>
        <w:tc>
          <w:tcPr>
            <w:tcW w:w="6389" w:type="dxa"/>
            <w:vAlign w:val="center"/>
            <w:hideMark/>
          </w:tcPr>
          <w:p w14:paraId="43755F67"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64CB74AF" w14:textId="77777777" w:rsidTr="00047A75">
        <w:trPr>
          <w:trHeight w:val="280"/>
        </w:trPr>
        <w:tc>
          <w:tcPr>
            <w:tcW w:w="2971" w:type="dxa"/>
            <w:vAlign w:val="center"/>
            <w:hideMark/>
          </w:tcPr>
          <w:p w14:paraId="28EAB5B7"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BREX-3 system phosphatase PglZ</w:t>
            </w:r>
          </w:p>
        </w:tc>
        <w:tc>
          <w:tcPr>
            <w:tcW w:w="6389" w:type="dxa"/>
            <w:vAlign w:val="center"/>
            <w:hideMark/>
          </w:tcPr>
          <w:p w14:paraId="4F49FF14"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0ED9BC0F" w14:textId="77777777" w:rsidTr="00047A75">
        <w:trPr>
          <w:trHeight w:val="280"/>
        </w:trPr>
        <w:tc>
          <w:tcPr>
            <w:tcW w:w="2971" w:type="dxa"/>
            <w:vAlign w:val="center"/>
            <w:hideMark/>
          </w:tcPr>
          <w:p w14:paraId="6C485648"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BREX-3 system P-loop-containing protein BrxF</w:t>
            </w:r>
          </w:p>
        </w:tc>
        <w:tc>
          <w:tcPr>
            <w:tcW w:w="6389" w:type="dxa"/>
            <w:vAlign w:val="center"/>
            <w:hideMark/>
          </w:tcPr>
          <w:p w14:paraId="2E22F9E6"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3D88C797" w14:textId="77777777" w:rsidTr="00047A75">
        <w:trPr>
          <w:trHeight w:val="280"/>
        </w:trPr>
        <w:tc>
          <w:tcPr>
            <w:tcW w:w="2971" w:type="dxa"/>
            <w:vAlign w:val="center"/>
            <w:hideMark/>
          </w:tcPr>
          <w:p w14:paraId="52103436"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TraV family lipoprotein</w:t>
            </w:r>
          </w:p>
        </w:tc>
        <w:tc>
          <w:tcPr>
            <w:tcW w:w="6389" w:type="dxa"/>
            <w:vAlign w:val="center"/>
            <w:hideMark/>
          </w:tcPr>
          <w:p w14:paraId="52AFCE43"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r w:rsidR="00166343" w14:paraId="4592E2CB" w14:textId="77777777" w:rsidTr="00047A75">
        <w:trPr>
          <w:trHeight w:val="280"/>
        </w:trPr>
        <w:tc>
          <w:tcPr>
            <w:tcW w:w="2971" w:type="dxa"/>
            <w:vAlign w:val="center"/>
            <w:hideMark/>
          </w:tcPr>
          <w:p w14:paraId="435DD13C"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TraB/VirB10 family protein</w:t>
            </w:r>
          </w:p>
        </w:tc>
        <w:tc>
          <w:tcPr>
            <w:tcW w:w="6389" w:type="dxa"/>
            <w:vAlign w:val="center"/>
            <w:hideMark/>
          </w:tcPr>
          <w:p w14:paraId="0130BB6D" w14:textId="77777777" w:rsidR="00166343" w:rsidRPr="00166343" w:rsidRDefault="00166343" w:rsidP="00166343">
            <w:pPr>
              <w:rPr>
                <w:rFonts w:ascii="Arial" w:hAnsi="Arial" w:cs="Arial"/>
                <w:color w:val="000000"/>
                <w:sz w:val="12"/>
                <w:szCs w:val="12"/>
              </w:rPr>
            </w:pPr>
            <w:r w:rsidRPr="00166343">
              <w:rPr>
                <w:rFonts w:ascii="Arial" w:hAnsi="Arial" w:cs="Arial"/>
                <w:color w:val="000000"/>
                <w:sz w:val="12"/>
                <w:szCs w:val="12"/>
              </w:rPr>
              <w:t> </w:t>
            </w:r>
          </w:p>
        </w:tc>
      </w:tr>
    </w:tbl>
    <w:p w14:paraId="704B4CD1" w14:textId="77777777" w:rsidR="00984734" w:rsidRPr="00984734" w:rsidRDefault="00984734">
      <w:pPr>
        <w:rPr>
          <w:lang w:val="en-US"/>
        </w:rPr>
      </w:pPr>
    </w:p>
    <w:sectPr w:rsidR="00984734" w:rsidRPr="0098473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734"/>
    <w:rsid w:val="0001325C"/>
    <w:rsid w:val="00047A75"/>
    <w:rsid w:val="00083FD7"/>
    <w:rsid w:val="0009088B"/>
    <w:rsid w:val="000E6496"/>
    <w:rsid w:val="00123BAE"/>
    <w:rsid w:val="00147468"/>
    <w:rsid w:val="00166343"/>
    <w:rsid w:val="001E6DA7"/>
    <w:rsid w:val="00211D69"/>
    <w:rsid w:val="00213BB4"/>
    <w:rsid w:val="00225EFD"/>
    <w:rsid w:val="002575D0"/>
    <w:rsid w:val="00334849"/>
    <w:rsid w:val="00361652"/>
    <w:rsid w:val="0039504E"/>
    <w:rsid w:val="003B02C6"/>
    <w:rsid w:val="003F041B"/>
    <w:rsid w:val="00425216"/>
    <w:rsid w:val="0043125C"/>
    <w:rsid w:val="004325C6"/>
    <w:rsid w:val="004969B1"/>
    <w:rsid w:val="00503EA5"/>
    <w:rsid w:val="00546245"/>
    <w:rsid w:val="00587AC1"/>
    <w:rsid w:val="005E4252"/>
    <w:rsid w:val="006114B8"/>
    <w:rsid w:val="006A054B"/>
    <w:rsid w:val="00797BAF"/>
    <w:rsid w:val="007B292E"/>
    <w:rsid w:val="00827D34"/>
    <w:rsid w:val="00827FC5"/>
    <w:rsid w:val="008B5858"/>
    <w:rsid w:val="008D12E9"/>
    <w:rsid w:val="00927DF5"/>
    <w:rsid w:val="00941D57"/>
    <w:rsid w:val="00984734"/>
    <w:rsid w:val="00A30690"/>
    <w:rsid w:val="00A34860"/>
    <w:rsid w:val="00A73696"/>
    <w:rsid w:val="00AD55EB"/>
    <w:rsid w:val="00AF13A8"/>
    <w:rsid w:val="00D55D6C"/>
    <w:rsid w:val="00DA2A9B"/>
    <w:rsid w:val="00E021EB"/>
    <w:rsid w:val="00E656A4"/>
    <w:rsid w:val="00EC48E8"/>
    <w:rsid w:val="00FB1735"/>
  </w:rsids>
  <m:mathPr>
    <m:mathFont m:val="Cambria Math"/>
    <m:brkBin m:val="before"/>
    <m:brkBinSub m:val="--"/>
    <m:smallFrac m:val="0"/>
    <m:dispDef/>
    <m:lMargin m:val="0"/>
    <m:rMargin m:val="0"/>
    <m:defJc m:val="centerGroup"/>
    <m:wrapIndent m:val="1440"/>
    <m:intLim m:val="subSup"/>
    <m:naryLim m:val="undOvr"/>
  </m:mathPr>
  <w:themeFontLang w:val="en-KR"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58C08A52"/>
  <w15:chartTrackingRefBased/>
  <w15:docId w15:val="{9873D41F-4DC2-1543-BF0F-DB800CF53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KR"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73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8473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8473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8473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84734"/>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84734"/>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84734"/>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84734"/>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84734"/>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84734"/>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7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47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47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47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47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47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47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47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4734"/>
    <w:rPr>
      <w:rFonts w:eastAsiaTheme="majorEastAsia" w:cstheme="majorBidi"/>
      <w:color w:val="272727" w:themeColor="text1" w:themeTint="D8"/>
    </w:rPr>
  </w:style>
  <w:style w:type="paragraph" w:styleId="Title">
    <w:name w:val="Title"/>
    <w:basedOn w:val="Normal"/>
    <w:next w:val="Normal"/>
    <w:link w:val="TitleChar"/>
    <w:uiPriority w:val="10"/>
    <w:qFormat/>
    <w:rsid w:val="0098473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847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473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847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4734"/>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84734"/>
    <w:rPr>
      <w:i/>
      <w:iCs/>
      <w:color w:val="404040" w:themeColor="text1" w:themeTint="BF"/>
    </w:rPr>
  </w:style>
  <w:style w:type="paragraph" w:styleId="ListParagraph">
    <w:name w:val="List Paragraph"/>
    <w:basedOn w:val="Normal"/>
    <w:uiPriority w:val="34"/>
    <w:qFormat/>
    <w:rsid w:val="00984734"/>
    <w:pPr>
      <w:spacing w:after="160" w:line="278" w:lineRule="auto"/>
      <w:ind w:left="720"/>
      <w:contextualSpacing/>
    </w:pPr>
    <w:rPr>
      <w:rFonts w:asciiTheme="minorHAnsi" w:eastAsiaTheme="minorEastAsia" w:hAnsiTheme="minorHAnsi" w:cstheme="minorBidi"/>
      <w:kern w:val="2"/>
      <w14:ligatures w14:val="standardContextual"/>
    </w:rPr>
  </w:style>
  <w:style w:type="character" w:styleId="IntenseEmphasis">
    <w:name w:val="Intense Emphasis"/>
    <w:basedOn w:val="DefaultParagraphFont"/>
    <w:uiPriority w:val="21"/>
    <w:qFormat/>
    <w:rsid w:val="00984734"/>
    <w:rPr>
      <w:i/>
      <w:iCs/>
      <w:color w:val="0F4761" w:themeColor="accent1" w:themeShade="BF"/>
    </w:rPr>
  </w:style>
  <w:style w:type="paragraph" w:styleId="IntenseQuote">
    <w:name w:val="Intense Quote"/>
    <w:basedOn w:val="Normal"/>
    <w:next w:val="Normal"/>
    <w:link w:val="IntenseQuoteChar"/>
    <w:uiPriority w:val="30"/>
    <w:qFormat/>
    <w:rsid w:val="0098473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84734"/>
    <w:rPr>
      <w:i/>
      <w:iCs/>
      <w:color w:val="0F4761" w:themeColor="accent1" w:themeShade="BF"/>
    </w:rPr>
  </w:style>
  <w:style w:type="character" w:styleId="IntenseReference">
    <w:name w:val="Intense Reference"/>
    <w:basedOn w:val="DefaultParagraphFont"/>
    <w:uiPriority w:val="32"/>
    <w:qFormat/>
    <w:rsid w:val="00984734"/>
    <w:rPr>
      <w:b/>
      <w:bCs/>
      <w:smallCaps/>
      <w:color w:val="0F4761" w:themeColor="accent1" w:themeShade="BF"/>
      <w:spacing w:val="5"/>
    </w:rPr>
  </w:style>
  <w:style w:type="character" w:styleId="Strong">
    <w:name w:val="Strong"/>
    <w:basedOn w:val="DefaultParagraphFont"/>
    <w:uiPriority w:val="22"/>
    <w:qFormat/>
    <w:rsid w:val="00AF13A8"/>
    <w:rPr>
      <w:b/>
      <w:bCs/>
    </w:rPr>
  </w:style>
  <w:style w:type="table" w:styleId="PlainTable1">
    <w:name w:val="Plain Table 1"/>
    <w:basedOn w:val="TableNormal"/>
    <w:uiPriority w:val="41"/>
    <w:rsid w:val="00AF13A8"/>
    <w:pPr>
      <w:spacing w:after="0" w:line="240" w:lineRule="auto"/>
    </w:pPr>
    <w:rPr>
      <w:rFonts w:ascii="Times New Roman" w:eastAsia="Times New Roman" w:hAnsi="Times New Roman" w:cs="Times New Roman"/>
      <w:kern w:val="0"/>
      <w:sz w:val="20"/>
      <w:szCs w:val="20"/>
      <w:lang w:val="en-US" w:eastAsia="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2891</Words>
  <Characters>23423</Characters>
  <Application>Microsoft Office Word</Application>
  <DocSecurity>0</DocSecurity>
  <Lines>669</Lines>
  <Paragraphs>469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PARKSUN</dc:creator>
  <cp:keywords/>
  <dc:description/>
  <cp:lastModifiedBy>PARKSUN</cp:lastModifiedBy>
  <cp:revision>4</cp:revision>
  <cp:lastPrinted>2026-05-16T17:50:00Z</cp:lastPrinted>
  <dcterms:created xsi:type="dcterms:W3CDTF">2026-05-16T17:50:00Z</dcterms:created>
  <dcterms:modified xsi:type="dcterms:W3CDTF">2026-05-16T18:16:00Z</dcterms:modified>
</cp:coreProperties>
</file>