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1691" w14:textId="77777777" w:rsidR="005405A1" w:rsidRPr="00710676" w:rsidRDefault="005405A1" w:rsidP="005405A1">
      <w:pPr>
        <w:snapToGrid w:val="0"/>
        <w:spacing w:line="360" w:lineRule="auto"/>
        <w:rPr>
          <w:b/>
          <w:bCs/>
          <w:noProof/>
          <w:sz w:val="20"/>
          <w:szCs w:val="20"/>
        </w:rPr>
      </w:pPr>
      <w:r w:rsidRPr="00710676">
        <w:rPr>
          <w:b/>
          <w:bCs/>
          <w:noProof/>
          <w:sz w:val="20"/>
          <w:szCs w:val="20"/>
        </w:rPr>
        <w:t>Supplementary Materials</w:t>
      </w:r>
    </w:p>
    <w:p w14:paraId="69F0B235" w14:textId="77777777" w:rsidR="005405A1" w:rsidRPr="00710676" w:rsidRDefault="005405A1" w:rsidP="005405A1">
      <w:pPr>
        <w:snapToGrid w:val="0"/>
        <w:spacing w:line="360" w:lineRule="auto"/>
        <w:rPr>
          <w:rFonts w:eastAsia="Arial"/>
          <w:b/>
          <w:bCs/>
          <w:color w:val="000000" w:themeColor="text1"/>
          <w:sz w:val="20"/>
          <w:szCs w:val="20"/>
        </w:rPr>
      </w:pP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Table S1 Details of primers used for sequencing the isolates of </w:t>
      </w:r>
      <w:r w:rsidRPr="00710676">
        <w:rPr>
          <w:rFonts w:eastAsia="Arial"/>
          <w:b/>
          <w:bCs/>
          <w:i/>
          <w:iCs/>
          <w:color w:val="000000" w:themeColor="text1"/>
          <w:sz w:val="20"/>
          <w:szCs w:val="20"/>
        </w:rPr>
        <w:t>A. japonica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 and </w:t>
      </w:r>
      <w:r w:rsidRPr="00710676">
        <w:rPr>
          <w:rFonts w:eastAsia="Arial"/>
          <w:b/>
          <w:bCs/>
          <w:i/>
          <w:iCs/>
          <w:color w:val="000000" w:themeColor="text1"/>
          <w:sz w:val="20"/>
          <w:szCs w:val="20"/>
        </w:rPr>
        <w:t>S. sclerotiorum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 from pennycress field.</w:t>
      </w:r>
    </w:p>
    <w:tbl>
      <w:tblPr>
        <w:tblStyle w:val="GridTable5Dark"/>
        <w:tblW w:w="4979" w:type="pct"/>
        <w:tblLook w:val="04A0" w:firstRow="1" w:lastRow="0" w:firstColumn="1" w:lastColumn="0" w:noHBand="0" w:noVBand="1"/>
      </w:tblPr>
      <w:tblGrid>
        <w:gridCol w:w="2296"/>
        <w:gridCol w:w="2303"/>
        <w:gridCol w:w="1416"/>
        <w:gridCol w:w="2974"/>
        <w:gridCol w:w="3907"/>
      </w:tblGrid>
      <w:tr w:rsidR="005405A1" w:rsidRPr="00710676" w14:paraId="3A069E49" w14:textId="77777777" w:rsidTr="00652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1F18D12" w14:textId="77777777" w:rsidR="005405A1" w:rsidRPr="00710676" w:rsidRDefault="005405A1" w:rsidP="006526A6">
            <w:pPr>
              <w:snapToGrid w:val="0"/>
              <w:spacing w:line="360" w:lineRule="auto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Species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3ABDC202" w14:textId="77777777" w:rsidR="005405A1" w:rsidRPr="00710676" w:rsidRDefault="005405A1" w:rsidP="006526A6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Universal ITS primer ID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CC891BB" w14:textId="77777777" w:rsidR="005405A1" w:rsidRPr="00710676" w:rsidRDefault="005405A1" w:rsidP="006526A6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Targets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58B85F4" w14:textId="77777777" w:rsidR="005405A1" w:rsidRPr="00710676" w:rsidRDefault="005405A1" w:rsidP="006526A6">
            <w:pPr>
              <w:snapToGrid w:val="0"/>
              <w:spacing w:line="360" w:lineRule="auto"/>
              <w:ind w:firstLineChars="100" w:firstLin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Primer code</w:t>
            </w:r>
          </w:p>
        </w:tc>
        <w:tc>
          <w:tcPr>
            <w:tcW w:w="1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49EC55E" w14:textId="77777777" w:rsidR="005405A1" w:rsidRPr="00710676" w:rsidRDefault="005405A1" w:rsidP="006526A6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Primer sequence (5’-3’)</w:t>
            </w:r>
          </w:p>
        </w:tc>
      </w:tr>
      <w:tr w:rsidR="005405A1" w:rsidRPr="00710676" w14:paraId="3B65AD59" w14:textId="77777777" w:rsidTr="00652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32904" w14:textId="77777777" w:rsidR="005405A1" w:rsidRPr="00710676" w:rsidRDefault="005405A1" w:rsidP="006526A6">
            <w:pPr>
              <w:snapToGrid w:val="0"/>
              <w:spacing w:before="240" w:line="360" w:lineRule="auto"/>
              <w:jc w:val="center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i/>
                <w:iCs/>
                <w:color w:val="000000" w:themeColor="text1"/>
                <w:sz w:val="20"/>
                <w:lang w:eastAsia="en-IN"/>
              </w:rPr>
              <w:t>Alternaria</w:t>
            </w:r>
            <w:r w:rsidRPr="00710676">
              <w:rPr>
                <w:color w:val="000000" w:themeColor="text1"/>
                <w:sz w:val="20"/>
                <w:lang w:eastAsia="en-IN"/>
              </w:rPr>
              <w:t xml:space="preserve"> spp.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noWrap/>
            <w:hideMark/>
          </w:tcPr>
          <w:p w14:paraId="4D7957C4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ITS1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hideMark/>
          </w:tcPr>
          <w:p w14:paraId="4328E7D3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ITS region of 5.8S rRNA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hideMark/>
          </w:tcPr>
          <w:p w14:paraId="13525987" w14:textId="77777777" w:rsidR="005405A1" w:rsidRPr="00710676" w:rsidRDefault="005405A1" w:rsidP="006526A6">
            <w:pPr>
              <w:snapToGrid w:val="0"/>
              <w:spacing w:before="240" w:line="360" w:lineRule="auto"/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Aj-ITS1-Forward</w:t>
            </w:r>
          </w:p>
        </w:tc>
        <w:tc>
          <w:tcPr>
            <w:tcW w:w="1515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noWrap/>
            <w:hideMark/>
          </w:tcPr>
          <w:p w14:paraId="59415BA5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TCCGTAGGTGAACCTGCGG</w:t>
            </w:r>
          </w:p>
        </w:tc>
      </w:tr>
      <w:tr w:rsidR="005405A1" w:rsidRPr="00710676" w14:paraId="4958438E" w14:textId="77777777" w:rsidTr="006526A6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7F218" w14:textId="77777777" w:rsidR="005405A1" w:rsidRPr="00710676" w:rsidRDefault="005405A1" w:rsidP="006526A6">
            <w:pPr>
              <w:snapToGrid w:val="0"/>
              <w:spacing w:before="240" w:line="360" w:lineRule="auto"/>
              <w:jc w:val="center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9CF567E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ITS4</w:t>
            </w:r>
          </w:p>
        </w:tc>
        <w:tc>
          <w:tcPr>
            <w:tcW w:w="5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235D619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26634B02" w14:textId="77777777" w:rsidR="005405A1" w:rsidRPr="00710676" w:rsidRDefault="005405A1" w:rsidP="006526A6">
            <w:pPr>
              <w:snapToGrid w:val="0"/>
              <w:spacing w:before="240" w:line="360" w:lineRule="auto"/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Aj-ITS4-Reverse</w:t>
            </w:r>
          </w:p>
        </w:tc>
        <w:tc>
          <w:tcPr>
            <w:tcW w:w="1515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A4161F8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TCCTCCGCTTATTGATATGC</w:t>
            </w:r>
          </w:p>
        </w:tc>
      </w:tr>
      <w:tr w:rsidR="005405A1" w:rsidRPr="00710676" w14:paraId="0E34D4FF" w14:textId="77777777" w:rsidTr="00652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247DF8" w14:textId="77777777" w:rsidR="005405A1" w:rsidRPr="00710676" w:rsidRDefault="005405A1" w:rsidP="006526A6">
            <w:pPr>
              <w:snapToGrid w:val="0"/>
              <w:spacing w:before="240" w:line="360" w:lineRule="auto"/>
              <w:jc w:val="center"/>
              <w:rPr>
                <w:b w:val="0"/>
                <w:bCs w:val="0"/>
                <w:color w:val="000000" w:themeColor="text1"/>
                <w:sz w:val="20"/>
                <w:lang w:eastAsia="en-IN"/>
              </w:rPr>
            </w:pPr>
            <w:r w:rsidRPr="00710676">
              <w:rPr>
                <w:i/>
                <w:iCs/>
                <w:color w:val="000000" w:themeColor="text1"/>
                <w:sz w:val="20"/>
                <w:lang w:eastAsia="en-IN"/>
              </w:rPr>
              <w:t>Sclerotinia</w:t>
            </w:r>
            <w:r w:rsidRPr="00710676">
              <w:rPr>
                <w:color w:val="000000" w:themeColor="text1"/>
                <w:sz w:val="20"/>
                <w:lang w:eastAsia="en-IN"/>
              </w:rPr>
              <w:t xml:space="preserve"> spp.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noWrap/>
            <w:hideMark/>
          </w:tcPr>
          <w:p w14:paraId="450175B3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ITS4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hideMark/>
          </w:tcPr>
          <w:p w14:paraId="640D2F5D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ITS region of 5.8S rRNA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hideMark/>
          </w:tcPr>
          <w:p w14:paraId="68DEECBB" w14:textId="77777777" w:rsidR="005405A1" w:rsidRPr="00710676" w:rsidRDefault="005405A1" w:rsidP="006526A6">
            <w:pPr>
              <w:snapToGrid w:val="0"/>
              <w:spacing w:before="240" w:line="360" w:lineRule="auto"/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Ss-ITS4-Forward</w:t>
            </w:r>
          </w:p>
        </w:tc>
        <w:tc>
          <w:tcPr>
            <w:tcW w:w="1515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  <w:noWrap/>
            <w:hideMark/>
          </w:tcPr>
          <w:p w14:paraId="4B2CBBFE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TCCTCCGCTTATTGATATGC</w:t>
            </w:r>
          </w:p>
        </w:tc>
      </w:tr>
      <w:tr w:rsidR="005405A1" w:rsidRPr="00710676" w14:paraId="75FF920A" w14:textId="77777777" w:rsidTr="006526A6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pct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1BDBE653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color w:val="000000" w:themeColor="text1"/>
                <w:sz w:val="20"/>
                <w:lang w:eastAsia="en-IN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E1FADA8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ITS5</w:t>
            </w:r>
          </w:p>
        </w:tc>
        <w:tc>
          <w:tcPr>
            <w:tcW w:w="5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055E605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7A65F513" w14:textId="77777777" w:rsidR="005405A1" w:rsidRPr="00710676" w:rsidRDefault="005405A1" w:rsidP="006526A6">
            <w:pPr>
              <w:snapToGrid w:val="0"/>
              <w:spacing w:before="240" w:line="360" w:lineRule="auto"/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Ss-ITS5-Reverse</w:t>
            </w:r>
          </w:p>
        </w:tc>
        <w:tc>
          <w:tcPr>
            <w:tcW w:w="1515" w:type="pct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477E100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IN"/>
              </w:rPr>
            </w:pPr>
            <w:r w:rsidRPr="00710676">
              <w:rPr>
                <w:color w:val="000000" w:themeColor="text1"/>
                <w:sz w:val="20"/>
                <w:lang w:eastAsia="en-IN"/>
              </w:rPr>
              <w:t>GGAAGTAAAAGTCGTAACAAGG</w:t>
            </w:r>
          </w:p>
        </w:tc>
      </w:tr>
    </w:tbl>
    <w:p w14:paraId="6892900D" w14:textId="77777777" w:rsidR="005405A1" w:rsidRPr="00710676" w:rsidRDefault="005405A1" w:rsidP="005405A1">
      <w:pPr>
        <w:snapToGrid w:val="0"/>
        <w:spacing w:line="360" w:lineRule="auto"/>
        <w:ind w:right="-90"/>
        <w:rPr>
          <w:rFonts w:eastAsia="Arial"/>
          <w:color w:val="000000" w:themeColor="text1"/>
          <w:sz w:val="20"/>
          <w:szCs w:val="20"/>
        </w:rPr>
      </w:pPr>
    </w:p>
    <w:p w14:paraId="59AD3DD4" w14:textId="77777777" w:rsidR="005405A1" w:rsidRPr="00710676" w:rsidRDefault="005405A1" w:rsidP="005405A1">
      <w:pPr>
        <w:snapToGrid w:val="0"/>
        <w:spacing w:line="360" w:lineRule="auto"/>
        <w:ind w:right="-90"/>
        <w:rPr>
          <w:rFonts w:eastAsia="Arial"/>
          <w:color w:val="000000" w:themeColor="text1"/>
          <w:sz w:val="20"/>
          <w:szCs w:val="20"/>
        </w:rPr>
      </w:pPr>
    </w:p>
    <w:p w14:paraId="6629D890" w14:textId="77777777" w:rsidR="005405A1" w:rsidRPr="00710676" w:rsidRDefault="005405A1" w:rsidP="005405A1">
      <w:pPr>
        <w:snapToGrid w:val="0"/>
        <w:spacing w:line="360" w:lineRule="auto"/>
        <w:rPr>
          <w:rFonts w:eastAsia="Arial"/>
          <w:b/>
          <w:bCs/>
          <w:color w:val="000000" w:themeColor="text1"/>
          <w:sz w:val="20"/>
          <w:szCs w:val="20"/>
        </w:rPr>
      </w:pP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Table S2 Details of primers used for real-time quantification of </w:t>
      </w:r>
      <w:r w:rsidRPr="00710676">
        <w:rPr>
          <w:rFonts w:eastAsia="Arial"/>
          <w:b/>
          <w:bCs/>
          <w:i/>
          <w:iCs/>
          <w:color w:val="000000" w:themeColor="text1"/>
          <w:sz w:val="20"/>
          <w:szCs w:val="20"/>
        </w:rPr>
        <w:t>A. japonica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 and </w:t>
      </w:r>
      <w:r w:rsidRPr="00710676">
        <w:rPr>
          <w:rFonts w:eastAsia="Arial"/>
          <w:b/>
          <w:bCs/>
          <w:i/>
          <w:iCs/>
          <w:color w:val="000000" w:themeColor="text1"/>
          <w:sz w:val="20"/>
          <w:szCs w:val="20"/>
        </w:rPr>
        <w:t>S. sclerotiorum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 biomass accumulation in pennycress </w:t>
      </w:r>
    </w:p>
    <w:tbl>
      <w:tblPr>
        <w:tblStyle w:val="PlainTable4"/>
        <w:tblW w:w="4926" w:type="pct"/>
        <w:tblLayout w:type="fixed"/>
        <w:tblLook w:val="04A0" w:firstRow="1" w:lastRow="0" w:firstColumn="1" w:lastColumn="0" w:noHBand="0" w:noVBand="1"/>
      </w:tblPr>
      <w:tblGrid>
        <w:gridCol w:w="3016"/>
        <w:gridCol w:w="2398"/>
        <w:gridCol w:w="3281"/>
        <w:gridCol w:w="4073"/>
      </w:tblGrid>
      <w:tr w:rsidR="005405A1" w:rsidRPr="00710676" w14:paraId="23BD16E4" w14:textId="77777777" w:rsidTr="00652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65F163" w14:textId="77777777" w:rsidR="005405A1" w:rsidRPr="00710676" w:rsidRDefault="005405A1" w:rsidP="006526A6">
            <w:pPr>
              <w:snapToGrid w:val="0"/>
              <w:spacing w:line="360" w:lineRule="auto"/>
              <w:rPr>
                <w:rFonts w:eastAsia="Arial"/>
                <w:b w:val="0"/>
                <w:bCs w:val="0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Reference gene​ targets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EA6471" w14:textId="77777777" w:rsidR="005405A1" w:rsidRPr="00710676" w:rsidRDefault="005405A1" w:rsidP="006526A6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 w:val="0"/>
                <w:bCs w:val="0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Gene ID</w:t>
            </w:r>
          </w:p>
        </w:tc>
        <w:tc>
          <w:tcPr>
            <w:tcW w:w="128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1C1818" w14:textId="77777777" w:rsidR="005405A1" w:rsidRPr="00710676" w:rsidRDefault="005405A1" w:rsidP="006526A6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 w:val="0"/>
                <w:bCs w:val="0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Primer code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D530C8" w14:textId="77777777" w:rsidR="005405A1" w:rsidRPr="00710676" w:rsidRDefault="005405A1" w:rsidP="006526A6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 w:val="0"/>
                <w:bCs w:val="0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Primer sequence (5’-3’)</w:t>
            </w:r>
          </w:p>
        </w:tc>
      </w:tr>
      <w:tr w:rsidR="005405A1" w:rsidRPr="00710676" w14:paraId="493DC408" w14:textId="77777777" w:rsidTr="00652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823DF14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rFonts w:eastAsia="Arial"/>
                <w:b w:val="0"/>
                <w:bCs w:val="0"/>
                <w:i/>
                <w:iCs/>
                <w:color w:val="000000" w:themeColor="text1"/>
                <w:sz w:val="20"/>
              </w:rPr>
            </w:pPr>
            <w:r w:rsidRPr="00710676">
              <w:rPr>
                <w:rFonts w:eastAsia="Arial"/>
                <w:i/>
                <w:iCs/>
                <w:color w:val="000000" w:themeColor="text1"/>
                <w:sz w:val="20"/>
              </w:rPr>
              <w:t xml:space="preserve">A. japonica </w:t>
            </w:r>
            <w:r w:rsidRPr="00710676">
              <w:rPr>
                <w:rFonts w:eastAsia="Arial"/>
                <w:color w:val="000000" w:themeColor="text1"/>
                <w:sz w:val="20"/>
              </w:rPr>
              <w:t>strain</w:t>
            </w:r>
            <w:r w:rsidRPr="00710676">
              <w:rPr>
                <w:rFonts w:eastAsia="Arial"/>
                <w:i/>
                <w:iCs/>
                <w:color w:val="000000" w:themeColor="text1"/>
                <w:sz w:val="20"/>
              </w:rPr>
              <w:t xml:space="preserve"> </w:t>
            </w:r>
            <w:r w:rsidRPr="00710676">
              <w:rPr>
                <w:rFonts w:eastAsia="Arial"/>
                <w:color w:val="000000" w:themeColor="text1"/>
                <w:sz w:val="20"/>
              </w:rPr>
              <w:t>GRSH22</w:t>
            </w:r>
            <w:r w:rsidRPr="00710676">
              <w:rPr>
                <w:rFonts w:eastAsia="Arial"/>
                <w:i/>
                <w:iCs/>
                <w:color w:val="000000" w:themeColor="text1"/>
                <w:sz w:val="20"/>
              </w:rPr>
              <w:t xml:space="preserve"> </w:t>
            </w:r>
            <w:r w:rsidRPr="00710676">
              <w:rPr>
                <w:rFonts w:eastAsia="Arial"/>
                <w:color w:val="000000" w:themeColor="text1"/>
                <w:sz w:val="20"/>
              </w:rPr>
              <w:t>ITS1- 5.8S rRNA​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0331C93A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KY788039.1 ​</w:t>
            </w:r>
          </w:p>
        </w:tc>
        <w:tc>
          <w:tcPr>
            <w:tcW w:w="128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8016A13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Aj-ITS-qPCR-Forward</w:t>
            </w:r>
          </w:p>
        </w:tc>
        <w:tc>
          <w:tcPr>
            <w:tcW w:w="159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94F10A1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GGCGTCTTGTCTCCAGTTTG</w:t>
            </w:r>
          </w:p>
        </w:tc>
      </w:tr>
      <w:tr w:rsidR="005405A1" w:rsidRPr="00710676" w14:paraId="23B000A2" w14:textId="77777777" w:rsidTr="006526A6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vMerge/>
            <w:hideMark/>
          </w:tcPr>
          <w:p w14:paraId="6196550D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rFonts w:eastAsia="Arial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939" w:type="pct"/>
            <w:vMerge/>
            <w:hideMark/>
          </w:tcPr>
          <w:p w14:paraId="5F49AE02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</w:p>
        </w:tc>
        <w:tc>
          <w:tcPr>
            <w:tcW w:w="1285" w:type="pct"/>
            <w:hideMark/>
          </w:tcPr>
          <w:p w14:paraId="28A57E36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Aj-ITS-qPCR-Reverse</w:t>
            </w:r>
          </w:p>
        </w:tc>
        <w:tc>
          <w:tcPr>
            <w:tcW w:w="1595" w:type="pct"/>
            <w:hideMark/>
          </w:tcPr>
          <w:p w14:paraId="6FE79E47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CCTACCTGATCCGAGGTCAA​</w:t>
            </w:r>
          </w:p>
        </w:tc>
      </w:tr>
      <w:tr w:rsidR="005405A1" w:rsidRPr="00710676" w14:paraId="6C517D83" w14:textId="77777777" w:rsidTr="00652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vMerge w:val="restart"/>
            <w:shd w:val="clear" w:color="auto" w:fill="auto"/>
            <w:hideMark/>
          </w:tcPr>
          <w:p w14:paraId="3214FDA0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rFonts w:eastAsia="Arial"/>
                <w:b w:val="0"/>
                <w:bCs w:val="0"/>
                <w:i/>
                <w:iCs/>
                <w:color w:val="000000" w:themeColor="text1"/>
                <w:sz w:val="20"/>
              </w:rPr>
            </w:pPr>
            <w:r w:rsidRPr="00710676">
              <w:rPr>
                <w:rFonts w:eastAsia="Arial"/>
                <w:i/>
                <w:iCs/>
                <w:color w:val="000000" w:themeColor="text1"/>
                <w:sz w:val="20"/>
              </w:rPr>
              <w:t xml:space="preserve">T. arvense </w:t>
            </w:r>
            <w:r w:rsidRPr="00710676">
              <w:rPr>
                <w:rFonts w:eastAsia="Arial"/>
                <w:color w:val="000000" w:themeColor="text1"/>
                <w:sz w:val="20"/>
              </w:rPr>
              <w:t>Actin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14:paraId="6A52B47F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Tav1.1/Thlar.0014s0459​</w:t>
            </w:r>
          </w:p>
        </w:tc>
        <w:tc>
          <w:tcPr>
            <w:tcW w:w="1285" w:type="pct"/>
            <w:shd w:val="clear" w:color="auto" w:fill="auto"/>
            <w:hideMark/>
          </w:tcPr>
          <w:p w14:paraId="01E35005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Ta-Actin-Forward</w:t>
            </w:r>
          </w:p>
        </w:tc>
        <w:tc>
          <w:tcPr>
            <w:tcW w:w="1595" w:type="pct"/>
            <w:shd w:val="clear" w:color="auto" w:fill="auto"/>
            <w:hideMark/>
          </w:tcPr>
          <w:p w14:paraId="0881882B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GGAATCCACGAGACGACCTA</w:t>
            </w:r>
          </w:p>
        </w:tc>
      </w:tr>
      <w:tr w:rsidR="005405A1" w:rsidRPr="00710676" w14:paraId="197F7219" w14:textId="77777777" w:rsidTr="006526A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vMerge/>
            <w:hideMark/>
          </w:tcPr>
          <w:p w14:paraId="0D48FBA7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rFonts w:eastAsia="Arial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939" w:type="pct"/>
            <w:vMerge/>
            <w:hideMark/>
          </w:tcPr>
          <w:p w14:paraId="43EADD9B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</w:p>
        </w:tc>
        <w:tc>
          <w:tcPr>
            <w:tcW w:w="1285" w:type="pct"/>
            <w:hideMark/>
          </w:tcPr>
          <w:p w14:paraId="24445608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Ta-Actin-Reverse</w:t>
            </w:r>
          </w:p>
        </w:tc>
        <w:tc>
          <w:tcPr>
            <w:tcW w:w="1595" w:type="pct"/>
            <w:hideMark/>
          </w:tcPr>
          <w:p w14:paraId="6CA538C3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CTTGGTGCAAGTGCTGTGAT​</w:t>
            </w:r>
          </w:p>
        </w:tc>
      </w:tr>
      <w:tr w:rsidR="005405A1" w:rsidRPr="00710676" w14:paraId="47BB0E91" w14:textId="77777777" w:rsidTr="00652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vMerge w:val="restart"/>
            <w:shd w:val="clear" w:color="auto" w:fill="auto"/>
            <w:hideMark/>
          </w:tcPr>
          <w:p w14:paraId="4948FA3B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rFonts w:eastAsia="Arial"/>
                <w:b w:val="0"/>
                <w:bCs w:val="0"/>
                <w:i/>
                <w:iCs/>
                <w:color w:val="000000" w:themeColor="text1"/>
                <w:sz w:val="20"/>
              </w:rPr>
            </w:pPr>
            <w:r w:rsidRPr="00710676">
              <w:rPr>
                <w:rFonts w:eastAsia="Arial"/>
                <w:i/>
                <w:iCs/>
                <w:color w:val="000000" w:themeColor="text1"/>
                <w:sz w:val="20"/>
              </w:rPr>
              <w:t xml:space="preserve">S. sclerotiorum </w:t>
            </w:r>
            <w:r w:rsidRPr="00710676">
              <w:rPr>
                <w:rFonts w:eastAsia="Arial"/>
                <w:color w:val="000000" w:themeColor="text1"/>
                <w:sz w:val="20"/>
              </w:rPr>
              <w:t>isolate PSP-1 small subunit rRNA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14:paraId="0FB47869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MN216247.1</w:t>
            </w:r>
          </w:p>
        </w:tc>
        <w:tc>
          <w:tcPr>
            <w:tcW w:w="1285" w:type="pct"/>
            <w:shd w:val="clear" w:color="auto" w:fill="auto"/>
            <w:hideMark/>
          </w:tcPr>
          <w:p w14:paraId="197C18DB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Ss-ITS-qPCR-P6-Forward</w:t>
            </w:r>
          </w:p>
        </w:tc>
        <w:tc>
          <w:tcPr>
            <w:tcW w:w="1595" w:type="pct"/>
            <w:shd w:val="clear" w:color="auto" w:fill="auto"/>
            <w:hideMark/>
          </w:tcPr>
          <w:p w14:paraId="48D252B0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TCCGTAGGTGAACCTGCGG</w:t>
            </w:r>
          </w:p>
        </w:tc>
      </w:tr>
      <w:tr w:rsidR="005405A1" w:rsidRPr="00710676" w14:paraId="5C558486" w14:textId="77777777" w:rsidTr="006526A6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vMerge/>
            <w:tcBorders>
              <w:bottom w:val="single" w:sz="4" w:space="0" w:color="auto"/>
            </w:tcBorders>
            <w:hideMark/>
          </w:tcPr>
          <w:p w14:paraId="6E2AA857" w14:textId="77777777" w:rsidR="005405A1" w:rsidRPr="00710676" w:rsidRDefault="005405A1" w:rsidP="006526A6">
            <w:pPr>
              <w:snapToGrid w:val="0"/>
              <w:spacing w:before="240" w:line="360" w:lineRule="auto"/>
              <w:rPr>
                <w:rFonts w:eastAsia="Arial"/>
                <w:i/>
                <w:iCs/>
                <w:color w:val="000000" w:themeColor="text1"/>
                <w:sz w:val="20"/>
              </w:rPr>
            </w:pPr>
          </w:p>
        </w:tc>
        <w:tc>
          <w:tcPr>
            <w:tcW w:w="939" w:type="pct"/>
            <w:vMerge/>
            <w:tcBorders>
              <w:bottom w:val="single" w:sz="4" w:space="0" w:color="auto"/>
            </w:tcBorders>
            <w:hideMark/>
          </w:tcPr>
          <w:p w14:paraId="7588FF5F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</w:p>
        </w:tc>
        <w:tc>
          <w:tcPr>
            <w:tcW w:w="1285" w:type="pct"/>
            <w:tcBorders>
              <w:bottom w:val="single" w:sz="4" w:space="0" w:color="auto"/>
            </w:tcBorders>
            <w:hideMark/>
          </w:tcPr>
          <w:p w14:paraId="23B9E3C3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Ss-ITS-qPCR-P6-Reverse</w:t>
            </w:r>
          </w:p>
        </w:tc>
        <w:tc>
          <w:tcPr>
            <w:tcW w:w="1595" w:type="pct"/>
            <w:tcBorders>
              <w:bottom w:val="single" w:sz="4" w:space="0" w:color="auto"/>
            </w:tcBorders>
            <w:hideMark/>
          </w:tcPr>
          <w:p w14:paraId="2D637A3F" w14:textId="77777777" w:rsidR="005405A1" w:rsidRPr="00710676" w:rsidRDefault="005405A1" w:rsidP="006526A6">
            <w:pPr>
              <w:snapToGrid w:val="0"/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 w:themeColor="text1"/>
                <w:sz w:val="20"/>
              </w:rPr>
            </w:pPr>
            <w:r w:rsidRPr="00710676">
              <w:rPr>
                <w:rFonts w:eastAsia="Arial"/>
                <w:color w:val="000000" w:themeColor="text1"/>
                <w:sz w:val="20"/>
              </w:rPr>
              <w:t>CTATTATATAGTACTCAGACGAC</w:t>
            </w:r>
          </w:p>
        </w:tc>
      </w:tr>
    </w:tbl>
    <w:p w14:paraId="57C9E703" w14:textId="77777777" w:rsidR="005405A1" w:rsidRPr="00710676" w:rsidRDefault="005405A1" w:rsidP="005405A1">
      <w:pPr>
        <w:snapToGrid w:val="0"/>
        <w:spacing w:before="240" w:line="360" w:lineRule="auto"/>
        <w:rPr>
          <w:rFonts w:eastAsia="Arial"/>
          <w:color w:val="000000" w:themeColor="text1"/>
          <w:sz w:val="20"/>
          <w:szCs w:val="20"/>
        </w:rPr>
        <w:sectPr w:rsidR="005405A1" w:rsidRPr="00710676" w:rsidSect="005405A1">
          <w:pgSz w:w="15840" w:h="12240" w:orient="landscape"/>
          <w:pgMar w:top="1440" w:right="1440" w:bottom="1980" w:left="1440" w:header="708" w:footer="708" w:gutter="0"/>
          <w:lnNumType w:countBy="1" w:restart="continuous"/>
          <w:pgNumType w:fmt="numberInDash" w:chapStyle="1"/>
          <w:cols w:space="708"/>
          <w:docGrid w:linePitch="360"/>
        </w:sectPr>
      </w:pPr>
    </w:p>
    <w:p w14:paraId="77B0523A" w14:textId="77777777" w:rsidR="005405A1" w:rsidRPr="00710676" w:rsidRDefault="005405A1" w:rsidP="005405A1">
      <w:pPr>
        <w:snapToGrid w:val="0"/>
        <w:spacing w:line="360" w:lineRule="auto"/>
        <w:ind w:right="180" w:hanging="1080"/>
        <w:rPr>
          <w:rFonts w:eastAsia="Arial"/>
          <w:color w:val="000000" w:themeColor="text1"/>
          <w:sz w:val="20"/>
          <w:szCs w:val="20"/>
        </w:rPr>
      </w:pPr>
      <w:r w:rsidRPr="00710676">
        <w:rPr>
          <w:rFonts w:eastAsia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243331B" wp14:editId="070C60E3">
            <wp:extent cx="6621145" cy="4680759"/>
            <wp:effectExtent l="0" t="0" r="0" b="5715"/>
            <wp:docPr id="2007893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93364" name=""/>
                    <pic:cNvPicPr/>
                  </pic:nvPicPr>
                  <pic:blipFill rotWithShape="1">
                    <a:blip r:embed="rId4"/>
                    <a:srcRect l="874" t="1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037" cy="470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F69BD" w14:textId="77777777" w:rsidR="005405A1" w:rsidRPr="00710676" w:rsidRDefault="005405A1" w:rsidP="005405A1">
      <w:pPr>
        <w:snapToGrid w:val="0"/>
        <w:spacing w:line="300" w:lineRule="auto"/>
        <w:jc w:val="both"/>
        <w:rPr>
          <w:rFonts w:eastAsia="Arial"/>
          <w:b/>
          <w:bCs/>
          <w:color w:val="000000" w:themeColor="text1"/>
          <w:sz w:val="20"/>
          <w:szCs w:val="20"/>
        </w:rPr>
      </w:pPr>
      <w:r w:rsidRPr="00710676">
        <w:rPr>
          <w:rFonts w:eastAsia="Arial"/>
          <w:b/>
          <w:bCs/>
          <w:color w:val="000000" w:themeColor="text1"/>
          <w:sz w:val="20"/>
          <w:szCs w:val="20"/>
        </w:rPr>
        <w:t>Fig. S1</w:t>
      </w:r>
      <w:r>
        <w:rPr>
          <w:rFonts w:eastAsia="Arial"/>
          <w:b/>
          <w:bCs/>
          <w:color w:val="000000" w:themeColor="text1"/>
          <w:sz w:val="20"/>
          <w:szCs w:val="20"/>
        </w:rPr>
        <w:t xml:space="preserve"> </w:t>
      </w:r>
      <w:r w:rsidRPr="00F04782">
        <w:rPr>
          <w:rFonts w:eastAsia="Arial"/>
          <w:color w:val="000000" w:themeColor="text1"/>
          <w:sz w:val="20"/>
          <w:szCs w:val="20"/>
        </w:rPr>
        <w:t xml:space="preserve">Molecular detection of </w:t>
      </w:r>
      <w:r w:rsidRPr="00F04782">
        <w:rPr>
          <w:rFonts w:eastAsia="Arial"/>
          <w:i/>
          <w:iCs/>
          <w:color w:val="000000" w:themeColor="text1"/>
          <w:sz w:val="20"/>
          <w:szCs w:val="20"/>
        </w:rPr>
        <w:t>Alternaria</w:t>
      </w:r>
      <w:r w:rsidRPr="00F04782">
        <w:rPr>
          <w:rFonts w:eastAsia="Arial"/>
          <w:color w:val="000000" w:themeColor="text1"/>
          <w:sz w:val="20"/>
          <w:szCs w:val="20"/>
        </w:rPr>
        <w:t xml:space="preserve"> and </w:t>
      </w:r>
      <w:r w:rsidRPr="00F04782">
        <w:rPr>
          <w:rFonts w:eastAsia="Arial"/>
          <w:i/>
          <w:iCs/>
          <w:color w:val="000000" w:themeColor="text1"/>
          <w:sz w:val="20"/>
          <w:szCs w:val="20"/>
        </w:rPr>
        <w:t>Sclerotinia</w:t>
      </w:r>
      <w:r w:rsidRPr="00F04782">
        <w:rPr>
          <w:rFonts w:eastAsia="Arial"/>
          <w:color w:val="000000" w:themeColor="text1"/>
          <w:sz w:val="20"/>
          <w:szCs w:val="20"/>
        </w:rPr>
        <w:t xml:space="preserve"> spp. field isolates collected from pods and stem sclerotia of pennycress based on amplification and sequencing of their internal transcribed spacer (ITS) region of the 5.8S rRNA gene. 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a </w:t>
      </w:r>
      <w:r w:rsidRPr="00710676">
        <w:rPr>
          <w:rFonts w:eastAsia="Arial"/>
          <w:color w:val="000000" w:themeColor="text1"/>
          <w:sz w:val="20"/>
          <w:szCs w:val="20"/>
        </w:rPr>
        <w:t xml:space="preserve">Culturing and subculturing process of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Alternaria</w:t>
      </w:r>
      <w:r w:rsidRPr="00710676">
        <w:rPr>
          <w:rFonts w:eastAsia="Arial"/>
          <w:color w:val="000000" w:themeColor="text1"/>
          <w:sz w:val="20"/>
          <w:szCs w:val="20"/>
        </w:rPr>
        <w:t xml:space="preserve"> spp. isolates from field pennycress pods under laboratory conditions. 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>b</w:t>
      </w:r>
      <w:r w:rsidRPr="00710676">
        <w:rPr>
          <w:rFonts w:eastAsia="Arial"/>
          <w:color w:val="000000" w:themeColor="text1"/>
          <w:sz w:val="20"/>
          <w:szCs w:val="20"/>
        </w:rPr>
        <w:t xml:space="preserve"> Amplification of the ITS regions of the 5.8S rRNA gene from the field isolates of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Alternaria</w:t>
      </w:r>
      <w:r w:rsidRPr="00710676">
        <w:rPr>
          <w:rFonts w:eastAsia="Arial"/>
          <w:color w:val="000000" w:themeColor="text1"/>
          <w:sz w:val="20"/>
          <w:szCs w:val="20"/>
        </w:rPr>
        <w:t xml:space="preserve"> spp. 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 xml:space="preserve">c </w:t>
      </w:r>
      <w:r w:rsidRPr="00710676">
        <w:rPr>
          <w:rFonts w:eastAsia="Arial"/>
          <w:color w:val="000000" w:themeColor="text1"/>
          <w:sz w:val="20"/>
          <w:szCs w:val="20"/>
        </w:rPr>
        <w:t xml:space="preserve">BLASTn search of the amplified ITS sequence from the 5.8S rRNA gene, obtained from field isolates of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Alternaria</w:t>
      </w:r>
      <w:r w:rsidRPr="00710676">
        <w:rPr>
          <w:rFonts w:eastAsia="Arial"/>
          <w:color w:val="000000" w:themeColor="text1"/>
          <w:sz w:val="20"/>
          <w:szCs w:val="20"/>
        </w:rPr>
        <w:t xml:space="preserve"> spp. in Sigel, IL, and from Manito, IL, confirmed both field isolates as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A. japonica</w:t>
      </w:r>
      <w:r w:rsidRPr="00710676">
        <w:rPr>
          <w:rFonts w:eastAsia="Arial"/>
          <w:color w:val="000000" w:themeColor="text1"/>
          <w:sz w:val="20"/>
          <w:szCs w:val="20"/>
        </w:rPr>
        <w:t xml:space="preserve">. </w:t>
      </w:r>
      <w:r w:rsidRPr="00710676">
        <w:rPr>
          <w:rFonts w:eastAsia="Arial"/>
          <w:b/>
          <w:bCs/>
          <w:color w:val="000000" w:themeColor="text1"/>
          <w:sz w:val="20"/>
          <w:szCs w:val="20"/>
        </w:rPr>
        <w:t>d</w:t>
      </w:r>
      <w:r w:rsidRPr="00710676">
        <w:rPr>
          <w:rFonts w:eastAsia="Arial"/>
          <w:color w:val="000000" w:themeColor="text1"/>
          <w:sz w:val="20"/>
          <w:szCs w:val="20"/>
        </w:rPr>
        <w:t xml:space="preserve"> BLASTn search of the amplified ITS sequence from the 5.8S rRNA gene, obtained from a field isolate of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Sclerotinia</w:t>
      </w:r>
      <w:r w:rsidRPr="00710676">
        <w:rPr>
          <w:rFonts w:eastAsia="Arial"/>
          <w:color w:val="000000" w:themeColor="text1"/>
          <w:sz w:val="20"/>
          <w:szCs w:val="20"/>
        </w:rPr>
        <w:t xml:space="preserve"> spp. in Sigel, IL, identified the isolate as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S. sclerotiorum</w:t>
      </w:r>
      <w:r w:rsidRPr="00710676">
        <w:rPr>
          <w:rFonts w:eastAsia="Arial"/>
          <w:color w:val="000000" w:themeColor="text1"/>
          <w:sz w:val="20"/>
          <w:szCs w:val="20"/>
        </w:rPr>
        <w:t>.</w:t>
      </w:r>
    </w:p>
    <w:p w14:paraId="7B985C6F" w14:textId="77777777" w:rsidR="005405A1" w:rsidRPr="00710676" w:rsidRDefault="005405A1" w:rsidP="005405A1">
      <w:pPr>
        <w:snapToGrid w:val="0"/>
        <w:spacing w:line="360" w:lineRule="auto"/>
        <w:ind w:right="-810"/>
        <w:jc w:val="both"/>
        <w:rPr>
          <w:strike/>
          <w:sz w:val="20"/>
          <w:szCs w:val="20"/>
        </w:rPr>
      </w:pPr>
      <w:r w:rsidRPr="00710676">
        <w:rPr>
          <w:rFonts w:eastAsia="Arial"/>
          <w:b/>
          <w:bCs/>
          <w:color w:val="000000" w:themeColor="text1"/>
          <w:sz w:val="20"/>
          <w:szCs w:val="20"/>
        </w:rPr>
        <w:br/>
      </w:r>
    </w:p>
    <w:p w14:paraId="1F1F1A4B" w14:textId="77777777" w:rsidR="005405A1" w:rsidRPr="00710676" w:rsidRDefault="005405A1" w:rsidP="005405A1">
      <w:pPr>
        <w:spacing w:before="480" w:after="480"/>
        <w:rPr>
          <w:sz w:val="20"/>
          <w:szCs w:val="20"/>
        </w:rPr>
      </w:pPr>
    </w:p>
    <w:p w14:paraId="07406E6A" w14:textId="77777777" w:rsidR="005405A1" w:rsidRPr="00710676" w:rsidRDefault="005405A1" w:rsidP="005405A1">
      <w:pPr>
        <w:snapToGrid w:val="0"/>
        <w:spacing w:line="360" w:lineRule="auto"/>
        <w:ind w:right="-810"/>
        <w:jc w:val="both"/>
        <w:rPr>
          <w:rFonts w:eastAsia="Arial"/>
          <w:color w:val="000000" w:themeColor="text1"/>
          <w:sz w:val="20"/>
          <w:szCs w:val="20"/>
        </w:rPr>
      </w:pPr>
      <w:r w:rsidRPr="00E93FE6">
        <w:rPr>
          <w:rFonts w:eastAsia="Arial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0EDA249" wp14:editId="37777860">
            <wp:extent cx="5540106" cy="5727700"/>
            <wp:effectExtent l="0" t="0" r="0" b="0"/>
            <wp:docPr id="548191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1048" name=""/>
                    <pic:cNvPicPr/>
                  </pic:nvPicPr>
                  <pic:blipFill rotWithShape="1">
                    <a:blip r:embed="rId5"/>
                    <a:srcRect t="1094" r="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42" cy="5728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890B4" w14:textId="77777777" w:rsidR="005405A1" w:rsidRDefault="005405A1" w:rsidP="005405A1">
      <w:pPr>
        <w:spacing w:line="300" w:lineRule="auto"/>
        <w:jc w:val="both"/>
        <w:rPr>
          <w:sz w:val="20"/>
          <w:szCs w:val="20"/>
        </w:rPr>
      </w:pPr>
      <w:r w:rsidRPr="00710676">
        <w:rPr>
          <w:b/>
          <w:bCs/>
          <w:sz w:val="20"/>
          <w:szCs w:val="20"/>
        </w:rPr>
        <w:t>Fig. S2</w:t>
      </w:r>
      <w:r>
        <w:rPr>
          <w:sz w:val="20"/>
          <w:szCs w:val="20"/>
        </w:rPr>
        <w:t xml:space="preserve"> </w:t>
      </w:r>
      <w:r w:rsidRPr="00710676">
        <w:rPr>
          <w:sz w:val="20"/>
          <w:szCs w:val="20"/>
        </w:rPr>
        <w:t xml:space="preserve">Time course analysis of </w:t>
      </w:r>
      <w:r w:rsidRPr="00710676">
        <w:rPr>
          <w:i/>
          <w:iCs/>
          <w:sz w:val="20"/>
          <w:szCs w:val="20"/>
        </w:rPr>
        <w:t xml:space="preserve">S. sclerotiorum </w:t>
      </w:r>
      <w:r w:rsidRPr="00710676">
        <w:rPr>
          <w:sz w:val="20"/>
          <w:szCs w:val="20"/>
        </w:rPr>
        <w:t xml:space="preserve">visual pathogenicity on MN106 and 2032 leaves across multiple experiments. The area of necrotic lesions was quantified at 1, 2, and 3 dpi. Statistical comparisons were made using Student’s t-tests. *, ** indicates </w:t>
      </w:r>
      <w:r w:rsidRPr="00710676">
        <w:rPr>
          <w:i/>
          <w:iCs/>
          <w:sz w:val="20"/>
          <w:szCs w:val="20"/>
        </w:rPr>
        <w:t>p</w:t>
      </w:r>
      <w:r w:rsidRPr="00710676">
        <w:rPr>
          <w:sz w:val="20"/>
          <w:szCs w:val="20"/>
        </w:rPr>
        <w:t xml:space="preserve">-value &lt; 0.05 and &lt; 0.01. Data from Experiments 1, 3, and 4 were pooled together for </w:t>
      </w:r>
      <w:r w:rsidRPr="00710676">
        <w:rPr>
          <w:b/>
          <w:bCs/>
          <w:sz w:val="20"/>
          <w:szCs w:val="20"/>
        </w:rPr>
        <w:t>Fig. 3d</w:t>
      </w:r>
      <w:r w:rsidRPr="00710676">
        <w:rPr>
          <w:sz w:val="20"/>
          <w:szCs w:val="20"/>
        </w:rPr>
        <w:t>. Experiment 2 was not included because the lesion sizes were much smaller than those in other experiments.</w:t>
      </w:r>
      <w:r>
        <w:rPr>
          <w:sz w:val="20"/>
          <w:szCs w:val="20"/>
        </w:rPr>
        <w:t xml:space="preserve"> </w:t>
      </w:r>
    </w:p>
    <w:p w14:paraId="08342C13" w14:textId="77777777" w:rsidR="005405A1" w:rsidRDefault="005405A1" w:rsidP="005405A1">
      <w:pPr>
        <w:spacing w:line="360" w:lineRule="auto"/>
        <w:jc w:val="both"/>
        <w:rPr>
          <w:sz w:val="20"/>
          <w:szCs w:val="20"/>
        </w:rPr>
      </w:pPr>
      <w:r w:rsidRPr="005A3009">
        <w:rPr>
          <w:noProof/>
          <w:sz w:val="20"/>
          <w:szCs w:val="20"/>
        </w:rPr>
        <w:lastRenderedPageBreak/>
        <w:drawing>
          <wp:inline distT="0" distB="0" distL="0" distR="0" wp14:anchorId="7D51DB01" wp14:editId="484BC2C1">
            <wp:extent cx="5513070" cy="4146137"/>
            <wp:effectExtent l="0" t="0" r="0" b="0"/>
            <wp:docPr id="982298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98571" name=""/>
                    <pic:cNvPicPr/>
                  </pic:nvPicPr>
                  <pic:blipFill rotWithShape="1">
                    <a:blip r:embed="rId6"/>
                    <a:srcRect l="1563" t="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151" cy="4146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B90D8" w14:textId="77777777" w:rsidR="005405A1" w:rsidRPr="00710676" w:rsidRDefault="005405A1" w:rsidP="005405A1">
      <w:pPr>
        <w:snapToGrid w:val="0"/>
        <w:spacing w:line="300" w:lineRule="auto"/>
        <w:jc w:val="both"/>
        <w:rPr>
          <w:sz w:val="20"/>
          <w:szCs w:val="20"/>
        </w:rPr>
      </w:pPr>
      <w:r w:rsidRPr="00710676">
        <w:rPr>
          <w:b/>
          <w:bCs/>
          <w:sz w:val="20"/>
          <w:szCs w:val="20"/>
        </w:rPr>
        <w:t>Fig. S3</w:t>
      </w:r>
      <w:r w:rsidRPr="00710676">
        <w:rPr>
          <w:sz w:val="20"/>
          <w:szCs w:val="20"/>
        </w:rPr>
        <w:t xml:space="preserve"> Validation of real-time PCR primers for biomass quantification of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, </w:t>
      </w:r>
      <w:r w:rsidRPr="00710676">
        <w:rPr>
          <w:i/>
          <w:iCs/>
          <w:sz w:val="20"/>
          <w:szCs w:val="20"/>
        </w:rPr>
        <w:t>S. sclerotiorum</w:t>
      </w:r>
      <w:r w:rsidRPr="00710676">
        <w:rPr>
          <w:sz w:val="20"/>
          <w:szCs w:val="20"/>
        </w:rPr>
        <w:t xml:space="preserve">, and pennycress plants. </w:t>
      </w:r>
      <w:r w:rsidRPr="00710676">
        <w:rPr>
          <w:b/>
          <w:bCs/>
          <w:sz w:val="20"/>
          <w:szCs w:val="20"/>
        </w:rPr>
        <w:t>a-c</w:t>
      </w:r>
      <w:r w:rsidRPr="00710676">
        <w:rPr>
          <w:sz w:val="20"/>
          <w:szCs w:val="20"/>
        </w:rPr>
        <w:t xml:space="preserve"> Three genes: </w:t>
      </w:r>
      <w:r w:rsidRPr="00710676">
        <w:rPr>
          <w:i/>
          <w:iCs/>
          <w:sz w:val="20"/>
          <w:szCs w:val="20"/>
        </w:rPr>
        <w:t>Ta-Actin</w:t>
      </w:r>
      <w:r w:rsidRPr="00710676">
        <w:rPr>
          <w:sz w:val="20"/>
          <w:szCs w:val="20"/>
        </w:rPr>
        <w:t xml:space="preserve"> (</w:t>
      </w:r>
      <w:r w:rsidRPr="00710676">
        <w:rPr>
          <w:b/>
          <w:bCs/>
          <w:sz w:val="20"/>
          <w:szCs w:val="20"/>
        </w:rPr>
        <w:t>a</w:t>
      </w:r>
      <w:r w:rsidRPr="00710676">
        <w:rPr>
          <w:sz w:val="20"/>
          <w:szCs w:val="20"/>
        </w:rPr>
        <w:t>), Aj-ITS-5.8S rRNA (</w:t>
      </w:r>
      <w:r w:rsidRPr="00710676">
        <w:rPr>
          <w:b/>
          <w:bCs/>
          <w:sz w:val="20"/>
          <w:szCs w:val="20"/>
        </w:rPr>
        <w:t>b</w:t>
      </w:r>
      <w:r w:rsidRPr="00710676">
        <w:rPr>
          <w:sz w:val="20"/>
          <w:szCs w:val="20"/>
        </w:rPr>
        <w:t>), and Ss-ITS-5.8S rRNA (</w:t>
      </w:r>
      <w:r w:rsidRPr="00710676">
        <w:rPr>
          <w:b/>
          <w:bCs/>
          <w:sz w:val="20"/>
          <w:szCs w:val="20"/>
        </w:rPr>
        <w:t>c</w:t>
      </w:r>
      <w:r w:rsidRPr="00710676">
        <w:rPr>
          <w:sz w:val="20"/>
          <w:szCs w:val="20"/>
        </w:rPr>
        <w:t xml:space="preserve">) were amplified using genomic DNA (gDNA) from mock-inoculated,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-, and </w:t>
      </w:r>
      <w:r w:rsidRPr="00710676">
        <w:rPr>
          <w:i/>
          <w:iCs/>
          <w:sz w:val="20"/>
          <w:szCs w:val="20"/>
        </w:rPr>
        <w:t>S. sclerotiorum</w:t>
      </w:r>
      <w:r w:rsidRPr="00710676">
        <w:rPr>
          <w:sz w:val="20"/>
          <w:szCs w:val="20"/>
        </w:rPr>
        <w:t>-inoculated 8</w:t>
      </w:r>
      <w:r w:rsidRPr="00710676">
        <w:rPr>
          <w:sz w:val="20"/>
          <w:szCs w:val="20"/>
          <w:vertAlign w:val="superscript"/>
        </w:rPr>
        <w:t>th</w:t>
      </w:r>
      <w:r w:rsidRPr="00710676">
        <w:rPr>
          <w:sz w:val="20"/>
          <w:szCs w:val="20"/>
        </w:rPr>
        <w:t xml:space="preserve"> leaves of two pennycress accessions at 4 dpi. </w:t>
      </w:r>
      <w:r w:rsidRPr="00710676">
        <w:rPr>
          <w:b/>
          <w:bCs/>
          <w:sz w:val="20"/>
          <w:szCs w:val="20"/>
        </w:rPr>
        <w:t>a</w:t>
      </w:r>
      <w:r w:rsidRPr="00710676">
        <w:rPr>
          <w:sz w:val="20"/>
          <w:szCs w:val="20"/>
        </w:rPr>
        <w:t xml:space="preserve"> Amplified </w:t>
      </w:r>
      <w:r w:rsidRPr="00710676">
        <w:rPr>
          <w:i/>
          <w:iCs/>
          <w:sz w:val="20"/>
          <w:szCs w:val="20"/>
        </w:rPr>
        <w:t>Ta-Actin</w:t>
      </w:r>
      <w:r w:rsidRPr="00710676">
        <w:rPr>
          <w:sz w:val="20"/>
          <w:szCs w:val="20"/>
        </w:rPr>
        <w:t xml:space="preserve"> gene product. M represents 100 bp Plus DNA Ladder. Lanes 1, 6, and 7 are gDNA from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, </w:t>
      </w:r>
      <w:r w:rsidRPr="00710676">
        <w:rPr>
          <w:i/>
          <w:iCs/>
          <w:sz w:val="20"/>
          <w:szCs w:val="20"/>
        </w:rPr>
        <w:t>S. sclerotiorum</w:t>
      </w:r>
      <w:r w:rsidRPr="00710676">
        <w:rPr>
          <w:sz w:val="20"/>
          <w:szCs w:val="20"/>
        </w:rPr>
        <w:t xml:space="preserve">, and a no-template control, respectively. Lanes 2 and 3 represent mock-inoculated and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-infected samples from MN106; Lanes 4 and 5 are mock-inoculated and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-infected samples from the 2032 accession. </w:t>
      </w:r>
      <w:r w:rsidRPr="00710676">
        <w:rPr>
          <w:b/>
          <w:bCs/>
          <w:sz w:val="20"/>
          <w:szCs w:val="20"/>
        </w:rPr>
        <w:t>b, c</w:t>
      </w:r>
      <w:r w:rsidRPr="00710676">
        <w:rPr>
          <w:sz w:val="20"/>
          <w:szCs w:val="20"/>
        </w:rPr>
        <w:t xml:space="preserve"> Amplicons of the Aj-ITS-5.8S rRNA (</w:t>
      </w:r>
      <w:r w:rsidRPr="00710676">
        <w:rPr>
          <w:b/>
          <w:bCs/>
          <w:sz w:val="20"/>
          <w:szCs w:val="20"/>
        </w:rPr>
        <w:t>b</w:t>
      </w:r>
      <w:r w:rsidRPr="00710676">
        <w:rPr>
          <w:sz w:val="20"/>
          <w:szCs w:val="20"/>
        </w:rPr>
        <w:t>), and Ss-ITS-5.8S rRNA (</w:t>
      </w:r>
      <w:r w:rsidRPr="00710676">
        <w:rPr>
          <w:b/>
          <w:bCs/>
          <w:sz w:val="20"/>
          <w:szCs w:val="20"/>
        </w:rPr>
        <w:t>c</w:t>
      </w:r>
      <w:r w:rsidRPr="00710676">
        <w:rPr>
          <w:sz w:val="20"/>
          <w:szCs w:val="20"/>
        </w:rPr>
        <w:t>) genes. Lanes 1 and 2 are gDNA from mock-inoculated and pathogen-infected samples from MN106, while lanes 3 and 4 represent mock-inoculated and pathogen-infected samples from the 2032 accession in both (</w:t>
      </w:r>
      <w:r w:rsidRPr="00710676">
        <w:rPr>
          <w:b/>
          <w:bCs/>
          <w:sz w:val="20"/>
          <w:szCs w:val="20"/>
        </w:rPr>
        <w:t>b</w:t>
      </w:r>
      <w:r w:rsidRPr="00710676">
        <w:rPr>
          <w:sz w:val="20"/>
          <w:szCs w:val="20"/>
        </w:rPr>
        <w:t>) and (</w:t>
      </w:r>
      <w:r w:rsidRPr="00710676">
        <w:rPr>
          <w:b/>
          <w:bCs/>
          <w:sz w:val="20"/>
          <w:szCs w:val="20"/>
        </w:rPr>
        <w:t>c</w:t>
      </w:r>
      <w:r w:rsidRPr="00710676">
        <w:rPr>
          <w:sz w:val="20"/>
          <w:szCs w:val="20"/>
        </w:rPr>
        <w:t xml:space="preserve">). Lanes 5 and 6 are gDNA from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 and </w:t>
      </w:r>
      <w:r w:rsidRPr="00710676">
        <w:rPr>
          <w:i/>
          <w:iCs/>
          <w:sz w:val="20"/>
          <w:szCs w:val="20"/>
        </w:rPr>
        <w:t>S. sclerotiorum</w:t>
      </w:r>
      <w:r w:rsidRPr="00710676">
        <w:rPr>
          <w:sz w:val="20"/>
          <w:szCs w:val="20"/>
        </w:rPr>
        <w:t xml:space="preserve"> in (</w:t>
      </w:r>
      <w:r w:rsidRPr="00710676">
        <w:rPr>
          <w:b/>
          <w:bCs/>
          <w:sz w:val="20"/>
          <w:szCs w:val="20"/>
        </w:rPr>
        <w:t>b</w:t>
      </w:r>
      <w:r w:rsidRPr="00710676">
        <w:rPr>
          <w:sz w:val="20"/>
          <w:szCs w:val="20"/>
        </w:rPr>
        <w:t>) and vice versa in (</w:t>
      </w:r>
      <w:r w:rsidRPr="00710676">
        <w:rPr>
          <w:b/>
          <w:bCs/>
          <w:sz w:val="20"/>
          <w:szCs w:val="20"/>
        </w:rPr>
        <w:t>c</w:t>
      </w:r>
      <w:r w:rsidRPr="00710676">
        <w:rPr>
          <w:sz w:val="20"/>
          <w:szCs w:val="20"/>
        </w:rPr>
        <w:t>), lane 7 in (</w:t>
      </w:r>
      <w:r w:rsidRPr="00710676">
        <w:rPr>
          <w:b/>
          <w:bCs/>
          <w:sz w:val="20"/>
          <w:szCs w:val="20"/>
        </w:rPr>
        <w:t>b</w:t>
      </w:r>
      <w:r w:rsidRPr="00710676">
        <w:rPr>
          <w:sz w:val="20"/>
          <w:szCs w:val="20"/>
        </w:rPr>
        <w:t>) and (</w:t>
      </w:r>
      <w:r w:rsidRPr="00710676">
        <w:rPr>
          <w:b/>
          <w:bCs/>
          <w:sz w:val="20"/>
          <w:szCs w:val="20"/>
        </w:rPr>
        <w:t>c</w:t>
      </w:r>
      <w:r w:rsidRPr="00710676">
        <w:rPr>
          <w:sz w:val="20"/>
          <w:szCs w:val="20"/>
        </w:rPr>
        <w:t xml:space="preserve">) is a no-template control. </w:t>
      </w:r>
      <w:r w:rsidRPr="00710676">
        <w:rPr>
          <w:b/>
          <w:bCs/>
          <w:sz w:val="20"/>
          <w:szCs w:val="20"/>
        </w:rPr>
        <w:t>d-e</w:t>
      </w:r>
      <w:r w:rsidRPr="00710676">
        <w:rPr>
          <w:sz w:val="20"/>
          <w:szCs w:val="20"/>
        </w:rPr>
        <w:t xml:space="preserve"> Dissociation curve analyses of all target gene amplicons from qPCR using gDNA of uninfected pennycress leaves (Ta) and </w:t>
      </w:r>
      <w:r w:rsidRPr="00710676">
        <w:rPr>
          <w:i/>
          <w:iCs/>
          <w:sz w:val="20"/>
          <w:szCs w:val="20"/>
        </w:rPr>
        <w:t>A. japonica</w:t>
      </w:r>
      <w:r w:rsidRPr="00710676">
        <w:rPr>
          <w:sz w:val="20"/>
          <w:szCs w:val="20"/>
        </w:rPr>
        <w:t xml:space="preserve"> (Aj), </w:t>
      </w:r>
      <w:r w:rsidRPr="00710676">
        <w:rPr>
          <w:i/>
          <w:iCs/>
          <w:sz w:val="20"/>
          <w:szCs w:val="20"/>
        </w:rPr>
        <w:t>S. sclerotiorum</w:t>
      </w:r>
      <w:r w:rsidRPr="00710676">
        <w:rPr>
          <w:sz w:val="20"/>
          <w:szCs w:val="20"/>
        </w:rPr>
        <w:t xml:space="preserve"> (Ss), and pathogen-infected pennycress plants (Ta + Aj and Ta + Ss).</w:t>
      </w:r>
    </w:p>
    <w:p w14:paraId="0940944D" w14:textId="77777777" w:rsidR="005405A1" w:rsidRPr="00710676" w:rsidRDefault="005405A1" w:rsidP="005405A1">
      <w:pPr>
        <w:snapToGrid w:val="0"/>
        <w:spacing w:line="300" w:lineRule="auto"/>
        <w:jc w:val="both"/>
        <w:rPr>
          <w:sz w:val="20"/>
          <w:szCs w:val="20"/>
        </w:rPr>
      </w:pPr>
    </w:p>
    <w:p w14:paraId="0D85FBAF" w14:textId="77777777" w:rsidR="005405A1" w:rsidRDefault="005405A1" w:rsidP="005405A1">
      <w:pPr>
        <w:spacing w:line="300" w:lineRule="auto"/>
        <w:rPr>
          <w:b/>
          <w:bCs/>
          <w:sz w:val="20"/>
          <w:szCs w:val="20"/>
        </w:rPr>
      </w:pPr>
      <w:r w:rsidRPr="005A3009">
        <w:rPr>
          <w:noProof/>
          <w:sz w:val="20"/>
          <w:szCs w:val="20"/>
        </w:rPr>
        <w:lastRenderedPageBreak/>
        <w:drawing>
          <wp:inline distT="0" distB="0" distL="0" distR="0" wp14:anchorId="1D7B36AA" wp14:editId="1AECD55A">
            <wp:extent cx="5730240" cy="3911097"/>
            <wp:effectExtent l="0" t="0" r="0" b="0"/>
            <wp:docPr id="1850608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08701" name=""/>
                    <pic:cNvPicPr/>
                  </pic:nvPicPr>
                  <pic:blipFill rotWithShape="1">
                    <a:blip r:embed="rId7"/>
                    <a:srcRect l="1539" t="1757" r="-2323" b="-1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49" cy="3912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A3009">
        <w:rPr>
          <w:b/>
          <w:bCs/>
          <w:sz w:val="20"/>
          <w:szCs w:val="20"/>
        </w:rPr>
        <w:t xml:space="preserve"> </w:t>
      </w:r>
    </w:p>
    <w:p w14:paraId="68151468" w14:textId="77777777" w:rsidR="005405A1" w:rsidRDefault="005405A1" w:rsidP="005405A1">
      <w:pPr>
        <w:spacing w:line="30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Fig. S4 </w:t>
      </w:r>
      <w:r w:rsidRPr="00710676">
        <w:rPr>
          <w:sz w:val="20"/>
          <w:szCs w:val="20"/>
        </w:rPr>
        <w:t>Percentage amplification efficiency (E) of the validated primers</w:t>
      </w:r>
      <w:r>
        <w:rPr>
          <w:sz w:val="20"/>
          <w:szCs w:val="20"/>
        </w:rPr>
        <w:t xml:space="preserve">, </w:t>
      </w:r>
      <w:r w:rsidRPr="004C56DC">
        <w:rPr>
          <w:b/>
          <w:bCs/>
          <w:sz w:val="20"/>
          <w:szCs w:val="20"/>
        </w:rPr>
        <w:t>a</w:t>
      </w:r>
      <w:r>
        <w:rPr>
          <w:sz w:val="20"/>
          <w:szCs w:val="20"/>
        </w:rPr>
        <w:t xml:space="preserve"> TaActin, </w:t>
      </w:r>
      <w:r w:rsidRPr="004C56DC">
        <w:rPr>
          <w:b/>
          <w:bCs/>
          <w:sz w:val="20"/>
          <w:szCs w:val="20"/>
        </w:rPr>
        <w:t>b</w:t>
      </w:r>
      <w:r>
        <w:rPr>
          <w:sz w:val="20"/>
          <w:szCs w:val="20"/>
        </w:rPr>
        <w:t xml:space="preserve"> Aj-ITS-qPCR, and </w:t>
      </w:r>
      <w:r w:rsidRPr="004C56DC">
        <w:rPr>
          <w:b/>
          <w:bCs/>
          <w:sz w:val="20"/>
          <w:szCs w:val="20"/>
        </w:rPr>
        <w:t xml:space="preserve">c </w:t>
      </w:r>
      <w:r>
        <w:rPr>
          <w:sz w:val="20"/>
          <w:szCs w:val="20"/>
        </w:rPr>
        <w:t xml:space="preserve">Ss-ITS-qPCR-P6 </w:t>
      </w:r>
      <w:r w:rsidRPr="00710676">
        <w:rPr>
          <w:sz w:val="20"/>
          <w:szCs w:val="20"/>
        </w:rPr>
        <w:t>for gene quantification</w:t>
      </w:r>
      <w:r>
        <w:rPr>
          <w:sz w:val="20"/>
          <w:szCs w:val="20"/>
        </w:rPr>
        <w:t>–</w:t>
      </w:r>
      <w:r w:rsidRPr="00710676">
        <w:rPr>
          <w:sz w:val="20"/>
          <w:szCs w:val="20"/>
        </w:rPr>
        <w:t>determined using a 10-fold dilution series of DNA templates derived from uninfected and pathogen-infected pennycress leaves</w:t>
      </w:r>
      <w:r>
        <w:rPr>
          <w:sz w:val="20"/>
          <w:szCs w:val="20"/>
        </w:rPr>
        <w:t>.</w:t>
      </w:r>
    </w:p>
    <w:p w14:paraId="0BBCBD97" w14:textId="77777777" w:rsidR="005405A1" w:rsidRDefault="005405A1" w:rsidP="005405A1">
      <w:pPr>
        <w:spacing w:line="300" w:lineRule="auto"/>
        <w:rPr>
          <w:sz w:val="20"/>
          <w:szCs w:val="20"/>
        </w:rPr>
      </w:pPr>
    </w:p>
    <w:p w14:paraId="62C1FB3B" w14:textId="77777777" w:rsidR="005405A1" w:rsidRDefault="005405A1" w:rsidP="005405A1">
      <w:pPr>
        <w:spacing w:line="300" w:lineRule="auto"/>
        <w:rPr>
          <w:sz w:val="20"/>
          <w:szCs w:val="20"/>
        </w:rPr>
      </w:pPr>
    </w:p>
    <w:p w14:paraId="46CFFB2C" w14:textId="77777777" w:rsidR="005405A1" w:rsidRDefault="005405A1" w:rsidP="005405A1">
      <w:pPr>
        <w:snapToGrid w:val="0"/>
        <w:spacing w:line="300" w:lineRule="auto"/>
        <w:ind w:right="-446"/>
        <w:jc w:val="both"/>
        <w:rPr>
          <w:b/>
          <w:bCs/>
          <w:sz w:val="20"/>
          <w:szCs w:val="20"/>
        </w:rPr>
      </w:pPr>
      <w:r w:rsidRPr="004C56D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br/>
      </w:r>
      <w:r w:rsidRPr="00B57AD8">
        <w:rPr>
          <w:b/>
          <w:bCs/>
          <w:noProof/>
          <w:sz w:val="20"/>
          <w:szCs w:val="20"/>
        </w:rPr>
        <w:drawing>
          <wp:inline distT="0" distB="0" distL="0" distR="0" wp14:anchorId="0AC19D03" wp14:editId="40B14239">
            <wp:extent cx="5599208" cy="2240915"/>
            <wp:effectExtent l="0" t="0" r="1905" b="0"/>
            <wp:docPr id="1807931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31891" name=""/>
                    <pic:cNvPicPr/>
                  </pic:nvPicPr>
                  <pic:blipFill rotWithShape="1">
                    <a:blip r:embed="rId8"/>
                    <a:srcRect t="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41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3A0AD" w14:textId="77777777" w:rsidR="005405A1" w:rsidRPr="00710676" w:rsidRDefault="005405A1" w:rsidP="005405A1">
      <w:pPr>
        <w:snapToGrid w:val="0"/>
        <w:spacing w:line="300" w:lineRule="auto"/>
        <w:ind w:right="-446"/>
        <w:jc w:val="both"/>
        <w:rPr>
          <w:strike/>
          <w:color w:val="000000" w:themeColor="text1"/>
          <w:sz w:val="20"/>
          <w:szCs w:val="20"/>
        </w:rPr>
      </w:pPr>
      <w:r w:rsidRPr="00710676">
        <w:rPr>
          <w:b/>
          <w:bCs/>
          <w:sz w:val="20"/>
          <w:szCs w:val="20"/>
        </w:rPr>
        <w:t>Fig. S</w:t>
      </w:r>
      <w:r>
        <w:rPr>
          <w:b/>
          <w:bCs/>
          <w:sz w:val="20"/>
          <w:szCs w:val="20"/>
        </w:rPr>
        <w:t>5</w:t>
      </w:r>
      <w:r w:rsidRPr="00710676">
        <w:rPr>
          <w:sz w:val="20"/>
          <w:szCs w:val="20"/>
        </w:rPr>
        <w:t xml:space="preserve"> Biomass </w:t>
      </w:r>
      <w:r w:rsidRPr="00710676">
        <w:rPr>
          <w:rFonts w:eastAsia="Arial"/>
          <w:color w:val="000000" w:themeColor="text1"/>
          <w:sz w:val="20"/>
          <w:szCs w:val="20"/>
        </w:rPr>
        <w:t xml:space="preserve">quantification of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S. sclerotiorum</w:t>
      </w:r>
      <w:r w:rsidRPr="00710676">
        <w:rPr>
          <w:rFonts w:eastAsia="Arial"/>
          <w:color w:val="000000" w:themeColor="text1"/>
          <w:sz w:val="20"/>
          <w:szCs w:val="20"/>
        </w:rPr>
        <w:t xml:space="preserve"> via DNA-based qPCR assay at 2 dpi from the 8</w:t>
      </w:r>
      <w:r w:rsidRPr="00710676">
        <w:rPr>
          <w:rFonts w:eastAsia="Arial"/>
          <w:color w:val="000000" w:themeColor="text1"/>
          <w:sz w:val="20"/>
          <w:szCs w:val="20"/>
          <w:vertAlign w:val="superscript"/>
        </w:rPr>
        <w:t>th</w:t>
      </w:r>
      <w:r w:rsidRPr="00710676">
        <w:rPr>
          <w:rFonts w:eastAsia="Arial"/>
          <w:color w:val="000000" w:themeColor="text1"/>
          <w:sz w:val="20"/>
          <w:szCs w:val="20"/>
        </w:rPr>
        <w:t xml:space="preserve"> leaves of two pennycress accessions, MN106 and 2032 across two </w:t>
      </w:r>
      <w:r w:rsidRPr="00710676">
        <w:rPr>
          <w:color w:val="000000" w:themeColor="text1"/>
          <w:sz w:val="20"/>
          <w:szCs w:val="20"/>
        </w:rPr>
        <w:t xml:space="preserve">independent </w:t>
      </w:r>
      <w:r w:rsidRPr="00710676">
        <w:rPr>
          <w:rFonts w:eastAsia="Arial"/>
          <w:color w:val="000000" w:themeColor="text1"/>
          <w:sz w:val="20"/>
          <w:szCs w:val="20"/>
        </w:rPr>
        <w:t xml:space="preserve">experiments. </w:t>
      </w:r>
      <w:r w:rsidRPr="00710676">
        <w:rPr>
          <w:noProof/>
          <w:sz w:val="20"/>
          <w:szCs w:val="20"/>
        </w:rPr>
        <w:t xml:space="preserve">Each experiment was performed with </w:t>
      </w:r>
      <w:r w:rsidRPr="00710676">
        <w:rPr>
          <w:i/>
          <w:iCs/>
          <w:color w:val="000000" w:themeColor="text1"/>
          <w:sz w:val="20"/>
          <w:szCs w:val="20"/>
        </w:rPr>
        <w:t>n</w:t>
      </w:r>
      <w:r w:rsidRPr="00710676">
        <w:rPr>
          <w:color w:val="000000" w:themeColor="text1"/>
          <w:sz w:val="20"/>
          <w:szCs w:val="20"/>
        </w:rPr>
        <w:t xml:space="preserve"> = 3 </w:t>
      </w:r>
      <w:r w:rsidRPr="00710676">
        <w:rPr>
          <w:noProof/>
          <w:sz w:val="20"/>
          <w:szCs w:val="20"/>
        </w:rPr>
        <w:t xml:space="preserve">biological replicates, where each biological replicate contained 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S. sclerotiorum</w:t>
      </w:r>
      <w:r w:rsidRPr="00710676">
        <w:rPr>
          <w:noProof/>
          <w:sz w:val="20"/>
          <w:szCs w:val="20"/>
        </w:rPr>
        <w:t>-infected leaf discs, pooled from three plants</w:t>
      </w:r>
      <w:r w:rsidRPr="00710676">
        <w:rPr>
          <w:rFonts w:eastAsia="Arial"/>
          <w:i/>
          <w:iCs/>
          <w:color w:val="000000" w:themeColor="text1"/>
          <w:sz w:val="20"/>
          <w:szCs w:val="20"/>
        </w:rPr>
        <w:t>.</w:t>
      </w:r>
      <w:r w:rsidRPr="00710676">
        <w:rPr>
          <w:rFonts w:eastAsia="Arial"/>
          <w:color w:val="000000" w:themeColor="text1"/>
          <w:sz w:val="20"/>
          <w:szCs w:val="20"/>
        </w:rPr>
        <w:t xml:space="preserve"> In each experiment, </w:t>
      </w:r>
      <w:r w:rsidRPr="00710676">
        <w:rPr>
          <w:noProof/>
          <w:sz w:val="20"/>
          <w:szCs w:val="20"/>
        </w:rPr>
        <w:t xml:space="preserve">significantly more </w:t>
      </w:r>
      <w:r w:rsidRPr="00710676">
        <w:rPr>
          <w:i/>
          <w:iCs/>
          <w:noProof/>
          <w:sz w:val="20"/>
          <w:szCs w:val="20"/>
        </w:rPr>
        <w:t xml:space="preserve">S. sclerotiorum </w:t>
      </w:r>
      <w:r w:rsidRPr="00710676">
        <w:rPr>
          <w:noProof/>
          <w:sz w:val="20"/>
          <w:szCs w:val="20"/>
        </w:rPr>
        <w:t xml:space="preserve">DNA was detected in 2032 leaves than in MN106 leaves at 2 dpi. </w:t>
      </w:r>
      <w:r w:rsidRPr="00710676">
        <w:rPr>
          <w:color w:val="000000" w:themeColor="text1"/>
          <w:sz w:val="20"/>
          <w:szCs w:val="20"/>
        </w:rPr>
        <w:t xml:space="preserve">The asterisk (*) represents a </w:t>
      </w:r>
      <w:r w:rsidRPr="00710676">
        <w:rPr>
          <w:i/>
          <w:iCs/>
          <w:color w:val="000000" w:themeColor="text1"/>
          <w:sz w:val="20"/>
          <w:szCs w:val="20"/>
        </w:rPr>
        <w:t>p</w:t>
      </w:r>
      <w:r w:rsidRPr="00710676">
        <w:rPr>
          <w:color w:val="000000" w:themeColor="text1"/>
          <w:sz w:val="20"/>
          <w:szCs w:val="20"/>
        </w:rPr>
        <w:t xml:space="preserve">-value &lt; 0.05 based on Welch's </w:t>
      </w:r>
      <w:r w:rsidRPr="00710676">
        <w:rPr>
          <w:i/>
          <w:iCs/>
          <w:color w:val="000000" w:themeColor="text1"/>
          <w:sz w:val="20"/>
          <w:szCs w:val="20"/>
        </w:rPr>
        <w:t>t</w:t>
      </w:r>
      <w:r w:rsidRPr="00710676">
        <w:rPr>
          <w:color w:val="000000" w:themeColor="text1"/>
          <w:sz w:val="20"/>
          <w:szCs w:val="20"/>
        </w:rPr>
        <w:t>-test</w:t>
      </w:r>
      <w:r>
        <w:rPr>
          <w:color w:val="000000" w:themeColor="text1"/>
          <w:sz w:val="20"/>
          <w:szCs w:val="20"/>
        </w:rPr>
        <w:t xml:space="preserve">. </w:t>
      </w:r>
    </w:p>
    <w:p w14:paraId="3E97D095" w14:textId="77777777" w:rsidR="00E023F9" w:rsidRDefault="00E023F9"/>
    <w:sectPr w:rsidR="00E023F9" w:rsidSect="005405A1">
      <w:headerReference w:type="default" r:id="rId9"/>
      <w:pgSz w:w="12240" w:h="15840"/>
      <w:pgMar w:top="1440" w:right="1440" w:bottom="1440" w:left="1980" w:header="708" w:footer="708" w:gutter="0"/>
      <w:lnNumType w:countBy="1" w:restart="continuous"/>
      <w:pgNumType w:fmt="numberInDash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96752969"/>
      <w:docPartObj>
        <w:docPartGallery w:val="Page Numbers (Top of Page)"/>
        <w:docPartUnique/>
      </w:docPartObj>
    </w:sdtPr>
    <w:sdtContent>
      <w:p w14:paraId="5C19DF3B" w14:textId="77777777" w:rsidR="005405A1" w:rsidRDefault="005405A1" w:rsidP="00BE416A">
        <w:pPr>
          <w:pStyle w:val="Header"/>
          <w:framePr w:wrap="none" w:vAnchor="text" w:hAnchor="page" w:x="838" w:y="-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6795C727" w14:textId="77777777" w:rsidR="005405A1" w:rsidRDefault="005405A1" w:rsidP="00BE416A">
    <w:pPr>
      <w:pStyle w:val="Header"/>
      <w:ind w:firstLine="729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A1"/>
    <w:rsid w:val="000C4033"/>
    <w:rsid w:val="00173ED8"/>
    <w:rsid w:val="002F50B1"/>
    <w:rsid w:val="004B42CB"/>
    <w:rsid w:val="005405A1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FA36"/>
  <w15:chartTrackingRefBased/>
  <w15:docId w15:val="{962A2216-5EBE-4172-BA2D-2BBDD130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5A1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5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5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5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5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5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5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5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5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5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5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5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5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5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5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05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5A1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405A1"/>
  </w:style>
  <w:style w:type="table" w:styleId="PlainTable4">
    <w:name w:val="Plain Table 4"/>
    <w:basedOn w:val="TableNormal"/>
    <w:uiPriority w:val="44"/>
    <w:rsid w:val="005405A1"/>
    <w:pPr>
      <w:spacing w:after="0" w:line="240" w:lineRule="auto"/>
    </w:pPr>
    <w:rPr>
      <w:sz w:val="22"/>
      <w:szCs w:val="20"/>
      <w:lang w:bidi="hi-I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">
    <w:name w:val="Grid Table 5 Dark"/>
    <w:basedOn w:val="TableNormal"/>
    <w:uiPriority w:val="50"/>
    <w:rsid w:val="005405A1"/>
    <w:pPr>
      <w:spacing w:after="0" w:line="240" w:lineRule="auto"/>
    </w:pPr>
    <w:rPr>
      <w:sz w:val="22"/>
      <w:szCs w:val="20"/>
      <w:lang w:bidi="hi-I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40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2026-09-02T14:55:00Z</dcterms:created>
  <dcterms:modified xsi:type="dcterms:W3CDTF">2026-09-02T14:55:00Z</dcterms:modified>
</cp:coreProperties>
</file>