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43D50">
      <w:pPr>
        <w:spacing w:before="480" w:after="200"/>
        <w:rPr>
          <w:color w:val="auto"/>
        </w:rPr>
      </w:pPr>
      <w:r>
        <w:rPr>
          <w:rFonts w:ascii="Calibri" w:hAnsi="Calibri"/>
          <w:b/>
          <w:color w:val="auto"/>
          <w:sz w:val="44"/>
        </w:rPr>
        <w:t>Supplementary material</w:t>
      </w:r>
    </w:p>
    <w:p w14:paraId="57A4FF21">
      <w:pPr>
        <w:spacing w:after="280"/>
        <w:rPr>
          <w:color w:val="auto"/>
        </w:rPr>
      </w:pPr>
      <w:r>
        <w:rPr>
          <w:rFonts w:ascii="Calibri" w:hAnsi="Calibri"/>
          <w:i/>
          <w:color w:val="auto"/>
          <w:sz w:val="24"/>
        </w:rPr>
        <w:t>Native image geometry and cross-partition patient overlap in a checksum-identified public liver ultrasound release: an audit of SMC-LUD</w:t>
      </w:r>
    </w:p>
    <w:p w14:paraId="40AF8C5D">
      <w:pPr>
        <w:rPr>
          <w:rFonts w:hint="default" w:ascii="Times New Roman" w:hAnsi="Times New Roman" w:eastAsia="宋体" w:cs="Times New Roman"/>
          <w:color w:val="auto"/>
          <w:lang w:val="en-US" w:eastAsia="zh-CN"/>
          <w14:ligatures w14:val="standardContextual"/>
        </w:rPr>
      </w:pPr>
      <w:r>
        <w:rPr>
          <w:rFonts w:hint="default" w:ascii="Times New Roman" w:hAnsi="Times New Roman" w:eastAsia="宋体" w:cs="Times New Roman"/>
          <w:color w:val="auto"/>
          <w:lang w:val="en-US" w:eastAsia="zh-CN"/>
          <w14:ligatures w14:val="standardContextual"/>
        </w:rPr>
        <w:t>Yuan-Jie Jiang</w:t>
      </w:r>
      <w:r>
        <w:rPr>
          <w:rFonts w:hint="default" w:ascii="Times New Roman" w:hAnsi="Times New Roman" w:eastAsia="宋体" w:cs="Times New Roman"/>
          <w:color w:val="auto"/>
          <w:vertAlign w:val="superscript"/>
          <w14:ligatures w14:val="standardContextual"/>
        </w:rPr>
        <w:t>1,#</w:t>
      </w:r>
      <w:r>
        <w:rPr>
          <w:rFonts w:hint="default" w:ascii="Times New Roman" w:hAnsi="Times New Roman" w:eastAsia="宋体" w:cs="Times New Roman"/>
          <w:color w:val="auto"/>
          <w14:ligatures w14:val="standardContextual"/>
        </w:rPr>
        <w:t xml:space="preserve">, </w:t>
      </w:r>
      <w:r>
        <w:rPr>
          <w:rFonts w:hint="default" w:ascii="Times New Roman" w:hAnsi="Times New Roman" w:eastAsia="宋体" w:cs="Times New Roman"/>
          <w:color w:val="auto"/>
          <w:lang w:val="en-US" w:eastAsia="zh-CN"/>
          <w14:ligatures w14:val="standardContextual"/>
        </w:rPr>
        <w:t>Lei Gan</w:t>
      </w:r>
      <w:r>
        <w:rPr>
          <w:rFonts w:hint="default" w:ascii="Times New Roman" w:hAnsi="Times New Roman" w:eastAsia="宋体" w:cs="Times New Roman"/>
          <w:color w:val="auto"/>
          <w:vertAlign w:val="superscript"/>
          <w:lang w:val="en-US" w:eastAsia="zh-CN"/>
          <w14:ligatures w14:val="standardContextual"/>
        </w:rPr>
        <w:t>2</w:t>
      </w:r>
      <w:r>
        <w:rPr>
          <w:rFonts w:hint="default" w:ascii="Times New Roman" w:hAnsi="Times New Roman" w:eastAsia="宋体" w:cs="Times New Roman"/>
          <w:color w:val="auto"/>
          <w:vertAlign w:val="superscript"/>
          <w14:ligatures w14:val="standardContextual"/>
        </w:rPr>
        <w:t>,#</w:t>
      </w:r>
      <w:r>
        <w:rPr>
          <w:rFonts w:hint="default" w:ascii="Times New Roman" w:hAnsi="Times New Roman" w:eastAsia="宋体" w:cs="Times New Roman"/>
          <w:color w:val="auto"/>
          <w14:ligatures w14:val="standardContextual"/>
        </w:rPr>
        <w:t xml:space="preserve">, </w:t>
      </w:r>
      <w:r>
        <w:rPr>
          <w:rFonts w:hint="default" w:ascii="Times New Roman" w:hAnsi="Times New Roman" w:eastAsia="宋体" w:cs="Times New Roman"/>
          <w:color w:val="auto"/>
          <w:lang w:val="en-US" w:eastAsia="zh-CN"/>
          <w14:ligatures w14:val="standardContextual"/>
        </w:rPr>
        <w:t>Jin Lan</w:t>
      </w:r>
      <w:r>
        <w:rPr>
          <w:rFonts w:hint="default" w:ascii="Times New Roman" w:hAnsi="Times New Roman" w:eastAsia="宋体" w:cs="Times New Roman"/>
          <w:color w:val="auto"/>
          <w:vertAlign w:val="superscript"/>
          <w14:ligatures w14:val="standardContextual"/>
        </w:rPr>
        <w:t>1</w:t>
      </w:r>
      <w:r>
        <w:rPr>
          <w:rFonts w:hint="default" w:ascii="Times New Roman" w:hAnsi="Times New Roman" w:eastAsia="宋体" w:cs="Times New Roman"/>
          <w:color w:val="auto"/>
          <w14:ligatures w14:val="standardContextual"/>
        </w:rPr>
        <w:t xml:space="preserve">, </w:t>
      </w:r>
      <w:r>
        <w:rPr>
          <w:rFonts w:hint="default" w:ascii="Times New Roman" w:hAnsi="Times New Roman" w:eastAsia="宋体" w:cs="Times New Roman"/>
          <w:color w:val="auto"/>
          <w:lang w:val="en-US" w:eastAsia="zh-CN"/>
          <w14:ligatures w14:val="standardContextual"/>
        </w:rPr>
        <w:t>Yi-Yi Liao</w:t>
      </w:r>
      <w:r>
        <w:rPr>
          <w:rFonts w:hint="default" w:ascii="Times New Roman" w:hAnsi="Times New Roman" w:eastAsia="宋体" w:cs="Times New Roman"/>
          <w:color w:val="auto"/>
          <w:vertAlign w:val="superscript"/>
          <w14:ligatures w14:val="standardContextual"/>
        </w:rPr>
        <w:t>1</w:t>
      </w:r>
      <w:r>
        <w:rPr>
          <w:rFonts w:hint="default" w:ascii="Times New Roman" w:hAnsi="Times New Roman" w:eastAsia="宋体" w:cs="Times New Roman"/>
          <w:color w:val="auto"/>
          <w14:ligatures w14:val="standardContextual"/>
        </w:rPr>
        <w:t xml:space="preserve">, </w:t>
      </w:r>
      <w:r>
        <w:rPr>
          <w:rFonts w:hint="default" w:ascii="Times New Roman" w:hAnsi="Times New Roman" w:eastAsia="宋体" w:cs="Times New Roman"/>
          <w:color w:val="auto"/>
          <w:lang w:val="en-US" w:eastAsia="zh-CN"/>
          <w14:ligatures w14:val="standardContextual"/>
        </w:rPr>
        <w:t>Xi Deng</w:t>
      </w:r>
    </w:p>
    <w:p w14:paraId="03BC0D3D">
      <w:pPr>
        <w:pStyle w:val="3"/>
        <w:rPr>
          <w:color w:val="auto"/>
        </w:rPr>
      </w:pPr>
      <w:r>
        <w:rPr>
          <w:color w:val="auto"/>
        </w:rPr>
        <w:t>Metadata identifier reconciliation</w:t>
      </w:r>
    </w:p>
    <w:tbl>
      <w:tblPr>
        <w:tblStyle w:val="32"/>
        <w:tblW w:w="9360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800"/>
        <w:gridCol w:w="5760"/>
      </w:tblGrid>
      <w:tr w14:paraId="5F473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80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50965A1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7"/>
              </w:rPr>
              <w:t>patient_id</w:t>
            </w:r>
          </w:p>
        </w:tc>
        <w:tc>
          <w:tcPr>
            <w:tcW w:w="180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7302C4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7"/>
              </w:rPr>
              <w:t>diagnosis</w:t>
            </w:r>
          </w:p>
        </w:tc>
        <w:tc>
          <w:tcPr>
            <w:tcW w:w="576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D2CE8E9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7"/>
              </w:rPr>
              <w:t>status</w:t>
            </w:r>
          </w:p>
        </w:tc>
      </w:tr>
      <w:tr w14:paraId="48CFB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A406E41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Hem_45</w:t>
            </w:r>
          </w:p>
        </w:tc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CAA4FD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Hemangioma</w:t>
            </w:r>
          </w:p>
        </w:tc>
        <w:tc>
          <w:tcPr>
            <w:tcW w:w="576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9DBE9AD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Metadata record without image directory</w:t>
            </w:r>
          </w:p>
        </w:tc>
      </w:tr>
      <w:tr w14:paraId="185B0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A73D942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Hem_63</w:t>
            </w:r>
          </w:p>
        </w:tc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0EFB714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Hemangioma</w:t>
            </w:r>
          </w:p>
        </w:tc>
        <w:tc>
          <w:tcPr>
            <w:tcW w:w="576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8235436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Metadata record without image directory</w:t>
            </w:r>
          </w:p>
        </w:tc>
      </w:tr>
      <w:tr w14:paraId="2E08E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2566C29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Hem_68</w:t>
            </w:r>
          </w:p>
        </w:tc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2AB76BB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Hemangioma</w:t>
            </w:r>
          </w:p>
        </w:tc>
        <w:tc>
          <w:tcPr>
            <w:tcW w:w="576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269595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Metadata record without image directory</w:t>
            </w:r>
          </w:p>
        </w:tc>
      </w:tr>
      <w:tr w14:paraId="6AD3F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10FB914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Hem_69</w:t>
            </w:r>
          </w:p>
        </w:tc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3A68B8B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Hemangioma</w:t>
            </w:r>
          </w:p>
        </w:tc>
        <w:tc>
          <w:tcPr>
            <w:tcW w:w="576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F8220FF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Metadata record without image directory</w:t>
            </w:r>
          </w:p>
        </w:tc>
      </w:tr>
      <w:tr w14:paraId="21957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7C449F1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Hem_75</w:t>
            </w:r>
          </w:p>
        </w:tc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7C1880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Hemangioma</w:t>
            </w:r>
          </w:p>
        </w:tc>
        <w:tc>
          <w:tcPr>
            <w:tcW w:w="576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7CB835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Metadata record without image directory</w:t>
            </w:r>
          </w:p>
        </w:tc>
      </w:tr>
      <w:tr w14:paraId="61F34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37DDD46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Hem_246</w:t>
            </w:r>
          </w:p>
        </w:tc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BB5FCF2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Hemangioma</w:t>
            </w:r>
          </w:p>
        </w:tc>
        <w:tc>
          <w:tcPr>
            <w:tcW w:w="576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1B2CD7F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Metadata record without image directory</w:t>
            </w:r>
          </w:p>
        </w:tc>
      </w:tr>
      <w:tr w14:paraId="4B846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3483D50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Hem_379</w:t>
            </w:r>
          </w:p>
        </w:tc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A541B6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Hemangioma</w:t>
            </w:r>
          </w:p>
        </w:tc>
        <w:tc>
          <w:tcPr>
            <w:tcW w:w="576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3C0759E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Metadata record without image directory</w:t>
            </w:r>
          </w:p>
        </w:tc>
      </w:tr>
      <w:tr w14:paraId="3F487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16588DC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Hem_504</w:t>
            </w:r>
          </w:p>
        </w:tc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2649049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Hemangioma</w:t>
            </w:r>
          </w:p>
        </w:tc>
        <w:tc>
          <w:tcPr>
            <w:tcW w:w="576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EEC2AA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Metadata record without image directory</w:t>
            </w:r>
          </w:p>
        </w:tc>
      </w:tr>
      <w:tr w14:paraId="787C7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7DB3A80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Hem_583</w:t>
            </w:r>
          </w:p>
        </w:tc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BDD8035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Hemangioma</w:t>
            </w:r>
          </w:p>
        </w:tc>
        <w:tc>
          <w:tcPr>
            <w:tcW w:w="576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48255F2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Metadata record without image directory</w:t>
            </w:r>
          </w:p>
        </w:tc>
      </w:tr>
      <w:tr w14:paraId="332E0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F74EAE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Hem_87</w:t>
            </w:r>
          </w:p>
        </w:tc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5840A45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Hemangioma</w:t>
            </w:r>
          </w:p>
        </w:tc>
        <w:tc>
          <w:tcPr>
            <w:tcW w:w="576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EFA45ED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Image directory without metadata record</w:t>
            </w:r>
          </w:p>
        </w:tc>
      </w:tr>
    </w:tbl>
    <w:p w14:paraId="195E5AEA">
      <w:pPr>
        <w:spacing w:before="80" w:after="160"/>
        <w:rPr>
          <w:color w:val="auto"/>
        </w:rPr>
      </w:pPr>
      <w:r>
        <w:rPr>
          <w:rFonts w:ascii="Calibri" w:hAnsi="Calibri"/>
          <w:i/>
          <w:color w:val="auto"/>
          <w:sz w:val="18"/>
        </w:rPr>
        <w:t>Supplementary Table S1. Reconciliation of hemangioma patient identifiers between the released metadata table and image-bearing directories. Ten identifiers were not represented in both sources.</w:t>
      </w:r>
    </w:p>
    <w:p w14:paraId="5E366E7A">
      <w:pPr>
        <w:pStyle w:val="3"/>
        <w:rPr>
          <w:color w:val="auto"/>
        </w:rPr>
      </w:pPr>
      <w:r>
        <w:rPr>
          <w:color w:val="auto"/>
        </w:rPr>
        <w:t>Prespecified model results</w:t>
      </w:r>
    </w:p>
    <w:tbl>
      <w:tblPr>
        <w:tblStyle w:val="32"/>
        <w:tblW w:w="9360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720"/>
        <w:gridCol w:w="900"/>
        <w:gridCol w:w="1080"/>
        <w:gridCol w:w="1080"/>
        <w:gridCol w:w="1800"/>
        <w:gridCol w:w="1980"/>
      </w:tblGrid>
      <w:tr w14:paraId="7AFD8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80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AFB3C2F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6"/>
              </w:rPr>
              <w:t>Partition</w:t>
            </w:r>
          </w:p>
        </w:tc>
        <w:tc>
          <w:tcPr>
            <w:tcW w:w="72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E9823A4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6"/>
              </w:rPr>
              <w:t>Seed</w:t>
            </w:r>
          </w:p>
        </w:tc>
        <w:tc>
          <w:tcPr>
            <w:tcW w:w="90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9F530A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6"/>
              </w:rPr>
              <w:t>Patients</w:t>
            </w:r>
          </w:p>
        </w:tc>
        <w:tc>
          <w:tcPr>
            <w:tcW w:w="108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55A0879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6"/>
              </w:rPr>
              <w:t>AUROC</w:t>
            </w:r>
          </w:p>
        </w:tc>
        <w:tc>
          <w:tcPr>
            <w:tcW w:w="108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490153C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6"/>
              </w:rPr>
              <w:t>AUPRC</w:t>
            </w:r>
          </w:p>
        </w:tc>
        <w:tc>
          <w:tcPr>
            <w:tcW w:w="180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64B1E7E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6"/>
              </w:rPr>
              <w:t>Balanced accuracy</w:t>
            </w:r>
          </w:p>
        </w:tc>
        <w:tc>
          <w:tcPr>
            <w:tcW w:w="198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ABADD7F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6"/>
              </w:rPr>
              <w:t>Best epoch</w:t>
            </w:r>
          </w:p>
        </w:tc>
      </w:tr>
      <w:tr w14:paraId="6259D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51511B5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Released</w:t>
            </w:r>
          </w:p>
        </w:tc>
        <w:tc>
          <w:tcPr>
            <w:tcW w:w="72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D81536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24</w:t>
            </w:r>
          </w:p>
        </w:tc>
        <w:tc>
          <w:tcPr>
            <w:tcW w:w="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393498F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194</w:t>
            </w:r>
          </w:p>
        </w:tc>
        <w:tc>
          <w:tcPr>
            <w:tcW w:w="10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F2D4E5B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0.978</w:t>
            </w:r>
          </w:p>
        </w:tc>
        <w:tc>
          <w:tcPr>
            <w:tcW w:w="10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46B4A4F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0.985</w:t>
            </w:r>
          </w:p>
        </w:tc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340F295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0.925</w:t>
            </w:r>
          </w:p>
        </w:tc>
        <w:tc>
          <w:tcPr>
            <w:tcW w:w="19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82ABE12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4</w:t>
            </w:r>
          </w:p>
        </w:tc>
      </w:tr>
      <w:tr w14:paraId="20A2D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BC2621D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Released</w:t>
            </w:r>
          </w:p>
        </w:tc>
        <w:tc>
          <w:tcPr>
            <w:tcW w:w="72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5D5120E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2026</w:t>
            </w:r>
          </w:p>
        </w:tc>
        <w:tc>
          <w:tcPr>
            <w:tcW w:w="9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A971D3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194</w:t>
            </w:r>
          </w:p>
        </w:tc>
        <w:tc>
          <w:tcPr>
            <w:tcW w:w="10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6BCDA36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0.989</w:t>
            </w:r>
          </w:p>
        </w:tc>
        <w:tc>
          <w:tcPr>
            <w:tcW w:w="10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43B541E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0.993</w:t>
            </w:r>
          </w:p>
        </w:tc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4D621DC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0.947</w:t>
            </w:r>
          </w:p>
        </w:tc>
        <w:tc>
          <w:tcPr>
            <w:tcW w:w="19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C056FFC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8</w:t>
            </w:r>
          </w:p>
        </w:tc>
      </w:tr>
      <w:tr w14:paraId="693A1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D86429E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Released</w:t>
            </w:r>
          </w:p>
        </w:tc>
        <w:tc>
          <w:tcPr>
            <w:tcW w:w="72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FB58CD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3407</w:t>
            </w:r>
          </w:p>
        </w:tc>
        <w:tc>
          <w:tcPr>
            <w:tcW w:w="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F01AB0F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194</w:t>
            </w:r>
          </w:p>
        </w:tc>
        <w:tc>
          <w:tcPr>
            <w:tcW w:w="10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876DA0D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0.990</w:t>
            </w:r>
          </w:p>
        </w:tc>
        <w:tc>
          <w:tcPr>
            <w:tcW w:w="10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305CE29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0.993</w:t>
            </w:r>
          </w:p>
        </w:tc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F75CE3B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0.948</w:t>
            </w:r>
          </w:p>
        </w:tc>
        <w:tc>
          <w:tcPr>
            <w:tcW w:w="19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299AD45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10</w:t>
            </w:r>
          </w:p>
        </w:tc>
      </w:tr>
      <w:tr w14:paraId="66F0A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96A8D3B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Patient-exclusive</w:t>
            </w:r>
          </w:p>
        </w:tc>
        <w:tc>
          <w:tcPr>
            <w:tcW w:w="72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070BFFF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24</w:t>
            </w:r>
          </w:p>
        </w:tc>
        <w:tc>
          <w:tcPr>
            <w:tcW w:w="9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B915BA0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72</w:t>
            </w:r>
          </w:p>
        </w:tc>
        <w:tc>
          <w:tcPr>
            <w:tcW w:w="10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BC544BA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0.969</w:t>
            </w:r>
          </w:p>
        </w:tc>
        <w:tc>
          <w:tcPr>
            <w:tcW w:w="10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DFD99C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0.975</w:t>
            </w:r>
          </w:p>
        </w:tc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244610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0.931</w:t>
            </w:r>
          </w:p>
        </w:tc>
        <w:tc>
          <w:tcPr>
            <w:tcW w:w="19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85BB33E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3</w:t>
            </w:r>
          </w:p>
        </w:tc>
      </w:tr>
      <w:tr w14:paraId="15CB7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2815790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Patient-exclusive</w:t>
            </w:r>
          </w:p>
        </w:tc>
        <w:tc>
          <w:tcPr>
            <w:tcW w:w="72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D8AE0CF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2026</w:t>
            </w:r>
          </w:p>
        </w:tc>
        <w:tc>
          <w:tcPr>
            <w:tcW w:w="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4AB4EBD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72</w:t>
            </w:r>
          </w:p>
        </w:tc>
        <w:tc>
          <w:tcPr>
            <w:tcW w:w="10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C880E73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0.957</w:t>
            </w:r>
          </w:p>
        </w:tc>
        <w:tc>
          <w:tcPr>
            <w:tcW w:w="10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6975D1A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0.957</w:t>
            </w:r>
          </w:p>
        </w:tc>
        <w:tc>
          <w:tcPr>
            <w:tcW w:w="18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C3E2293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0.919</w:t>
            </w:r>
          </w:p>
        </w:tc>
        <w:tc>
          <w:tcPr>
            <w:tcW w:w="19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26B9531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7</w:t>
            </w:r>
          </w:p>
        </w:tc>
      </w:tr>
      <w:tr w14:paraId="298F4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A4E3474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Patient-exclusive</w:t>
            </w:r>
          </w:p>
        </w:tc>
        <w:tc>
          <w:tcPr>
            <w:tcW w:w="72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86ED49A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3407</w:t>
            </w:r>
          </w:p>
        </w:tc>
        <w:tc>
          <w:tcPr>
            <w:tcW w:w="9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7B90785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72</w:t>
            </w:r>
          </w:p>
        </w:tc>
        <w:tc>
          <w:tcPr>
            <w:tcW w:w="10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BF55834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0.958</w:t>
            </w:r>
          </w:p>
        </w:tc>
        <w:tc>
          <w:tcPr>
            <w:tcW w:w="10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BD5E035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0.919</w:t>
            </w:r>
          </w:p>
        </w:tc>
        <w:tc>
          <w:tcPr>
            <w:tcW w:w="180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53758C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0.959</w:t>
            </w:r>
          </w:p>
        </w:tc>
        <w:tc>
          <w:tcPr>
            <w:tcW w:w="19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32AE9D0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>7</w:t>
            </w:r>
          </w:p>
        </w:tc>
      </w:tr>
    </w:tbl>
    <w:p w14:paraId="16774001">
      <w:pPr>
        <w:spacing w:before="80" w:after="160"/>
        <w:rPr>
          <w:color w:val="auto"/>
        </w:rPr>
      </w:pPr>
      <w:r>
        <w:rPr>
          <w:rFonts w:ascii="Calibri" w:hAnsi="Calibri"/>
          <w:i/>
          <w:color w:val="auto"/>
          <w:sz w:val="18"/>
        </w:rPr>
        <w:t>Supplementary Table S2. Patient-level performance for each prespecified initialization seed. Released and patient-exclusive partitions use different test cohorts; comparisons are descriptive and unpaired. AUROC, area under the receiver operating characteristic curve; AUPRC, area under the precision-recall curve.</w:t>
      </w:r>
    </w:p>
    <w:p w14:paraId="34BDCA02">
      <w:pPr>
        <w:pStyle w:val="3"/>
        <w:rPr>
          <w:color w:val="auto"/>
        </w:rPr>
      </w:pPr>
      <w:r>
        <w:rPr>
          <w:color w:val="auto"/>
        </w:rPr>
        <w:t>Additional post hoc technical-harmonization sensitivity analysis</w:t>
      </w:r>
    </w:p>
    <w:p w14:paraId="742D6010">
      <w:pPr>
        <w:spacing w:after="160"/>
        <w:rPr>
          <w:color w:val="auto"/>
        </w:rPr>
      </w:pPr>
      <w:r>
        <w:rPr>
          <w:rFonts w:ascii="Calibri" w:hAnsi="Calibri"/>
          <w:color w:val="auto"/>
          <w:sz w:val="22"/>
        </w:rPr>
        <w:t>All images were decoded, converted to grayscale with three replicated channels, and resized directly to 224 × 224 pixels. The same patient-exclusive split, three initialization seeds, optimization, augmentation, and validation stopping rule were retained. This additional post hoc analysis was documented in protocol amendment 003.</w:t>
      </w:r>
    </w:p>
    <w:tbl>
      <w:tblPr>
        <w:tblStyle w:val="32"/>
        <w:tblW w:w="9360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1080"/>
        <w:gridCol w:w="1440"/>
        <w:gridCol w:w="1980"/>
        <w:gridCol w:w="1980"/>
      </w:tblGrid>
      <w:tr w14:paraId="223C1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88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40F7FEB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7"/>
              </w:rPr>
              <w:t>Preprocessing</w:t>
            </w:r>
          </w:p>
        </w:tc>
        <w:tc>
          <w:tcPr>
            <w:tcW w:w="108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692C720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7"/>
              </w:rPr>
              <w:t>Seed</w:t>
            </w:r>
          </w:p>
        </w:tc>
        <w:tc>
          <w:tcPr>
            <w:tcW w:w="144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53D885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7"/>
              </w:rPr>
              <w:t>Patients</w:t>
            </w:r>
          </w:p>
        </w:tc>
        <w:tc>
          <w:tcPr>
            <w:tcW w:w="198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583159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7"/>
              </w:rPr>
              <w:t>AUROC</w:t>
            </w:r>
          </w:p>
        </w:tc>
        <w:tc>
          <w:tcPr>
            <w:tcW w:w="1980" w:type="dxa"/>
            <w:shd w:val="clear" w:color="auto" w:fill="DCE6F1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0316601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b/>
                <w:color w:val="auto"/>
                <w:sz w:val="17"/>
              </w:rPr>
              <w:t>AUPRC</w:t>
            </w:r>
          </w:p>
        </w:tc>
      </w:tr>
      <w:tr w14:paraId="0AE23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9D53823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Baseline</w:t>
            </w:r>
          </w:p>
        </w:tc>
        <w:tc>
          <w:tcPr>
            <w:tcW w:w="10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DDE73F2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24</w:t>
            </w:r>
          </w:p>
        </w:tc>
        <w:tc>
          <w:tcPr>
            <w:tcW w:w="144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9F126C5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72</w:t>
            </w:r>
          </w:p>
        </w:tc>
        <w:tc>
          <w:tcPr>
            <w:tcW w:w="19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7874A1E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0.969</w:t>
            </w:r>
          </w:p>
        </w:tc>
        <w:tc>
          <w:tcPr>
            <w:tcW w:w="19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FD8C1C9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0.975</w:t>
            </w:r>
          </w:p>
        </w:tc>
      </w:tr>
      <w:tr w14:paraId="267EE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0FF6C9A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Baseline</w:t>
            </w:r>
          </w:p>
        </w:tc>
        <w:tc>
          <w:tcPr>
            <w:tcW w:w="10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C7F1A40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2026</w:t>
            </w:r>
          </w:p>
        </w:tc>
        <w:tc>
          <w:tcPr>
            <w:tcW w:w="144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0C93864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72</w:t>
            </w:r>
          </w:p>
        </w:tc>
        <w:tc>
          <w:tcPr>
            <w:tcW w:w="19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A45BBDB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0.957</w:t>
            </w:r>
          </w:p>
        </w:tc>
        <w:tc>
          <w:tcPr>
            <w:tcW w:w="19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94E50B6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0.957</w:t>
            </w:r>
          </w:p>
        </w:tc>
      </w:tr>
      <w:tr w14:paraId="54EAD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34CF48A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Baseline</w:t>
            </w:r>
          </w:p>
        </w:tc>
        <w:tc>
          <w:tcPr>
            <w:tcW w:w="10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B8C0B6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3407</w:t>
            </w:r>
          </w:p>
        </w:tc>
        <w:tc>
          <w:tcPr>
            <w:tcW w:w="144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88D287E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72</w:t>
            </w:r>
          </w:p>
        </w:tc>
        <w:tc>
          <w:tcPr>
            <w:tcW w:w="19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4B9875E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0.958</w:t>
            </w:r>
          </w:p>
        </w:tc>
        <w:tc>
          <w:tcPr>
            <w:tcW w:w="19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08A61F0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0.919</w:t>
            </w:r>
          </w:p>
        </w:tc>
      </w:tr>
      <w:tr w14:paraId="73BB1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2A8B0B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Forced-square grayscale</w:t>
            </w:r>
          </w:p>
        </w:tc>
        <w:tc>
          <w:tcPr>
            <w:tcW w:w="10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6BBFB7C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24</w:t>
            </w:r>
          </w:p>
        </w:tc>
        <w:tc>
          <w:tcPr>
            <w:tcW w:w="144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D3FD0B0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72</w:t>
            </w:r>
          </w:p>
        </w:tc>
        <w:tc>
          <w:tcPr>
            <w:tcW w:w="19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6ABC619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1.000</w:t>
            </w:r>
          </w:p>
        </w:tc>
        <w:tc>
          <w:tcPr>
            <w:tcW w:w="19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76A8FC1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1.000</w:t>
            </w:r>
          </w:p>
        </w:tc>
      </w:tr>
      <w:tr w14:paraId="290B3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B8E640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Forced-square grayscale</w:t>
            </w:r>
          </w:p>
        </w:tc>
        <w:tc>
          <w:tcPr>
            <w:tcW w:w="10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6F5CE5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2026</w:t>
            </w:r>
          </w:p>
        </w:tc>
        <w:tc>
          <w:tcPr>
            <w:tcW w:w="144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A0A6D1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72</w:t>
            </w:r>
          </w:p>
        </w:tc>
        <w:tc>
          <w:tcPr>
            <w:tcW w:w="19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5377E4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0.988</w:t>
            </w:r>
          </w:p>
        </w:tc>
        <w:tc>
          <w:tcPr>
            <w:tcW w:w="198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53C4331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0.990</w:t>
            </w:r>
          </w:p>
        </w:tc>
      </w:tr>
      <w:tr w14:paraId="23B3A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6CC965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Forced-square grayscale</w:t>
            </w:r>
          </w:p>
        </w:tc>
        <w:tc>
          <w:tcPr>
            <w:tcW w:w="10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0126977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3407</w:t>
            </w:r>
          </w:p>
        </w:tc>
        <w:tc>
          <w:tcPr>
            <w:tcW w:w="144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A56F92E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72</w:t>
            </w:r>
          </w:p>
        </w:tc>
        <w:tc>
          <w:tcPr>
            <w:tcW w:w="19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C04A9D3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0.999</w:t>
            </w:r>
          </w:p>
        </w:tc>
        <w:tc>
          <w:tcPr>
            <w:tcW w:w="1980" w:type="dxa"/>
            <w:shd w:val="clear" w:color="auto" w:fill="F4F7F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10AEFC8">
            <w:pPr>
              <w:spacing w:line="240" w:lineRule="auto"/>
              <w:jc w:val="left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7"/>
              </w:rPr>
              <w:t>0.999</w:t>
            </w:r>
          </w:p>
        </w:tc>
      </w:tr>
    </w:tbl>
    <w:p w14:paraId="6F43BD45">
      <w:pPr>
        <w:spacing w:before="80" w:after="160"/>
        <w:rPr>
          <w:color w:val="auto"/>
        </w:rPr>
      </w:pPr>
      <w:r>
        <w:rPr>
          <w:rFonts w:ascii="Calibri" w:hAnsi="Calibri"/>
          <w:i/>
          <w:color w:val="auto"/>
          <w:sz w:val="18"/>
        </w:rPr>
        <w:t>Supplementary Table S3. Patient-level discrimination before and after forced-square grayscale standardization on the identical 72-patient patient-exclusive test cohort. AUROC, area under the receiver operating characteristic curve; AUPRC, area under the precision-recall curve.</w:t>
      </w:r>
    </w:p>
    <w:p w14:paraId="1D9A31CC">
      <w:pPr>
        <w:spacing w:before="80"/>
        <w:rPr>
          <w:color w:val="auto"/>
        </w:rPr>
      </w:pPr>
      <w:r>
        <w:rPr>
          <w:rFonts w:ascii="Calibri" w:hAnsi="Calibri"/>
          <w:i/>
          <w:color w:val="auto"/>
          <w:sz w:val="19"/>
        </w:rPr>
        <w:t>Interpretation: the harmonized three-seed ensemble AUROC was 1.000 (95% CI 1.000–1.000), compared with 0.966 (95% CI 0.909–1.000) for baseline preprocessing; paired difference 0.034 (95% CI 0.000–0.090). Forced-square resizing can preserve or introduce class-dependent technical cues and therefore does not establish lesion-specific learning.</w:t>
      </w:r>
    </w:p>
    <w:p w14:paraId="7F0A5160">
      <w:pPr>
        <w:rPr>
          <w:color w:val="auto"/>
        </w:rPr>
      </w:pPr>
    </w:p>
    <w:p w14:paraId="4357C63B">
      <w:pPr>
        <w:rPr>
          <w:color w:val="auto"/>
        </w:rPr>
      </w:pPr>
    </w:p>
    <w:p w14:paraId="536DD91F">
      <w:pPr>
        <w:rPr>
          <w:color w:val="auto"/>
        </w:rPr>
      </w:pPr>
    </w:p>
    <w:p w14:paraId="4C2A28D5">
      <w:pPr>
        <w:rPr>
          <w:color w:val="auto"/>
        </w:rPr>
      </w:pPr>
    </w:p>
    <w:p w14:paraId="78A82DE5">
      <w:pPr>
        <w:rPr>
          <w:color w:val="auto"/>
        </w:rPr>
      </w:pPr>
    </w:p>
    <w:p w14:paraId="5C477A05">
      <w:pPr>
        <w:rPr>
          <w:rFonts w:asciiTheme="majorHAnsi" w:hAnsiTheme="majorHAnsi" w:eastAsiaTheme="majorEastAsia" w:cstheme="majorBidi"/>
          <w:b/>
          <w:bCs/>
          <w:color w:val="auto"/>
          <w:sz w:val="32"/>
          <w:szCs w:val="28"/>
          <w:lang w:val="en-US" w:eastAsia="en-US" w:bidi="ar-SA"/>
        </w:rPr>
      </w:pPr>
      <w:r>
        <w:rPr>
          <w:rFonts w:asciiTheme="majorHAnsi" w:hAnsiTheme="majorHAnsi" w:eastAsiaTheme="majorEastAsia" w:cstheme="majorBidi"/>
          <w:b/>
          <w:bCs/>
          <w:color w:val="auto"/>
          <w:sz w:val="32"/>
          <w:szCs w:val="28"/>
          <w:lang w:val="en-US" w:eastAsia="en-US" w:bidi="ar-SA"/>
        </w:rPr>
        <w:t>Supplementary Figure S1</w:t>
      </w:r>
    </w:p>
    <w:p w14:paraId="065734D6">
      <w:pPr>
        <w:pStyle w:val="3"/>
        <w:rPr>
          <w:color w:val="auto"/>
        </w:rPr>
      </w:pPr>
      <w:bookmarkStart w:id="0" w:name="_GoBack"/>
      <w:r>
        <w:drawing>
          <wp:inline distT="0" distB="0" distL="114300" distR="114300">
            <wp:extent cx="6282690" cy="2299970"/>
            <wp:effectExtent l="0" t="0" r="1143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2690" cy="230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CB3C764">
      <w:pPr>
        <w:spacing w:before="160" w:after="80"/>
        <w:jc w:val="center"/>
        <w:rPr>
          <w:color w:val="auto"/>
        </w:rPr>
      </w:pPr>
    </w:p>
    <w:p w14:paraId="36BDEF42">
      <w:pPr>
        <w:keepNext/>
        <w:spacing w:before="0" w:after="160"/>
        <w:rPr>
          <w:color w:val="auto"/>
        </w:rPr>
      </w:pPr>
      <w:r>
        <w:rPr>
          <w:rFonts w:ascii="Calibri" w:hAnsi="Calibri"/>
          <w:i/>
          <w:color w:val="auto"/>
          <w:sz w:val="18"/>
        </w:rPr>
        <w:t>Supplementary Figure S1. Exploratory patient-level classification performance under the released and patient-exclusive partitions. Curves and point estimates summarize three-seed ensembles. Released and patient-exclusive partitions use different test cohorts; the comparison is descriptive and unpaired. AUROC, area under the receiver operating characteristic curve; CI, confidence interval.</w:t>
      </w: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E9CBE">
    <w:pPr>
      <w:pStyle w:val="24"/>
      <w:jc w:val="right"/>
    </w:pPr>
    <w:r>
      <w:rPr>
        <w:rFonts w:ascii="Calibri" w:hAnsi="Calibri"/>
        <w:color w:val="5A5A5A"/>
        <w:sz w:val="17"/>
      </w:rPr>
      <w:t xml:space="preserve">Page </w:t>
    </w:r>
    <w:r>
      <w:fldChar w:fldCharType="begin"/>
    </w:r>
    <w:r>
      <w:instrText xml:space="preserve"> PAGE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5F6EFE"/>
    <w:rsid w:val="5DA57936"/>
    <w:rsid w:val="7DCC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20" w:line="300" w:lineRule="auto"/>
    </w:pPr>
    <w:rPr>
      <w:rFonts w:ascii="Calibri" w:hAnsi="Calibr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20" w:after="160"/>
      <w:outlineLvl w:val="0"/>
    </w:pPr>
    <w:rPr>
      <w:rFonts w:asciiTheme="majorHAnsi" w:hAnsiTheme="majorHAnsi" w:eastAsiaTheme="majorEastAsia" w:cstheme="majorBidi"/>
      <w:b/>
      <w:bCs/>
      <w:color w:val="2E74B5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40" w:after="120"/>
      <w:outlineLvl w:val="1"/>
    </w:pPr>
    <w:rPr>
      <w:rFonts w:asciiTheme="majorHAnsi" w:hAnsiTheme="majorHAnsi" w:eastAsiaTheme="majorEastAsia" w:cstheme="majorBidi"/>
      <w:b/>
      <w:bCs/>
      <w:color w:val="2E74B5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b/>
      <w:bCs/>
      <w:color w:val="1F4D78"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447</Words>
  <Characters>3130</Characters>
  <Lines>0</Lines>
  <Paragraphs>0</Paragraphs>
  <TotalTime>0</TotalTime>
  <ScaleCrop>false</ScaleCrop>
  <LinksUpToDate>false</LinksUpToDate>
  <CharactersWithSpaces>3447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周董有点忙</cp:lastModifiedBy>
  <dcterms:modified xsi:type="dcterms:W3CDTF">2026-08-05T15:25:59Z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eyJoZGlkIjoiYWQyYzYwMzAxZmMwYTk5OGYwYmEwMTJhYzc4ZTVhNjMiLCJ1c2VySWQiOiI0NTMxNDE0MTcifQ==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BF8AB853CD524AD9921494D7DB8FF40A_12</vt:lpwstr>
  </property>
</Properties>
</file>